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2003-2010___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00382">
      <w:pPr>
        <w:pStyle w:val="23"/>
        <w:rPr>
          <w:sz w:val="52"/>
          <w:szCs w:val="48"/>
        </w:rPr>
      </w:pPr>
    </w:p>
    <w:p w14:paraId="13DE09B4">
      <w:pPr>
        <w:pStyle w:val="23"/>
        <w:rPr>
          <w:sz w:val="52"/>
          <w:szCs w:val="48"/>
        </w:rPr>
      </w:pPr>
    </w:p>
    <w:p w14:paraId="1792B4E9">
      <w:pPr>
        <w:pStyle w:val="23"/>
        <w:rPr>
          <w:sz w:val="52"/>
          <w:szCs w:val="48"/>
        </w:rPr>
      </w:pPr>
    </w:p>
    <w:p w14:paraId="2D54C95C">
      <w:pPr>
        <w:pStyle w:val="23"/>
        <w:rPr>
          <w:sz w:val="52"/>
          <w:szCs w:val="48"/>
        </w:rPr>
      </w:pPr>
      <w:bookmarkStart w:id="231" w:name="_GoBack"/>
      <w:bookmarkEnd w:id="231"/>
    </w:p>
    <w:p w14:paraId="4EFD8121">
      <w:pPr>
        <w:pStyle w:val="23"/>
        <w:rPr>
          <w:sz w:val="52"/>
          <w:szCs w:val="48"/>
        </w:rPr>
      </w:pPr>
      <w:r>
        <w:rPr>
          <w:rFonts w:hint="eastAsia"/>
          <w:sz w:val="52"/>
          <w:szCs w:val="48"/>
        </w:rPr>
        <w:t>衡东兴泰船舶维修有限公司船舶拆解建设项目环境影响报告书</w:t>
      </w:r>
    </w:p>
    <w:p w14:paraId="0F995C41">
      <w:pPr>
        <w:pStyle w:val="23"/>
        <w:rPr>
          <w:b w:val="0"/>
          <w:bCs/>
          <w:sz w:val="32"/>
          <w:szCs w:val="28"/>
        </w:rPr>
      </w:pPr>
      <w:r>
        <w:rPr>
          <w:rFonts w:hint="eastAsia"/>
          <w:b w:val="0"/>
          <w:bCs/>
          <w:sz w:val="32"/>
          <w:szCs w:val="28"/>
        </w:rPr>
        <w:t>（送审稿）</w:t>
      </w:r>
    </w:p>
    <w:p w14:paraId="6671A913">
      <w:pPr>
        <w:pStyle w:val="21"/>
        <w:ind w:firstLine="480"/>
      </w:pPr>
    </w:p>
    <w:p w14:paraId="35039D6B">
      <w:pPr>
        <w:pStyle w:val="21"/>
        <w:ind w:firstLine="480"/>
      </w:pPr>
    </w:p>
    <w:p w14:paraId="2C982F4A">
      <w:pPr>
        <w:pStyle w:val="21"/>
        <w:ind w:firstLine="480"/>
      </w:pPr>
    </w:p>
    <w:p w14:paraId="6E4631EA">
      <w:pPr>
        <w:pStyle w:val="21"/>
        <w:ind w:firstLine="480"/>
      </w:pPr>
    </w:p>
    <w:p w14:paraId="1060FD26">
      <w:pPr>
        <w:pStyle w:val="21"/>
        <w:ind w:firstLine="480"/>
      </w:pPr>
    </w:p>
    <w:p w14:paraId="66D644C4">
      <w:pPr>
        <w:pStyle w:val="21"/>
        <w:ind w:firstLine="480"/>
      </w:pPr>
    </w:p>
    <w:p w14:paraId="6919875B">
      <w:pPr>
        <w:pStyle w:val="21"/>
        <w:ind w:firstLine="480"/>
      </w:pPr>
    </w:p>
    <w:p w14:paraId="7A620369">
      <w:pPr>
        <w:pStyle w:val="21"/>
        <w:ind w:firstLine="480"/>
      </w:pPr>
    </w:p>
    <w:p w14:paraId="68C04D86">
      <w:pPr>
        <w:pStyle w:val="21"/>
        <w:ind w:firstLine="480"/>
      </w:pPr>
    </w:p>
    <w:p w14:paraId="095110AA">
      <w:pPr>
        <w:pStyle w:val="21"/>
        <w:ind w:firstLine="480"/>
      </w:pPr>
    </w:p>
    <w:p w14:paraId="3F33F4A5">
      <w:pPr>
        <w:pStyle w:val="21"/>
        <w:ind w:firstLine="480"/>
      </w:pPr>
    </w:p>
    <w:p w14:paraId="13E7D5F1">
      <w:pPr>
        <w:pStyle w:val="21"/>
        <w:ind w:firstLine="480"/>
      </w:pPr>
    </w:p>
    <w:p w14:paraId="7044DAA2">
      <w:pPr>
        <w:pStyle w:val="21"/>
        <w:ind w:firstLine="480"/>
      </w:pPr>
    </w:p>
    <w:p w14:paraId="1F78932E">
      <w:pPr>
        <w:pStyle w:val="21"/>
        <w:ind w:firstLine="480"/>
      </w:pPr>
    </w:p>
    <w:p w14:paraId="4C29EC84">
      <w:pPr>
        <w:pStyle w:val="21"/>
        <w:ind w:firstLine="480"/>
      </w:pPr>
    </w:p>
    <w:p w14:paraId="207F9887">
      <w:pPr>
        <w:pStyle w:val="21"/>
        <w:ind w:firstLine="480"/>
      </w:pPr>
    </w:p>
    <w:p w14:paraId="78FF8BEA">
      <w:pPr>
        <w:pStyle w:val="23"/>
        <w:rPr>
          <w:sz w:val="32"/>
          <w:szCs w:val="28"/>
        </w:rPr>
      </w:pPr>
      <w:r>
        <w:rPr>
          <w:rFonts w:hint="eastAsia"/>
          <w:sz w:val="32"/>
          <w:szCs w:val="28"/>
        </w:rPr>
        <w:t>湖南易恒环保科技有限公司</w:t>
      </w:r>
    </w:p>
    <w:p w14:paraId="5048431F">
      <w:pPr>
        <w:pStyle w:val="23"/>
        <w:rPr>
          <w:sz w:val="32"/>
          <w:szCs w:val="28"/>
        </w:rPr>
        <w:sectPr>
          <w:pgSz w:w="11906" w:h="16838"/>
          <w:pgMar w:top="1440" w:right="1800" w:bottom="1440" w:left="1800" w:header="851" w:footer="992" w:gutter="0"/>
          <w:cols w:space="425" w:num="1"/>
          <w:docGrid w:type="lines" w:linePitch="312" w:charSpace="0"/>
        </w:sectPr>
      </w:pPr>
      <w:r>
        <w:rPr>
          <w:rFonts w:hint="eastAsia"/>
          <w:sz w:val="32"/>
          <w:szCs w:val="28"/>
        </w:rPr>
        <w:t>202</w:t>
      </w:r>
      <w:r>
        <w:rPr>
          <w:rFonts w:hint="eastAsia"/>
          <w:sz w:val="32"/>
          <w:szCs w:val="28"/>
          <w:lang w:val="en-US" w:eastAsia="zh-CN"/>
        </w:rPr>
        <w:t>5</w:t>
      </w:r>
      <w:r>
        <w:rPr>
          <w:rFonts w:hint="eastAsia"/>
          <w:sz w:val="32"/>
          <w:szCs w:val="28"/>
        </w:rPr>
        <w:t>年</w:t>
      </w:r>
      <w:r>
        <w:rPr>
          <w:rFonts w:hint="eastAsia"/>
          <w:sz w:val="32"/>
          <w:szCs w:val="28"/>
          <w:lang w:val="en-US" w:eastAsia="zh-CN"/>
        </w:rPr>
        <w:t>10</w:t>
      </w:r>
      <w:r>
        <w:rPr>
          <w:rFonts w:hint="eastAsia"/>
          <w:sz w:val="32"/>
          <w:szCs w:val="28"/>
        </w:rPr>
        <w:t>月</w:t>
      </w:r>
    </w:p>
    <w:p w14:paraId="02D1D8EC">
      <w:pPr>
        <w:pStyle w:val="23"/>
      </w:pPr>
      <w:r>
        <w:drawing>
          <wp:inline distT="0" distB="0" distL="114300" distR="114300">
            <wp:extent cx="5273040" cy="7677785"/>
            <wp:effectExtent l="0" t="0" r="3810" b="1841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5"/>
                    <a:stretch>
                      <a:fillRect/>
                    </a:stretch>
                  </pic:blipFill>
                  <pic:spPr>
                    <a:xfrm>
                      <a:off x="0" y="0"/>
                      <a:ext cx="5273040" cy="7677785"/>
                    </a:xfrm>
                    <a:prstGeom prst="rect">
                      <a:avLst/>
                    </a:prstGeom>
                    <a:noFill/>
                    <a:ln>
                      <a:noFill/>
                    </a:ln>
                  </pic:spPr>
                </pic:pic>
              </a:graphicData>
            </a:graphic>
          </wp:inline>
        </w:drawing>
      </w:r>
    </w:p>
    <w:p w14:paraId="5C303590">
      <w:pPr>
        <w:pStyle w:val="31"/>
        <w:bidi w:val="0"/>
        <w:rPr>
          <w:rFonts w:hint="eastAsia" w:eastAsia="宋体"/>
          <w:lang w:eastAsia="zh-CN"/>
        </w:rPr>
      </w:pPr>
      <w:r>
        <w:drawing>
          <wp:inline distT="0" distB="0" distL="114300" distR="114300">
            <wp:extent cx="5267960" cy="7423150"/>
            <wp:effectExtent l="0" t="0" r="889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6"/>
                    <a:stretch>
                      <a:fillRect/>
                    </a:stretch>
                  </pic:blipFill>
                  <pic:spPr>
                    <a:xfrm>
                      <a:off x="0" y="0"/>
                      <a:ext cx="5267960" cy="7423150"/>
                    </a:xfrm>
                    <a:prstGeom prst="rect">
                      <a:avLst/>
                    </a:prstGeom>
                    <a:noFill/>
                    <a:ln>
                      <a:noFill/>
                    </a:ln>
                  </pic:spPr>
                </pic:pic>
              </a:graphicData>
            </a:graphic>
          </wp:inline>
        </w:drawing>
      </w:r>
      <w:r>
        <w:rPr>
          <w:rFonts w:hint="eastAsia" w:eastAsia="宋体"/>
          <w:lang w:eastAsia="zh-CN"/>
        </w:rPr>
        <w:drawing>
          <wp:inline distT="0" distB="0" distL="114300" distR="114300">
            <wp:extent cx="5266690" cy="7447915"/>
            <wp:effectExtent l="0" t="0" r="10160" b="635"/>
            <wp:docPr id="7" name="图片 7" descr="公司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公司营业执照"/>
                    <pic:cNvPicPr>
                      <a:picLocks noChangeAspect="1"/>
                    </pic:cNvPicPr>
                  </pic:nvPicPr>
                  <pic:blipFill>
                    <a:blip r:embed="rId7"/>
                    <a:stretch>
                      <a:fillRect/>
                    </a:stretch>
                  </pic:blipFill>
                  <pic:spPr>
                    <a:xfrm>
                      <a:off x="0" y="0"/>
                      <a:ext cx="5266690" cy="7447915"/>
                    </a:xfrm>
                    <a:prstGeom prst="rect">
                      <a:avLst/>
                    </a:prstGeom>
                  </pic:spPr>
                </pic:pic>
              </a:graphicData>
            </a:graphic>
          </wp:inline>
        </w:drawing>
      </w:r>
    </w:p>
    <w:p w14:paraId="7048D5C8">
      <w:pPr>
        <w:pStyle w:val="31"/>
        <w:bidi w:val="0"/>
        <w:rPr>
          <w:rFonts w:hint="eastAsia" w:eastAsia="宋体"/>
          <w:lang w:eastAsia="zh-CN"/>
        </w:rPr>
      </w:pPr>
      <w:r>
        <w:rPr>
          <w:rFonts w:hint="eastAsia" w:eastAsia="宋体"/>
          <w:lang w:eastAsia="zh-CN"/>
        </w:rPr>
        <w:drawing>
          <wp:inline distT="0" distB="0" distL="114300" distR="114300">
            <wp:extent cx="7670165" cy="5290185"/>
            <wp:effectExtent l="0" t="0" r="5715" b="6985"/>
            <wp:docPr id="6" name="图片 6" descr="工程师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工程师证"/>
                    <pic:cNvPicPr>
                      <a:picLocks noChangeAspect="1"/>
                    </pic:cNvPicPr>
                  </pic:nvPicPr>
                  <pic:blipFill>
                    <a:blip r:embed="rId8"/>
                    <a:stretch>
                      <a:fillRect/>
                    </a:stretch>
                  </pic:blipFill>
                  <pic:spPr>
                    <a:xfrm rot="16200000">
                      <a:off x="0" y="0"/>
                      <a:ext cx="7670165" cy="5290185"/>
                    </a:xfrm>
                    <a:prstGeom prst="rect">
                      <a:avLst/>
                    </a:prstGeom>
                  </pic:spPr>
                </pic:pic>
              </a:graphicData>
            </a:graphic>
          </wp:inline>
        </w:drawing>
      </w:r>
      <w:r>
        <w:drawing>
          <wp:inline distT="0" distB="0" distL="114300" distR="114300">
            <wp:extent cx="5271770" cy="7379335"/>
            <wp:effectExtent l="0" t="0" r="5080" b="1206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9"/>
                    <a:stretch>
                      <a:fillRect/>
                    </a:stretch>
                  </pic:blipFill>
                  <pic:spPr>
                    <a:xfrm>
                      <a:off x="0" y="0"/>
                      <a:ext cx="5271770" cy="7379335"/>
                    </a:xfrm>
                    <a:prstGeom prst="rect">
                      <a:avLst/>
                    </a:prstGeom>
                    <a:noFill/>
                    <a:ln>
                      <a:noFill/>
                    </a:ln>
                  </pic:spPr>
                </pic:pic>
              </a:graphicData>
            </a:graphic>
          </wp:inline>
        </w:drawing>
      </w:r>
      <w:r>
        <w:drawing>
          <wp:inline distT="0" distB="0" distL="114300" distR="114300">
            <wp:extent cx="5267960" cy="7440295"/>
            <wp:effectExtent l="0" t="0" r="8890" b="8255"/>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0"/>
                    <a:stretch>
                      <a:fillRect/>
                    </a:stretch>
                  </pic:blipFill>
                  <pic:spPr>
                    <a:xfrm>
                      <a:off x="0" y="0"/>
                      <a:ext cx="5267960" cy="7440295"/>
                    </a:xfrm>
                    <a:prstGeom prst="rect">
                      <a:avLst/>
                    </a:prstGeom>
                    <a:noFill/>
                    <a:ln>
                      <a:noFill/>
                    </a:ln>
                  </pic:spPr>
                </pic:pic>
              </a:graphicData>
            </a:graphic>
          </wp:inline>
        </w:drawing>
      </w:r>
    </w:p>
    <w:p w14:paraId="6C9681E3">
      <w:pPr>
        <w:pStyle w:val="31"/>
        <w:bidi w:val="0"/>
        <w:sectPr>
          <w:pgSz w:w="11906" w:h="16838"/>
          <w:pgMar w:top="1440" w:right="1800" w:bottom="1440" w:left="1800" w:header="851" w:footer="992" w:gutter="0"/>
          <w:cols w:space="425" w:num="1"/>
          <w:docGrid w:type="lines" w:linePitch="312" w:charSpace="0"/>
        </w:sectPr>
      </w:pPr>
      <w:r>
        <w:drawing>
          <wp:inline distT="0" distB="0" distL="114300" distR="114300">
            <wp:extent cx="8737600" cy="5325745"/>
            <wp:effectExtent l="0" t="0" r="8255" b="635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1"/>
                    <a:stretch>
                      <a:fillRect/>
                    </a:stretch>
                  </pic:blipFill>
                  <pic:spPr>
                    <a:xfrm rot="16200000">
                      <a:off x="0" y="0"/>
                      <a:ext cx="8737600" cy="5325745"/>
                    </a:xfrm>
                    <a:prstGeom prst="rect">
                      <a:avLst/>
                    </a:prstGeom>
                    <a:noFill/>
                    <a:ln>
                      <a:noFill/>
                    </a:ln>
                  </pic:spPr>
                </pic:pic>
              </a:graphicData>
            </a:graphic>
          </wp:inline>
        </w:drawing>
      </w:r>
      <w:r>
        <w:drawing>
          <wp:inline distT="0" distB="0" distL="114300" distR="114300">
            <wp:extent cx="8691880" cy="5432425"/>
            <wp:effectExtent l="0" t="0" r="15875" b="1397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2"/>
                    <a:stretch>
                      <a:fillRect/>
                    </a:stretch>
                  </pic:blipFill>
                  <pic:spPr>
                    <a:xfrm rot="16200000">
                      <a:off x="0" y="0"/>
                      <a:ext cx="8691880" cy="5432425"/>
                    </a:xfrm>
                    <a:prstGeom prst="rect">
                      <a:avLst/>
                    </a:prstGeom>
                    <a:noFill/>
                    <a:ln>
                      <a:noFill/>
                    </a:ln>
                  </pic:spPr>
                </pic:pic>
              </a:graphicData>
            </a:graphic>
          </wp:inline>
        </w:drawing>
      </w:r>
      <w:r>
        <w:drawing>
          <wp:inline distT="0" distB="0" distL="114300" distR="114300">
            <wp:extent cx="8825865" cy="5305425"/>
            <wp:effectExtent l="0" t="0" r="9525" b="1333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3"/>
                    <a:stretch>
                      <a:fillRect/>
                    </a:stretch>
                  </pic:blipFill>
                  <pic:spPr>
                    <a:xfrm rot="16200000">
                      <a:off x="0" y="0"/>
                      <a:ext cx="8825865" cy="5305425"/>
                    </a:xfrm>
                    <a:prstGeom prst="rect">
                      <a:avLst/>
                    </a:prstGeom>
                    <a:noFill/>
                    <a:ln>
                      <a:noFill/>
                    </a:ln>
                  </pic:spPr>
                </pic:pic>
              </a:graphicData>
            </a:graphic>
          </wp:inline>
        </w:drawing>
      </w:r>
    </w:p>
    <w:sdt>
      <w:sdtPr>
        <w:rPr>
          <w:rFonts w:ascii="宋体" w:hAnsi="宋体" w:eastAsia="宋体" w:cstheme="minorBidi"/>
          <w:kern w:val="2"/>
          <w:sz w:val="21"/>
          <w:szCs w:val="22"/>
          <w:lang w:val="en-US" w:eastAsia="zh-CN" w:bidi="ar-SA"/>
          <w14:ligatures w14:val="standardContextual"/>
        </w:rPr>
        <w:id w:val="147470852"/>
        <w15:color w:val="DBDBDB"/>
        <w:docPartObj>
          <w:docPartGallery w:val="Table of Contents"/>
          <w:docPartUnique/>
        </w:docPartObj>
      </w:sdtPr>
      <w:sdtEndPr>
        <w:rPr>
          <w:rFonts w:ascii="Times New Roman" w:hAnsi="Times New Roman" w:eastAsia="宋体" w:cstheme="minorBidi"/>
          <w:kern w:val="2"/>
          <w:sz w:val="24"/>
          <w:szCs w:val="22"/>
          <w:lang w:val="en-US" w:eastAsia="zh-CN" w:bidi="ar-SA"/>
          <w14:ligatures w14:val="standardContextual"/>
        </w:rPr>
      </w:sdtEndPr>
      <w:sdtContent>
        <w:p w14:paraId="791DF93A">
          <w:pPr>
            <w:spacing w:before="0" w:beforeLines="0" w:after="0" w:afterLines="0" w:line="240" w:lineRule="auto"/>
            <w:ind w:left="0" w:leftChars="0" w:right="0" w:rightChars="0" w:firstLine="0" w:firstLineChars="0"/>
            <w:jc w:val="center"/>
          </w:pPr>
          <w:r>
            <w:rPr>
              <w:rFonts w:ascii="宋体" w:hAnsi="宋体" w:eastAsia="宋体"/>
              <w:sz w:val="21"/>
            </w:rPr>
            <w:t>目录</w:t>
          </w:r>
        </w:p>
        <w:p w14:paraId="327E6292">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"1-3" \h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_Toc31998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1概述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_Toc31998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2BA2D3">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_Toc22849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1.1项目背景</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_Toc22849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3100ACD">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_Toc11303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1.2建设项目特点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_Toc11303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B7F7433">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1.3环境影响评价的工作过程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BDE3278">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_Toc20832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1.4分析判定相关情况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_Toc20832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D73438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_Toc6389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1.4.1产业政策符合性分析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_Toc6389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2BFDE2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_Toc26553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1.4.2与《绿色拆船通用规范》（GB/T 36661-2018）符合性分析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_Toc26553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85654E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_Toc18901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1.4.3与《长江经济带发展负面清单指南（试行，2022年版）》的相符性分析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_Toc18901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EEC1F6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_Toc15226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1.4.4与《湖南省长江经济带发展负面清单实施细则（试行，2022年版）》相符性分析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_Toc15226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DF66A7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_Toc21771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1.4.5与《衡阳港总体规划（2035年）》符合性分析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_Toc21771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BC94A7E">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_Toc22922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lang w:val="en-US" w:eastAsia="zh-CN"/>
            </w:rPr>
            <w:t>6生态环境分区管控要求</w:t>
          </w:r>
          <w:r>
            <w:rPr>
              <w:rFonts w:hint="default" w:ascii="Times New Roman" w:hAnsi="Times New Roman" w:eastAsia="宋体" w:cs="Times New Roman"/>
              <w:sz w:val="24"/>
              <w:szCs w:val="24"/>
            </w:rPr>
            <w:t>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_Toc22922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2F93DAF">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_Toc16999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与《湖南省大气污染防治“守护蓝天”攻坚行动计划（2023—2025 年）》（湘政办发[2023]34号）相符性分析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_Toc16999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3DB508A">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_Toc9969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是否属于“两高”项目判定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_Toc9969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49DE71A">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_Toc21861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项目与《防止拆船污染环境管理条例（2017）》相符性分析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_Toc21861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B66031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_Toc18820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与《水污染防治行动计划》（国发[2015]17号）相符性分析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_Toc18820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15BCE1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_Toc29601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1.4.1</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与《湖南省湘江保护条例》符合性分析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_Toc29601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5EC2FEF">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_Toc4876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1.4.1</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与《衡阳市“</w:t>
          </w:r>
          <w:r>
            <w:rPr>
              <w:rFonts w:hint="eastAsia" w:ascii="Times New Roman" w:hAnsi="Times New Roman" w:eastAsia="宋体" w:cs="Times New Roman"/>
              <w:sz w:val="24"/>
              <w:szCs w:val="24"/>
              <w:lang w:eastAsia="zh-CN"/>
            </w:rPr>
            <w:t>““十四五””</w:t>
          </w:r>
          <w:r>
            <w:rPr>
              <w:rFonts w:hint="default" w:ascii="Times New Roman" w:hAnsi="Times New Roman" w:eastAsia="宋体" w:cs="Times New Roman"/>
              <w:sz w:val="24"/>
              <w:szCs w:val="24"/>
            </w:rPr>
            <w:t>”生态环境保护规划》（衡政办发[2021]37号）符合性分析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_Toc4876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908F3A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_Toc2041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1.4.1</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与《长江岸线保护和开发利用总体规划》符合性分析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_Toc2041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54EF4A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_Toc27221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1.4.1</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选址合理性分析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_Toc27221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759410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_Toc4039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1.4.1</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环境影响可接受分析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_Toc4039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D44287D">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_Toc18957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1.5关注的主要环境问题及环境影响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_Toc18957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3BF83AF">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_Toc10964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1.6环境影响评价的主要结论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_Toc10964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429F0CF">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_Toc27493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_Toc27493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AB73302">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2.1评价目的与评价原则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911351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_Toc8898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2.1.1评价目的</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_Toc8898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D2C919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_Toc22367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2.1.2评价原则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_Toc22367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7D399BF">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_Toc26379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2.2编制依据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_Toc26379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4B24D9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_Toc9578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2.2.1国家法律、法规、政策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_Toc9578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56E7CC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2.2.2地方法律、法规、政策</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EB125F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_Toc21218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2.2.3技术导则与标准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_Toc21218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D1B379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2.2.4其他依据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83930B6">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_Toc22103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2.3环境影响识别与评价因子筛选</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A8151F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2.3.1环境影响识别</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5E2825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_Toc18502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2.3.2评价因子筛选</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_Toc18502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A18EAC0">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_Toc18708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2.4环境功能区划与评价标准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EB5E77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_Toc32153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2.4.1环境功能区划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_Toc32153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FFBDAB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_Toc10097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2.4.2环境质量标准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_Toc10097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80518FA">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_Toc20255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2.4.3污染物排放标准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_Toc20255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A76A9C3">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_Toc13855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2.5评价工作等级和评价范围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_Toc13855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3B40A9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_Toc15860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2.5.1大气环境影响评价工作等级及评价范围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_Toc15860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4D7FE6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_Toc11047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2.5.2地表水环境影响评价工作等级及评价范围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_Toc11047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3F84E3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_Toc25578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2.5.3地下水环境影响评价工作等级及评价范围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_Toc25578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862F96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_Toc19771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2.5.4声环境影响评价工作等级及评价范围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_Toc19771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5E5066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_Toc22640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2.5.5土壤环境影响评价工作等级及评价范围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_Toc22640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6ECF01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_Toc7046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2.5.6生态环境影响评价工作等级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_Toc7046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1AF2C6E">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_Toc13714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2.5.7环境风险影响评价工作等级</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_Toc13714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9FF4507">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_Toc18736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2.6主要环境保护目标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FC72E95">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3建设项目工程分析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072BCC">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_Toc20937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3.1现有工程概况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_Toc20937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5E3D05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_Toc27706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3.1.1现有工程环保手续履行情况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_Toc27706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395FF5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_Toc22064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3.1.2现有工程主要建设内容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_Toc22064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18CADE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_Toc5217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3.1.3现有工程生产工艺流程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_Toc5217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27F0F5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_Toc11714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3.1.4现有工程主要污染防治措施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_Toc11714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82BE28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_Toc19766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3.1.5现有工程“三废”达标排放情况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_Toc19766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4FEC23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_Toc13765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3.1.6现有工程污染物排放量核算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_Toc13765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33E48C2">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_Toc19013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3.1.7现有工程存在的环境问题及“以新带老”措施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_Toc19013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7D73D5A">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_Toc31088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建设项目概况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_Toc31088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AEB2D2E">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_Toc24666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.1项目基本情况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_Toc24666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3BBD432">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_Toc24327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.2主要建设内容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_Toc24327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93AC74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_Toc22193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项目服务规模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8F2B84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_Toc31352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.4主要原辅材料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_Toc31352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865D47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_Toc28434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.5主要生产设备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_Toc28434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CDAB0B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_Toc20387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.6总平面布置及周边情况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_Toc20387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52BED4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_Toc30721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.7劳动组织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_Toc30721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084063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_Toc20772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.8公用工程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_Toc20772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BAF1EEA">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_Toc32183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影响因素分析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665BE3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.1施工期工艺流程及产排污环节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A6EF6D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_Toc29043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.2运营期工艺流程及产排污环节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_Toc29043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BA0B8C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_Toc31674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水平衡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_Toc31674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959CB6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_Toc10866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.4物料平衡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_Toc10866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34E8881">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_Toc9358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施工期污染源源强核算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_Toc9358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CFFFC9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_Toc5793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.1废气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_Toc5793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97BEDD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.2废水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464888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_Toc30108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.3噪声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_Toc30108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5BC30B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_Toc2214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.4固废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80D82A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_Toc6357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.5生态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_Toc6357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DBCE30A">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_Toc30163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运营期</w:t>
          </w:r>
          <w:r>
            <w:rPr>
              <w:rFonts w:hint="default" w:ascii="Times New Roman" w:hAnsi="Times New Roman" w:eastAsia="宋体" w:cs="Times New Roman"/>
              <w:sz w:val="24"/>
              <w:szCs w:val="24"/>
              <w:lang w:val="en-US" w:eastAsia="zh-CN"/>
            </w:rPr>
            <w:t>扩建工程</w:t>
          </w:r>
          <w:r>
            <w:rPr>
              <w:rFonts w:hint="default" w:ascii="Times New Roman" w:hAnsi="Times New Roman" w:eastAsia="宋体" w:cs="Times New Roman"/>
              <w:sz w:val="24"/>
              <w:szCs w:val="24"/>
            </w:rPr>
            <w:t>污染源源强核算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_Toc30163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7C44CA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_Toc14818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.1废气</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_Toc14818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6A537AE">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_Toc4492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.2废水</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_Toc4492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0C7779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_Toc16444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.3噪声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_Toc16444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917395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_Toc28566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.4固废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_Toc28566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A76812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_Toc23030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lang w:val="en-US" w:eastAsia="zh-CN"/>
            </w:rPr>
            <w:t>扩建工程</w:t>
          </w:r>
          <w:r>
            <w:rPr>
              <w:rFonts w:hint="default" w:ascii="Times New Roman" w:hAnsi="Times New Roman" w:eastAsia="宋体" w:cs="Times New Roman"/>
              <w:sz w:val="24"/>
              <w:szCs w:val="24"/>
            </w:rPr>
            <w:t>污染源强汇总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_Toc23030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1A2CA16">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_Toc29049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3.6“三本账”核算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_Toc29049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ADFB38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_Toc10041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3.6.1“以新带老”措施削减量核算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_Toc10041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DD5DDD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_Toc20621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3.6.2“以新带老”措施新增污染物</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_Toc20621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899A0F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_Toc30340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3.6.3“三本账”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C62607E">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_Toc22968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4环境现状调查与评价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_Toc22968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6962826">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_Toc16383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4.1自然环境现状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_Toc16383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03581FA">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_Toc28659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4.1.1地理位置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_Toc28659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BB0465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_Toc16488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4.1.2地形</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地貌</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地质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_Toc16488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B6A2B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_Toc21512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4.1.3水文水系</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_Toc21512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1B5F95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_Toc22623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4.1.4气候气象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_Toc22623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9937D2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_Toc25381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4.1.5</w:t>
          </w:r>
          <w:r>
            <w:rPr>
              <w:rFonts w:hint="default" w:ascii="Times New Roman" w:hAnsi="Times New Roman" w:eastAsia="宋体" w:cs="Times New Roman"/>
              <w:sz w:val="24"/>
              <w:szCs w:val="24"/>
              <w:lang w:val="en-US" w:eastAsia="zh-CN"/>
            </w:rPr>
            <w:t>生态环境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_Toc25381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D6EFC5B">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_Toc15134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4.2环境空气质量现状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_Toc15134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6EC54D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_Toc19266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4.2.1达标区判定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_Toc19266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47AF14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_Toc4062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4.2.2补充监测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_Toc4062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9E9B436">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_Toc27490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4.3地表水环境质量现状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_Toc27490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8ABB9C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4.3.1国省控断面监测结论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_Toc890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5FF934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4.3.2</w:t>
          </w:r>
          <w:r>
            <w:rPr>
              <w:rFonts w:hint="default" w:ascii="Times New Roman" w:hAnsi="Times New Roman" w:eastAsia="宋体" w:cs="Times New Roman"/>
              <w:sz w:val="24"/>
              <w:szCs w:val="24"/>
              <w:lang w:val="en-US" w:eastAsia="zh-CN"/>
            </w:rPr>
            <w:t>引用监测数据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496FF8">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_Toc29707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4.4地下水环境质量现状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_Toc29707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915A8FF">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_Toc28879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4.5声环境质量现状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_Toc28879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4E0A16C">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_Toc28313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4.6土壤环境质量现状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_Toc28313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364406B">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_Toc8172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4.7生态环境现状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_Toc8172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D250FD5">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_Toc14096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5环境影响预测与评价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_Toc14096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653477D">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_Toc11966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5.1施工期环境影响评价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_Toc11966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AE6D16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_Toc5399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5.1.1环境空气影响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_Toc5399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C280D1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_Toc11216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5.1.2地表水环境影响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_Toc11216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19B9FD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_Toc13446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5.1.3声环境影响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_Toc13446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EE822A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_Toc29999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5.1.4固体废物影响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_Toc29999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ECC9291">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_Toc7810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5.1.5生态环境影响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_Toc7810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250296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_Toc11662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5.1.6施工期环境影响小结</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_Toc11662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90D7730">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_Toc14478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5.2运营期环境影响预测与评价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_Toc14478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6C30D2E">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_Toc9111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5.2.1环境空气影响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_Toc9111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5FDD82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_Toc24847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5.2.2地表水环境影响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_Toc24847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8D2FB5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5.2.3地下水环境影响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7CF9D6F">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_Toc15645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5.2.4声环境影响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_Toc15645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A869E2F">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_Toc16609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5.2.5固体废物影响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_Toc16609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ED2FDDA">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_Toc10636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5.2.6土壤环境影响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_Toc10636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4473CD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_Toc26259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5.2.7生态环境影响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_Toc26259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D77D0E1">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_Toc4503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5.3环境风险分析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_Toc4503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4FE559D">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_Toc21683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5.3.1评价依据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_Toc21683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235543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_Toc16278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5.8.2环境敏感目标概况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_Toc16278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1A1870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_Toc8248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5.8.3环境风险识别</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_Toc8248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639CD7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_Toc8352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5.8.4环境风险分析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_Toc8352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733E839">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_Toc26098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5.8.5环境风险防范措施及应急要求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_Toc26098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EA28367">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_Toc31244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5.8.6分析结论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_Toc31244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3A64DD5">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_Toc10874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6环境保护措施及其可行性论证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_Toc10874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ABB3360">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_Toc18479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6.1施工期环境保护措施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_Toc18479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92101FF">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_Toc17032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6.2运营期环境保护措施及其可行性论证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_Toc17032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3C3AE0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_Toc30660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6.2.1废气污染防治措施及其可行性论证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_Toc30660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301F1D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_Toc20265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6.2.2废水污染防治措施及其可行性论证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_Toc20265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650018C">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_Toc30691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6.2.3噪声污染防治措施及其可行性论证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_Toc30691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AA5A64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_Toc29797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6.2.4固体废物污染防治措施及其可行性论证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_Toc29797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1E5C0D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_Toc20604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6.2.5地下水及土壤污染防治措施及其可行性论证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_Toc20604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2FDC660">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_Toc26198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6.3环保投资估算</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_Toc26198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C7CBB98">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_Toc2459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7环境影响经济损益分析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_Toc2459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F0F17DD">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_Toc1987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.1环境保护效益分析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_Toc1987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9E4FA5E">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_Toc21011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7.2工程经济效益与社会效益分析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_Toc21011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D0193BC">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_Toc28344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8环境管理与监测计划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_Toc28344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DC1502E">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8.1环境管理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_Toc2113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F686D9B">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_Toc1711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8.1.1 环境管理基本任务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C4E6D5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_Toc7673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8.1.2 环境管理机构及其职责</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_Toc7673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CE3FF34">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8.1.3 环保管理制度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6EF6573">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_Toc22758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8.1.4 项目运营过程环境管理措施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_Toc22758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A4AE6E1">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_Toc19909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8.2污染物排放清单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_Toc19909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8B829A7">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_Toc15076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8.3环境监测计划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_Toc15076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B6247F0">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8.3.1监测要求和内容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2829DFF8">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_Toc31252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8.3.2 环境监测计划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_Toc31252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C6F4BF2">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_Toc7739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8.2.3 应急监测计划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_Toc7739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81C7EB8">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_Toc28356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8.4排污许可制度衔接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_Toc28356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8077FBF">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_Toc12574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8.5.1 排污许可制度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_Toc12574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36DA426">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_Toc19807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lang w:val="zh-CN"/>
            </w:rPr>
            <w:t>.5.2 信息公开制度</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_Toc19807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37F5545">
          <w:pPr>
            <w:pStyle w:val="9"/>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_Toc4385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lang w:val="en-US" w:eastAsia="zh-CN"/>
            </w:rPr>
            <w:t>8.5.2排污口规范化设置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_Toc4385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33FBA55">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_Toc29946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8.5竣工环境保护验收要求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_Toc29946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2649304">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_Toc4617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8.6总量控制要求</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_Toc4617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C7C3C3C">
          <w:pPr>
            <w:pStyle w:val="1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_Toc7998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9环境影响评价结论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_Toc7998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423A8E">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_Toc20454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9.1建设项目的建设概况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_Toc20454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B86E245">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_Toc25796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9.2环境质量现状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_Toc25796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4072858">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_Toc25236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主要环境影响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_Toc25236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02CDC5D">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_Toc24857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公众意见采纳情况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_Toc24857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7B99DC3">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_Toc23548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环境保护措施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_Toc23548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5CFFF0B">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_Toc30601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环境影响经济损益分析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_Toc30601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9930564">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_Toc18851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环境管理与监测计划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_Toc18851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2E7639C">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_Toc16516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总量控制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_Toc16516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9072C08">
          <w:pPr>
            <w:pStyle w:val="13"/>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_Toc16899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综合结论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_Toc16899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166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C75A38F">
          <w:pPr>
            <w:pStyle w:val="21"/>
            <w:ind w:left="0" w:leftChars="0" w:firstLine="0" w:firstLineChars="0"/>
            <w:rPr>
              <w:rFonts w:ascii="Times New Roman" w:hAnsi="Times New Roman" w:eastAsia="宋体" w:cstheme="minorBidi"/>
              <w:kern w:val="2"/>
              <w:sz w:val="24"/>
              <w:szCs w:val="22"/>
              <w:lang w:val="en-US" w:eastAsia="zh-CN" w:bidi="ar-SA"/>
              <w14:ligatures w14:val="standardContextual"/>
            </w:rPr>
          </w:pPr>
          <w:r>
            <w:rPr>
              <w:rFonts w:hint="default" w:ascii="Times New Roman" w:hAnsi="Times New Roman" w:eastAsia="宋体" w:cs="Times New Roman"/>
              <w:sz w:val="24"/>
              <w:szCs w:val="24"/>
            </w:rPr>
            <w:fldChar w:fldCharType="end"/>
          </w:r>
        </w:p>
      </w:sdtContent>
    </w:sdt>
    <w:p w14:paraId="5B053DBD">
      <w:pPr>
        <w:pStyle w:val="21"/>
        <w:ind w:left="0" w:leftChars="0" w:firstLine="0" w:firstLineChars="0"/>
        <w:rPr>
          <w:rFonts w:ascii="Times New Roman" w:hAnsi="Times New Roman" w:eastAsia="宋体" w:cstheme="minorBidi"/>
          <w:kern w:val="2"/>
          <w:sz w:val="24"/>
          <w:szCs w:val="22"/>
          <w:lang w:val="en-US" w:eastAsia="zh-CN" w:bidi="ar-SA"/>
          <w14:ligatures w14:val="standardContextual"/>
        </w:rPr>
      </w:pPr>
    </w:p>
    <w:p w14:paraId="2E9A1078">
      <w:pPr>
        <w:pStyle w:val="21"/>
        <w:ind w:left="0" w:leftChars="0" w:firstLine="0" w:firstLineChars="0"/>
        <w:rPr>
          <w:rFonts w:ascii="Times New Roman" w:hAnsi="Times New Roman" w:eastAsia="宋体" w:cstheme="minorBidi"/>
          <w:kern w:val="2"/>
          <w:sz w:val="24"/>
          <w:szCs w:val="22"/>
          <w:lang w:val="en-US" w:eastAsia="zh-CN" w:bidi="ar-SA"/>
          <w14:ligatures w14:val="standardContextual"/>
        </w:rPr>
      </w:pPr>
    </w:p>
    <w:p w14:paraId="329F6B5C">
      <w:pPr>
        <w:pStyle w:val="21"/>
        <w:ind w:left="0" w:leftChars="0" w:firstLine="0" w:firstLineChars="0"/>
        <w:rPr>
          <w:rFonts w:ascii="Times New Roman" w:hAnsi="Times New Roman" w:eastAsia="宋体" w:cstheme="minorBidi"/>
          <w:kern w:val="2"/>
          <w:sz w:val="24"/>
          <w:szCs w:val="22"/>
          <w:lang w:val="en-US" w:eastAsia="zh-CN" w:bidi="ar-SA"/>
          <w14:ligatures w14:val="standardContextual"/>
        </w:rPr>
      </w:pPr>
    </w:p>
    <w:p w14:paraId="738B8E1E">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附件1：委托书</w:t>
      </w:r>
    </w:p>
    <w:p w14:paraId="2D72B973">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附件2：项目备案证明</w:t>
      </w:r>
    </w:p>
    <w:p w14:paraId="250A158F">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附件3：项目用地情况说明</w:t>
      </w:r>
    </w:p>
    <w:p w14:paraId="14516913">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附件4：土地勘测定界技术报告</w:t>
      </w:r>
    </w:p>
    <w:p w14:paraId="1D1481AD">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附件5：现有工程环评批复</w:t>
      </w:r>
    </w:p>
    <w:p w14:paraId="1778581D">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附件6：现有工程突发环境事件应急预案备案表</w:t>
      </w:r>
    </w:p>
    <w:p w14:paraId="0C314EAA">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附件7：现有工程排污许可登记回执</w:t>
      </w:r>
    </w:p>
    <w:p w14:paraId="5C60A1A8">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附件8：现有工程竣工验收意见及备案表</w:t>
      </w:r>
    </w:p>
    <w:p w14:paraId="5A81FFBE">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附件9：建设单位危废处置协议</w:t>
      </w:r>
    </w:p>
    <w:p w14:paraId="10DA64CF">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附件10：县交通局同意设置拆解点的意见</w:t>
      </w:r>
    </w:p>
    <w:p w14:paraId="794F29B2">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附件11：现有工程防洪评价批复</w:t>
      </w:r>
    </w:p>
    <w:p w14:paraId="3C2F7BA3">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附件12：现状监测报告</w:t>
      </w:r>
    </w:p>
    <w:p w14:paraId="37371C67">
      <w:pPr>
        <w:pStyle w:val="21"/>
        <w:ind w:left="0" w:leftChars="0" w:firstLine="0" w:firstLineChars="0"/>
        <w:rPr>
          <w:rFonts w:hint="default" w:cstheme="minorBidi"/>
          <w:kern w:val="2"/>
          <w:sz w:val="24"/>
          <w:szCs w:val="22"/>
          <w:lang w:val="en-US" w:eastAsia="zh-CN" w:bidi="ar-SA"/>
          <w14:ligatures w14:val="standardContextual"/>
        </w:rPr>
      </w:pPr>
    </w:p>
    <w:p w14:paraId="2EB0DF70">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附图1：地理位置图</w:t>
      </w:r>
    </w:p>
    <w:p w14:paraId="0FE02A08">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附图2：扩建后总平面布置图</w:t>
      </w:r>
    </w:p>
    <w:p w14:paraId="1AC86400">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附图3：各环境要素评价范围图</w:t>
      </w:r>
    </w:p>
    <w:p w14:paraId="1E095477">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附图4：现状监测点位图</w:t>
      </w:r>
    </w:p>
    <w:p w14:paraId="6921BA4E">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附图5：与衡东县“三区三线”叠图</w:t>
      </w:r>
    </w:p>
    <w:p w14:paraId="72EC49D9">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附图6：周边环境保护目标图</w:t>
      </w:r>
    </w:p>
    <w:p w14:paraId="74EEA9CC">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附图7：区域水系图</w:t>
      </w:r>
    </w:p>
    <w:p w14:paraId="2AD40FB5">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附图8：现状照片</w:t>
      </w:r>
    </w:p>
    <w:p w14:paraId="40B17ACF">
      <w:pPr>
        <w:pStyle w:val="21"/>
        <w:ind w:left="0" w:leftChars="0" w:firstLine="0" w:firstLineChars="0"/>
        <w:rPr>
          <w:rFonts w:hint="eastAsia" w:cstheme="minorBidi"/>
          <w:kern w:val="2"/>
          <w:sz w:val="24"/>
          <w:szCs w:val="22"/>
          <w:lang w:val="en-US" w:eastAsia="zh-CN" w:bidi="ar-SA"/>
          <w14:ligatures w14:val="standardContextual"/>
        </w:rPr>
      </w:pPr>
    </w:p>
    <w:p w14:paraId="56285FF1">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附表1：大气环境影响评价自查表</w:t>
      </w:r>
    </w:p>
    <w:p w14:paraId="2BFB6567">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附表2：声环境影响评价自查表</w:t>
      </w:r>
    </w:p>
    <w:p w14:paraId="7E19825F">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附表3：地表水环境影响评价自查表</w:t>
      </w:r>
    </w:p>
    <w:p w14:paraId="7C9F4925">
      <w:pPr>
        <w:pStyle w:val="21"/>
        <w:ind w:left="0" w:leftChars="0" w:firstLine="0" w:firstLineChars="0"/>
        <w:rPr>
          <w:rFonts w:hint="eastAsia" w:cstheme="minorBidi"/>
          <w:kern w:val="2"/>
          <w:sz w:val="24"/>
          <w:szCs w:val="22"/>
          <w:lang w:val="en-US" w:eastAsia="zh-CN" w:bidi="ar-SA"/>
          <w14:ligatures w14:val="standardContextual"/>
        </w:rPr>
      </w:pPr>
      <w:r>
        <w:rPr>
          <w:rFonts w:hint="eastAsia" w:cstheme="minorBidi"/>
          <w:kern w:val="2"/>
          <w:sz w:val="24"/>
          <w:szCs w:val="22"/>
          <w:lang w:val="en-US" w:eastAsia="zh-CN" w:bidi="ar-SA"/>
          <w14:ligatures w14:val="standardContextual"/>
        </w:rPr>
        <w:t>附表4：环境风险评价自查表</w:t>
      </w:r>
    </w:p>
    <w:p w14:paraId="22DB0B38">
      <w:pPr>
        <w:pStyle w:val="21"/>
        <w:ind w:left="0" w:leftChars="0" w:firstLine="0" w:firstLineChars="0"/>
        <w:rPr>
          <w:rFonts w:hint="default" w:cstheme="minorBidi"/>
          <w:kern w:val="2"/>
          <w:sz w:val="24"/>
          <w:szCs w:val="22"/>
          <w:lang w:val="en-US" w:eastAsia="zh-CN" w:bidi="ar-SA"/>
          <w14:ligatures w14:val="standardContextual"/>
        </w:rPr>
        <w:sectPr>
          <w:pgSz w:w="11906" w:h="16838"/>
          <w:pgMar w:top="1440" w:right="1800" w:bottom="1440" w:left="1800" w:header="851" w:footer="992" w:gutter="0"/>
          <w:cols w:space="425" w:num="1"/>
          <w:docGrid w:type="lines" w:linePitch="312" w:charSpace="0"/>
        </w:sectPr>
      </w:pPr>
      <w:r>
        <w:rPr>
          <w:rFonts w:hint="eastAsia" w:cstheme="minorBidi"/>
          <w:kern w:val="2"/>
          <w:sz w:val="24"/>
          <w:szCs w:val="22"/>
          <w:lang w:val="en-US" w:eastAsia="zh-CN" w:bidi="ar-SA"/>
          <w14:ligatures w14:val="standardContextual"/>
        </w:rPr>
        <w:t>附表5：建设项目环境影响报告书审批基础信息表</w:t>
      </w:r>
    </w:p>
    <w:p w14:paraId="74BEBDA7">
      <w:pPr>
        <w:pStyle w:val="25"/>
      </w:pPr>
      <w:bookmarkStart w:id="0" w:name="_Toc31998"/>
      <w:r>
        <w:rPr>
          <w:rFonts w:hint="eastAsia"/>
        </w:rPr>
        <w:t>1概述</w:t>
      </w:r>
      <w:bookmarkEnd w:id="0"/>
    </w:p>
    <w:p w14:paraId="50EF3902">
      <w:pPr>
        <w:pStyle w:val="28"/>
      </w:pPr>
      <w:bookmarkStart w:id="1" w:name="_Toc22849"/>
      <w:r>
        <w:rPr>
          <w:rFonts w:hint="eastAsia"/>
        </w:rPr>
        <w:t>1.1项目背景</w:t>
      </w:r>
      <w:bookmarkEnd w:id="1"/>
    </w:p>
    <w:p w14:paraId="09324FEB">
      <w:pPr>
        <w:pStyle w:val="21"/>
        <w:ind w:firstLine="480"/>
      </w:pPr>
      <w:r>
        <w:rPr>
          <w:rFonts w:hint="eastAsia"/>
        </w:rPr>
        <w:t>随着湖南省长江干线船型标准化工作的全面开展，现有船舶拆解改造定点船舶修造厂不能满足船舶所有人对船舶拆解改造服务需要，特别是船舶船籍港所在地无定点拆解改造船舶修造厂的，船舶所有人要付出更大的成本进行船舶拆解改造。湖南省水运事务中心于2023年4月11日做出的关于《符合省统筹资金补贴条件的拆解现有客船及新建电力推进客船名单》的公示可知，根据《湖南省财政厅湖南省交通运输厅关于印发湖南省农村客运和出租车油价补贴政策调整实施方案的通知》（湘财建〔2022〕38号）要求，湖南省水运事务中心对各市州上报的2022年度拆解现有客船及新建电力推进客船进行了审核，共有160艘拆解现有客船和6艘新建电力推进客船符合省统筹资金补贴条件，其中衡阳现有客船拆解测算金额11.08万元，仅占本次资金补贴1.35%。</w:t>
      </w:r>
    </w:p>
    <w:p w14:paraId="2036836A">
      <w:pPr>
        <w:pStyle w:val="21"/>
        <w:bidi w:val="0"/>
        <w:rPr>
          <w:rFonts w:hint="default" w:eastAsia="宋体"/>
          <w:u w:val="single"/>
          <w:lang w:val="en-US" w:eastAsia="zh-CN"/>
        </w:rPr>
      </w:pPr>
      <w:r>
        <w:rPr>
          <w:rFonts w:hint="eastAsia"/>
          <w:lang w:val="en-US" w:eastAsia="zh-CN"/>
        </w:rPr>
        <w:t>衡东兴泰船舶维修有限公司</w:t>
      </w:r>
      <w:r>
        <w:rPr>
          <w:rFonts w:hint="eastAsia"/>
          <w:u w:val="none"/>
        </w:rPr>
        <w:t>成立于201</w:t>
      </w:r>
      <w:r>
        <w:rPr>
          <w:rFonts w:hint="eastAsia"/>
          <w:u w:val="none"/>
          <w:lang w:val="en-US" w:eastAsia="zh-CN"/>
        </w:rPr>
        <w:t>7</w:t>
      </w:r>
      <w:r>
        <w:rPr>
          <w:rFonts w:hint="eastAsia"/>
          <w:u w:val="none"/>
        </w:rPr>
        <w:t>年，于2018年在衡阳市衡东县三樟镇长江村湘江滩涂，开展船舶修理建设项目。其规模为年维修船舶5万载重吨（折合约50艘1000载重吨船舶规模），修理内容为船舶的切割换块和补漆。项目建成投产以来，未执行环境影响评价手续。2018年，衡东县环境保护局环境监察人员现场检查，提出项目未按照要求办理环境影响评价手续，无污染防治措施，无排污许可证。因此，衡东县环保局按照法定程序对衡东兴泰船舶维修有限公司船舶修理建设项目进行了行政处罚，企业主已按照处罚要求，缴纳了罚款。</w:t>
      </w:r>
      <w:r>
        <w:rPr>
          <w:rFonts w:hint="eastAsia"/>
          <w:u w:val="none"/>
          <w:lang w:val="en-US" w:eastAsia="zh-CN"/>
        </w:rPr>
        <w:t>之后委托重庆大润环境科学研究院有限公司于2019年2月编制完成《衡东兴泰船舶维修有限公司船舶修理建设项目环境影响报告书》的编制，2019年4月30日由衡东县环境保护局下达该环评文件的批复（东环评[2019]14号）。建设单位按照环境影响报告书完成现场整改后，于2021年1月完成竣工环境保护自主验收工作。</w:t>
      </w:r>
    </w:p>
    <w:p w14:paraId="6A3092AE">
      <w:pPr>
        <w:pStyle w:val="21"/>
        <w:bidi w:val="0"/>
        <w:rPr>
          <w:rFonts w:hint="default"/>
          <w:lang w:val="en-US" w:eastAsia="zh-CN"/>
        </w:rPr>
      </w:pPr>
      <w:r>
        <w:rPr>
          <w:rFonts w:hint="eastAsia"/>
        </w:rPr>
        <w:t>为了给广大船舶所有人提供更快捷的服务，根据财政部、交通运输部《长江干线船型标准化补贴资金管理办法》和交通运输部《关于做好推进长江干线船型标准化有关准备工作的通知》（厅水字〔2009〕167号）以及湖南省财政厅、湖南省交通运输厅《关于推进长江干线船型标准化工作的实施方案》，</w:t>
      </w:r>
      <w:r>
        <w:rPr>
          <w:rFonts w:hint="eastAsia"/>
          <w:lang w:val="en-US" w:eastAsia="zh-CN"/>
        </w:rPr>
        <w:t>衡东兴泰船舶维修有限公司</w:t>
      </w:r>
      <w:r>
        <w:rPr>
          <w:rFonts w:hint="eastAsia"/>
        </w:rPr>
        <w:t>计划升级为船舶拆解定点，拟扩建1个标准化船舶拆除集中点，其他设施均依托现有项目，年拆除</w:t>
      </w:r>
      <w:r>
        <w:rPr>
          <w:rFonts w:hint="eastAsia"/>
          <w:lang w:val="en-US" w:eastAsia="zh-CN"/>
        </w:rPr>
        <w:t>30</w:t>
      </w:r>
      <w:r>
        <w:rPr>
          <w:rFonts w:hint="eastAsia"/>
        </w:rPr>
        <w:t>艘报废船舶（</w:t>
      </w:r>
      <w:r>
        <w:rPr>
          <w:rFonts w:hint="eastAsia"/>
          <w:lang w:val="en-US" w:eastAsia="zh-CN"/>
        </w:rPr>
        <w:t>20~</w:t>
      </w:r>
      <w:r>
        <w:rPr>
          <w:rFonts w:hint="eastAsia"/>
        </w:rPr>
        <w:t>1000载重吨</w:t>
      </w:r>
      <w:r>
        <w:rPr>
          <w:rFonts w:hint="eastAsia"/>
          <w:lang w:val="en-US" w:eastAsia="zh-CN"/>
        </w:rPr>
        <w:t>不等</w:t>
      </w:r>
      <w:r>
        <w:rPr>
          <w:rFonts w:hint="eastAsia"/>
        </w:rPr>
        <w:t>），并购置相关设备</w:t>
      </w:r>
      <w:r>
        <w:rPr>
          <w:rFonts w:hint="eastAsia"/>
          <w:lang w:eastAsia="zh-CN"/>
        </w:rPr>
        <w:t>，</w:t>
      </w:r>
      <w:r>
        <w:rPr>
          <w:rFonts w:hint="eastAsia"/>
          <w:lang w:val="en-US" w:eastAsia="zh-CN"/>
        </w:rPr>
        <w:t>本项目仅进行基本拆解，不从事二次拆解。</w:t>
      </w:r>
    </w:p>
    <w:p w14:paraId="47FF738E">
      <w:pPr>
        <w:pStyle w:val="21"/>
        <w:ind w:firstLine="480"/>
        <w:rPr>
          <w:rFonts w:hint="eastAsia"/>
        </w:rPr>
      </w:pPr>
      <w:r>
        <w:rPr>
          <w:rFonts w:hint="eastAsia"/>
        </w:rPr>
        <w:t>依据《国民经济行业分类（GB/T4754-2017）》及国家统计局关于《执行国民经济行业分类第1号修改单的通知（国统字</w:t>
      </w:r>
      <w:r>
        <w:rPr>
          <w:rFonts w:hint="eastAsia" w:ascii="宋体" w:hAnsi="宋体"/>
        </w:rPr>
        <w:t>〔</w:t>
      </w:r>
      <w:r>
        <w:rPr>
          <w:rFonts w:hint="eastAsia"/>
        </w:rPr>
        <w:t>2019</w:t>
      </w:r>
      <w:r>
        <w:rPr>
          <w:rFonts w:hint="eastAsia" w:ascii="宋体" w:hAnsi="宋体"/>
        </w:rPr>
        <w:t>〕</w:t>
      </w:r>
      <w:r>
        <w:rPr>
          <w:rFonts w:hint="eastAsia"/>
        </w:rPr>
        <w:t>66号）文》 更新，明确本次扩建项目的国民经济行业分类和代码为“C3736船舶拆除、C42废弃资源综合利用业”，因此对应《建设项目环境影响评价分类管理名录（2021年版）》（部令 第16号），本次扩建项目属于“三十四、铁路、船舶、航空航天和其他运输设备制造业37 - 73.船舶及相关装置制造373-造船、拆船、修船厂（报告书）；三十九、废弃资源综合利用业43-别</w:t>
      </w:r>
      <w:r>
        <w:rPr>
          <w:rFonts w:hint="eastAsia"/>
        </w:rPr>
        <w:tab/>
      </w:r>
      <w:r>
        <w:rPr>
          <w:rFonts w:hint="eastAsia"/>
        </w:rPr>
        <w:t>85.金属废料和碎屑加工处理421；非金属废料和碎屑加工处理422（421和422均不含原料为危险废物的，均不含仅分拣、破碎的）-废船加工处理（报告表）”，因此本次扩建项目需编制环境影响报告书；为此，</w:t>
      </w:r>
      <w:r>
        <w:rPr>
          <w:rFonts w:hint="eastAsia"/>
          <w:lang w:val="en-US" w:eastAsia="zh-CN"/>
        </w:rPr>
        <w:t>衡东兴泰船舶维修有限公司</w:t>
      </w:r>
      <w:r>
        <w:rPr>
          <w:rFonts w:hint="eastAsia"/>
        </w:rPr>
        <w:t>根据《中华人民共和国环境影响评价法》和《建设项目环境保护管理条例》（国令 第682号）中相关规定，委托</w:t>
      </w:r>
      <w:r>
        <w:rPr>
          <w:rFonts w:hint="eastAsia"/>
          <w:lang w:val="en-US" w:eastAsia="zh-CN"/>
        </w:rPr>
        <w:t>湖南易恒环保科技有限公司</w:t>
      </w:r>
      <w:r>
        <w:rPr>
          <w:rFonts w:hint="eastAsia"/>
        </w:rPr>
        <w:t>承担建设项目环境影响评价工作。我单位在资料收集分析、研究、现场踏勘和委托相关监测单位进行环境质量现状监测基础上，依据国家、地方法律法规、相关技术导则的要求，通过对有关资料的调研、整理、计算、分析，编制了本环境影响报告书。</w:t>
      </w:r>
    </w:p>
    <w:p w14:paraId="231EB650">
      <w:pPr>
        <w:pStyle w:val="28"/>
      </w:pPr>
      <w:bookmarkStart w:id="2" w:name="_Toc11303"/>
      <w:r>
        <w:rPr>
          <w:rFonts w:hint="eastAsia"/>
        </w:rPr>
        <w:t>1.2建设项目特点</w:t>
      </w:r>
      <w:bookmarkEnd w:id="2"/>
    </w:p>
    <w:p w14:paraId="350A35B8">
      <w:pPr>
        <w:pStyle w:val="21"/>
        <w:ind w:firstLine="480"/>
      </w:pPr>
      <w:r>
        <w:rPr>
          <w:rFonts w:hint="eastAsia"/>
        </w:rPr>
        <w:t>（1）本项目在公司现有场地内进行，用于船舶拆解的</w:t>
      </w:r>
      <w:r>
        <w:rPr>
          <w:rFonts w:hint="eastAsia"/>
          <w:lang w:val="en-US" w:eastAsia="zh-CN"/>
        </w:rPr>
        <w:t>平台</w:t>
      </w:r>
      <w:r>
        <w:rPr>
          <w:rFonts w:hint="eastAsia"/>
        </w:rPr>
        <w:t>已建成。拆船工艺流程为检查船体-制定拆解方案-测爆-清油-拆除生活设施和舾装件-拆除上层建筑-拆除船体-二次拆解-清理拆解现场。</w:t>
      </w:r>
    </w:p>
    <w:p w14:paraId="63BBADAE">
      <w:pPr>
        <w:pStyle w:val="21"/>
        <w:ind w:firstLine="480"/>
      </w:pPr>
      <w:r>
        <w:rPr>
          <w:rFonts w:hint="eastAsia"/>
        </w:rPr>
        <w:t>项目拆解船舶产生的大部分可进一步综合利用的材料外售至对应回收企业，建设配套仓库用于贮存拆解产生的产品。</w:t>
      </w:r>
    </w:p>
    <w:p w14:paraId="3202E43F">
      <w:pPr>
        <w:pStyle w:val="21"/>
        <w:ind w:firstLine="480"/>
      </w:pPr>
      <w:r>
        <w:rPr>
          <w:rFonts w:hint="eastAsia"/>
        </w:rPr>
        <w:t>（3）本项目拆船前对接收拟拆除的船舶严格检查，接收前先要求船主方委托具备洗舱能力的洗舱站清洗并取得相关报告后方可进船台，涉及可燃气体运输的船舶在拆解前需取得可燃气体清除报告。</w:t>
      </w:r>
    </w:p>
    <w:p w14:paraId="0D9D378D">
      <w:pPr>
        <w:pStyle w:val="21"/>
        <w:ind w:firstLine="480"/>
        <w:rPr>
          <w:rFonts w:hint="eastAsia"/>
        </w:rPr>
      </w:pPr>
      <w:r>
        <w:rPr>
          <w:rFonts w:hint="eastAsia"/>
        </w:rPr>
        <w:t>（6）</w:t>
      </w:r>
      <w:r>
        <w:rPr>
          <w:rFonts w:hint="eastAsia"/>
          <w:lang w:val="en-US" w:eastAsia="zh-CN"/>
        </w:rPr>
        <w:t>项目生产废水、初期雨水经初期雨水池收集后通过自动水泵抽至防洪堤内侧的废水处理站处理达标后，优先回用于项目生产，不能回用部分通过罐车运至三樟镇污水处理厂深度处理后排放</w:t>
      </w:r>
      <w:r>
        <w:rPr>
          <w:rFonts w:hint="eastAsia"/>
        </w:rPr>
        <w:t>。</w:t>
      </w:r>
    </w:p>
    <w:p w14:paraId="49F25D42">
      <w:pPr>
        <w:pStyle w:val="28"/>
      </w:pPr>
      <w:bookmarkStart w:id="3" w:name="_Toc84"/>
      <w:r>
        <w:rPr>
          <w:rFonts w:hint="eastAsia"/>
        </w:rPr>
        <w:t>1.3环境影响评价的工作过程</w:t>
      </w:r>
      <w:bookmarkEnd w:id="3"/>
    </w:p>
    <w:p w14:paraId="76302EE2">
      <w:pPr>
        <w:pStyle w:val="21"/>
        <w:ind w:firstLine="480"/>
      </w:pPr>
      <w:r>
        <w:rPr>
          <w:rFonts w:hint="eastAsia"/>
        </w:rPr>
        <w:t>根据《建设项目环境影响评价技术导则 总则》（H</w:t>
      </w:r>
      <w:r>
        <w:t>J2.1-2016</w:t>
      </w:r>
      <w:r>
        <w:rPr>
          <w:rFonts w:hint="eastAsia"/>
        </w:rPr>
        <w:t>），</w:t>
      </w:r>
      <w:r>
        <w:t>分析判定建设项目选址选线、规模、性质和工艺路线等与国家和地方有关环境保护法律法规、标准、政策、规范、相关规划、规划环境影响评价结论及审查意见的符合性，并与生态保护红线、环境质量底线、资源利用上线和环境准入负面清单进行对照，作为开展环境影响评价工作的前提和基础。</w:t>
      </w:r>
    </w:p>
    <w:p w14:paraId="4778701A">
      <w:pPr>
        <w:pStyle w:val="31"/>
      </w:pPr>
      <w:r>
        <w:drawing>
          <wp:inline distT="0" distB="0" distL="0" distR="0">
            <wp:extent cx="5324475" cy="6367780"/>
            <wp:effectExtent l="0" t="0" r="9525" b="139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402132" cy="6460705"/>
                    </a:xfrm>
                    <a:prstGeom prst="rect">
                      <a:avLst/>
                    </a:prstGeom>
                  </pic:spPr>
                </pic:pic>
              </a:graphicData>
            </a:graphic>
          </wp:inline>
        </w:drawing>
      </w:r>
    </w:p>
    <w:p w14:paraId="1E956C44">
      <w:pPr>
        <w:pStyle w:val="23"/>
      </w:pPr>
      <w:r>
        <w:t>图1-1  建设项目环境影响评价工作程序图</w:t>
      </w:r>
    </w:p>
    <w:p w14:paraId="06305BC0">
      <w:pPr>
        <w:pStyle w:val="39"/>
        <w:ind w:firstLine="480"/>
      </w:pPr>
      <w:r>
        <w:t>环境影响评价工作一般分为三个阶段，即调查分析和工作方案制定阶段，分析论证和预测评价阶段，环境影响报告书</w:t>
      </w:r>
      <w:r>
        <w:rPr>
          <w:rFonts w:hint="eastAsia"/>
        </w:rPr>
        <w:t>（表）</w:t>
      </w:r>
      <w:r>
        <w:t>编制阶段。</w:t>
      </w:r>
    </w:p>
    <w:p w14:paraId="083C7B91">
      <w:pPr>
        <w:pStyle w:val="39"/>
        <w:ind w:firstLine="480"/>
      </w:pPr>
      <w:r>
        <w:t>环境影响报告书编制要求</w:t>
      </w:r>
      <w:r>
        <w:rPr>
          <w:rFonts w:hint="eastAsia"/>
        </w:rPr>
        <w:t>：</w:t>
      </w:r>
    </w:p>
    <w:p w14:paraId="135D209A">
      <w:pPr>
        <w:pStyle w:val="39"/>
        <w:ind w:firstLine="480"/>
      </w:pPr>
      <w:r>
        <w:t>a. 一般包括概述、总则、建设项目工程分析、环境现状调查与评价、环境影响预测与评价、环境保护措施及其可行性论证、环境影响经济损益分析、环境管理与监测计划、环境影响评价结论和附录附件等内容。</w:t>
      </w:r>
    </w:p>
    <w:p w14:paraId="76B86CE3">
      <w:pPr>
        <w:pStyle w:val="39"/>
        <w:ind w:firstLine="480"/>
      </w:pPr>
      <w:r>
        <w:t>概述可简要说明建设项目的特点、环境影响评价的工作过程、分析判定相关情况、关注的主要环境问题及环境影响、环境影响评价的主要结论等。总则应包括编制依据、评价因子与评价标准、评价工作等级和评价范围、相关规划及环境功能区划、主要环境保护目标等。附录和附件应包括项目依据文件、相关技术资料、引用文献等。</w:t>
      </w:r>
    </w:p>
    <w:p w14:paraId="1C364278">
      <w:pPr>
        <w:pStyle w:val="39"/>
        <w:ind w:firstLine="480"/>
      </w:pPr>
      <w:r>
        <w:t>b. 应概括地反映环境影响评价的全部工作成果，突出重点。工程分析应体现工程特点，环境现状调查应反映环境特征，主要环境问题应阐述清楚，影响预测方法应科学，预测结果应可信，环境保护措施应可行、有效，评价结论应明确。</w:t>
      </w:r>
    </w:p>
    <w:p w14:paraId="4CD24FB1">
      <w:pPr>
        <w:pStyle w:val="21"/>
        <w:ind w:firstLine="480"/>
        <w:rPr>
          <w:rFonts w:hint="eastAsia"/>
        </w:rPr>
      </w:pPr>
      <w:r>
        <w:t>c. 文字应简洁、准确，文本应规范，计量单位应标准化，数据应真实、可信，资料应翔实，应强化先进信息技术的应用，图表信息应满足环境质量现状评价和环境影响预测评价的要求。</w:t>
      </w:r>
    </w:p>
    <w:p w14:paraId="51BE1587">
      <w:pPr>
        <w:pStyle w:val="28"/>
      </w:pPr>
      <w:bookmarkStart w:id="4" w:name="_Toc20832"/>
      <w:r>
        <w:rPr>
          <w:rFonts w:hint="eastAsia"/>
        </w:rPr>
        <w:t>1.4分析判定相关情况</w:t>
      </w:r>
      <w:bookmarkEnd w:id="4"/>
    </w:p>
    <w:p w14:paraId="63004452">
      <w:pPr>
        <w:pStyle w:val="33"/>
        <w:bidi w:val="0"/>
        <w:rPr>
          <w:rFonts w:hint="eastAsia"/>
          <w:lang w:val="en-US" w:eastAsia="zh-CN"/>
        </w:rPr>
      </w:pPr>
      <w:bookmarkStart w:id="5" w:name="_Toc6389"/>
      <w:r>
        <w:rPr>
          <w:rFonts w:hint="eastAsia"/>
          <w:lang w:val="en-US" w:eastAsia="zh-CN"/>
        </w:rPr>
        <w:t>1.4.1产业政策符合性分析</w:t>
      </w:r>
      <w:bookmarkEnd w:id="5"/>
    </w:p>
    <w:p w14:paraId="053643BD">
      <w:pPr>
        <w:pStyle w:val="21"/>
        <w:rPr>
          <w:rFonts w:hint="eastAsia"/>
        </w:rPr>
      </w:pPr>
      <w:r>
        <w:rPr>
          <w:rFonts w:hint="eastAsia"/>
        </w:rPr>
        <w:t>根据《产业结构调整指导目录（2024年本）》，经查询，本次扩建项目工艺不采用“第三类 淘汰类-一、落后生产工艺设备-（十一）船舶-1.废旧船舶滩涂拆解工艺”，建设标准化船舶拆除集中点，属于“第一类 鼓励类-四十二、环境保护与资源节约综合利用-8.废弃物循环利用-废旧船舶等城市典型废弃物循环利用、技术设备开发及应用”，因此符合国家有关法律、法规和政策规定；对照中华人民共和国工业和信息化部颁布的《部分工业行业淘汰落后生产工艺装备和产品指导目录（2010年本）》（工产业[2010]第122号），本次扩建项目的工艺、设备和产品不在淘汰落后生产工艺装备目录中；企业从事船舶修理和废船拆解也均不在《市场准入负面清单（2022年版）》禁止准入类、与市场准入相关的禁止性规定内；</w:t>
      </w:r>
      <w:r>
        <w:rPr>
          <w:rFonts w:hint="eastAsia"/>
          <w:lang w:val="en-US" w:eastAsia="zh-CN"/>
        </w:rPr>
        <w:t>企业船台用地为港口码头用地</w:t>
      </w:r>
      <w:r>
        <w:rPr>
          <w:rFonts w:hint="eastAsia"/>
        </w:rPr>
        <w:t>，已办理湖南省港口岸线（水域、滩地）使用证，明确使用内容为船舶修理等</w:t>
      </w:r>
      <w:r>
        <w:rPr>
          <w:rFonts w:hint="eastAsia"/>
          <w:lang w:eastAsia="zh-CN"/>
        </w:rPr>
        <w:t>，</w:t>
      </w:r>
      <w:r>
        <w:rPr>
          <w:rFonts w:hint="eastAsia"/>
          <w:lang w:val="en-US" w:eastAsia="zh-CN"/>
        </w:rPr>
        <w:t>目前企业正在办理土地出让手续</w:t>
      </w:r>
      <w:r>
        <w:rPr>
          <w:rFonts w:hint="eastAsia"/>
        </w:rPr>
        <w:t>，项目用地均不属于《限制用地项目目录（2012年本）》和《禁止用地项目目录（2012年本）》（国土资发〔2012〕98号）。因此，项目建设符合国家产业政策要求。</w:t>
      </w:r>
    </w:p>
    <w:p w14:paraId="33044D3F">
      <w:pPr>
        <w:pStyle w:val="33"/>
      </w:pPr>
      <w:bookmarkStart w:id="6" w:name="_Toc26553"/>
      <w:bookmarkStart w:id="7" w:name="_Toc26613"/>
      <w:r>
        <w:rPr>
          <w:rFonts w:hint="eastAsia"/>
        </w:rPr>
        <w:t>1.4.2与《绿色拆船通用规范》（</w:t>
      </w:r>
      <w:r>
        <w:t>GB/T 36661-2018）</w:t>
      </w:r>
      <w:r>
        <w:rPr>
          <w:rFonts w:hint="eastAsia"/>
        </w:rPr>
        <w:t>符合性分析</w:t>
      </w:r>
      <w:bookmarkEnd w:id="6"/>
      <w:bookmarkEnd w:id="7"/>
    </w:p>
    <w:p w14:paraId="44CBC2DC">
      <w:pPr>
        <w:pStyle w:val="21"/>
        <w:ind w:firstLine="480"/>
      </w:pPr>
      <w:r>
        <w:rPr>
          <w:rFonts w:hint="eastAsia"/>
        </w:rPr>
        <w:t>本次扩建项目与《绿色拆船通用规范》（</w:t>
      </w:r>
      <w:r>
        <w:t>GB/T 36661-2018）</w:t>
      </w:r>
      <w:r>
        <w:rPr>
          <w:rFonts w:hint="eastAsia"/>
        </w:rPr>
        <w:t>中明确的拆船环境保护基本要求符合性分析，具体情况详见下表。</w:t>
      </w:r>
    </w:p>
    <w:p w14:paraId="57FF40F8">
      <w:pPr>
        <w:pStyle w:val="23"/>
      </w:pPr>
      <w:r>
        <w:rPr>
          <w:rFonts w:hint="eastAsia"/>
        </w:rPr>
        <w:t>表1</w:t>
      </w:r>
      <w:r>
        <w:t xml:space="preserve">-1  </w:t>
      </w:r>
      <w:r>
        <w:rPr>
          <w:rFonts w:hint="eastAsia"/>
        </w:rPr>
        <w:t>项目与拆船环境保护基本要求符合性分析一览表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44"/>
        <w:gridCol w:w="836"/>
        <w:gridCol w:w="3218"/>
        <w:gridCol w:w="3213"/>
        <w:gridCol w:w="651"/>
      </w:tblGrid>
      <w:tr w14:paraId="06A3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6" w:type="pct"/>
            <w:vAlign w:val="center"/>
          </w:tcPr>
          <w:p w14:paraId="766C5C22">
            <w:pPr>
              <w:pStyle w:val="31"/>
              <w:rPr>
                <w:rFonts w:cs="Times New Roman"/>
                <w:kern w:val="0"/>
              </w:rPr>
            </w:pPr>
            <w:r>
              <w:rPr>
                <w:rFonts w:hint="eastAsia" w:cs="Times New Roman"/>
                <w:kern w:val="0"/>
              </w:rPr>
              <w:t>序号</w:t>
            </w:r>
          </w:p>
        </w:tc>
        <w:tc>
          <w:tcPr>
            <w:tcW w:w="2424" w:type="pct"/>
            <w:gridSpan w:val="2"/>
            <w:vAlign w:val="center"/>
          </w:tcPr>
          <w:p w14:paraId="36176FBA">
            <w:pPr>
              <w:pStyle w:val="31"/>
              <w:rPr>
                <w:rFonts w:cs="Times New Roman"/>
                <w:kern w:val="0"/>
              </w:rPr>
            </w:pPr>
            <w:r>
              <w:rPr>
                <w:rFonts w:hint="eastAsia" w:cs="Times New Roman"/>
                <w:kern w:val="0"/>
              </w:rPr>
              <w:t>控制标准</w:t>
            </w:r>
          </w:p>
        </w:tc>
        <w:tc>
          <w:tcPr>
            <w:tcW w:w="1921" w:type="pct"/>
            <w:vAlign w:val="center"/>
          </w:tcPr>
          <w:p w14:paraId="3C25F149">
            <w:pPr>
              <w:pStyle w:val="31"/>
              <w:rPr>
                <w:rFonts w:cs="Times New Roman"/>
                <w:kern w:val="0"/>
              </w:rPr>
            </w:pPr>
            <w:r>
              <w:rPr>
                <w:rFonts w:hint="eastAsia" w:cs="Times New Roman"/>
                <w:kern w:val="0"/>
              </w:rPr>
              <w:t>扩建项目情况</w:t>
            </w:r>
          </w:p>
        </w:tc>
        <w:tc>
          <w:tcPr>
            <w:tcW w:w="389" w:type="pct"/>
            <w:vAlign w:val="center"/>
          </w:tcPr>
          <w:p w14:paraId="16A658A3">
            <w:pPr>
              <w:pStyle w:val="31"/>
              <w:rPr>
                <w:rFonts w:cs="Times New Roman"/>
                <w:kern w:val="0"/>
              </w:rPr>
            </w:pPr>
            <w:r>
              <w:rPr>
                <w:rFonts w:hint="eastAsia" w:cs="Times New Roman"/>
                <w:kern w:val="0"/>
              </w:rPr>
              <w:t>是否符合</w:t>
            </w:r>
          </w:p>
        </w:tc>
      </w:tr>
      <w:tr w14:paraId="70953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393F1840">
            <w:pPr>
              <w:pStyle w:val="31"/>
              <w:rPr>
                <w:rFonts w:cs="Times New Roman"/>
                <w:kern w:val="0"/>
              </w:rPr>
            </w:pPr>
            <w:r>
              <w:rPr>
                <w:rFonts w:hint="eastAsia" w:cs="Times New Roman"/>
                <w:kern w:val="0"/>
              </w:rPr>
              <w:t>1</w:t>
            </w:r>
          </w:p>
        </w:tc>
        <w:tc>
          <w:tcPr>
            <w:tcW w:w="500" w:type="pct"/>
            <w:vMerge w:val="restart"/>
            <w:vAlign w:val="center"/>
          </w:tcPr>
          <w:p w14:paraId="449223D8">
            <w:pPr>
              <w:pStyle w:val="31"/>
              <w:rPr>
                <w:rFonts w:cs="Times New Roman"/>
                <w:kern w:val="0"/>
              </w:rPr>
            </w:pPr>
            <w:r>
              <w:rPr>
                <w:rFonts w:hint="eastAsia" w:cs="Times New Roman"/>
                <w:kern w:val="0"/>
              </w:rPr>
              <w:t>拆船场所要求</w:t>
            </w:r>
          </w:p>
        </w:tc>
        <w:tc>
          <w:tcPr>
            <w:tcW w:w="1924" w:type="pct"/>
            <w:vAlign w:val="center"/>
          </w:tcPr>
          <w:p w14:paraId="3575F215">
            <w:pPr>
              <w:pStyle w:val="31"/>
              <w:rPr>
                <w:rFonts w:cs="Times New Roman"/>
                <w:kern w:val="0"/>
              </w:rPr>
            </w:pPr>
            <w:r>
              <w:rPr>
                <w:rFonts w:hint="eastAsia" w:cs="Times New Roman"/>
                <w:kern w:val="0"/>
              </w:rPr>
              <w:t>拆船场所应设在具备口岸查验条件的对外开放口岸范围内，</w:t>
            </w:r>
            <w:r>
              <w:rPr>
                <w:rFonts w:cs="Times New Roman"/>
                <w:kern w:val="0"/>
              </w:rPr>
              <w:t>不得设置在饮用水源地、海水区水电、盐场、重要的渔业水域、海水浴场、风景名胜以及其他环境保护敏感区域。不得建设在GB3838规定的</w:t>
            </w:r>
            <w:r>
              <w:rPr>
                <w:rFonts w:hint="eastAsia" w:cs="Times New Roman"/>
                <w:kern w:val="0"/>
              </w:rPr>
              <w:t>Ⅰ</w:t>
            </w:r>
            <w:r>
              <w:rPr>
                <w:rFonts w:cs="Times New Roman"/>
                <w:kern w:val="0"/>
              </w:rPr>
              <w:t>类、Ⅱ类、</w:t>
            </w:r>
            <w:r>
              <w:rPr>
                <w:rFonts w:hint="eastAsia" w:ascii="宋体" w:hAnsi="宋体" w:cs="Times New Roman"/>
                <w:kern w:val="0"/>
              </w:rPr>
              <w:t>Ⅲ</w:t>
            </w:r>
            <w:r>
              <w:rPr>
                <w:rFonts w:cs="Times New Roman"/>
                <w:kern w:val="0"/>
              </w:rPr>
              <w:t>类地表水功能区域内</w:t>
            </w:r>
            <w:r>
              <w:rPr>
                <w:rFonts w:hint="eastAsia" w:cs="Times New Roman"/>
                <w:kern w:val="0"/>
              </w:rPr>
              <w:t>，</w:t>
            </w:r>
            <w:r>
              <w:rPr>
                <w:rFonts w:cs="Times New Roman"/>
                <w:kern w:val="0"/>
              </w:rPr>
              <w:t>拆解场所的地表水质量应满足相应类别水质功能的要求</w:t>
            </w:r>
          </w:p>
        </w:tc>
        <w:tc>
          <w:tcPr>
            <w:tcW w:w="1921" w:type="pct"/>
            <w:vAlign w:val="center"/>
          </w:tcPr>
          <w:p w14:paraId="08D4D697">
            <w:pPr>
              <w:pStyle w:val="31"/>
              <w:rPr>
                <w:rFonts w:cs="Times New Roman"/>
                <w:kern w:val="0"/>
              </w:rPr>
            </w:pPr>
            <w:r>
              <w:rPr>
                <w:rFonts w:hint="eastAsia" w:cs="Times New Roman"/>
                <w:kern w:val="0"/>
              </w:rPr>
              <w:t>企业具备湖南省港口岸线（水域、滩地）使用证（湘港字(岸0</w:t>
            </w:r>
            <w:r>
              <w:rPr>
                <w:rFonts w:cs="Times New Roman"/>
                <w:kern w:val="0"/>
              </w:rPr>
              <w:t>50035)</w:t>
            </w:r>
            <w:r>
              <w:rPr>
                <w:rFonts w:hint="eastAsia" w:cs="Times New Roman"/>
                <w:kern w:val="0"/>
              </w:rPr>
              <w:t>号），现有经营范围包括使用岸线用于船舶修补，目前正在办理变更延续手续</w:t>
            </w:r>
          </w:p>
        </w:tc>
        <w:tc>
          <w:tcPr>
            <w:tcW w:w="389" w:type="pct"/>
            <w:vAlign w:val="center"/>
          </w:tcPr>
          <w:p w14:paraId="683912DB">
            <w:pPr>
              <w:pStyle w:val="31"/>
              <w:rPr>
                <w:rFonts w:cs="Times New Roman"/>
                <w:kern w:val="0"/>
              </w:rPr>
            </w:pPr>
            <w:r>
              <w:rPr>
                <w:rFonts w:hint="eastAsia" w:cs="Times New Roman"/>
                <w:kern w:val="0"/>
              </w:rPr>
              <w:t>符合</w:t>
            </w:r>
          </w:p>
        </w:tc>
      </w:tr>
      <w:tr w14:paraId="5834A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278497D9">
            <w:pPr>
              <w:pStyle w:val="31"/>
              <w:rPr>
                <w:rFonts w:cs="Times New Roman"/>
                <w:kern w:val="0"/>
              </w:rPr>
            </w:pPr>
          </w:p>
        </w:tc>
        <w:tc>
          <w:tcPr>
            <w:tcW w:w="500" w:type="pct"/>
            <w:vMerge w:val="continue"/>
            <w:vAlign w:val="center"/>
          </w:tcPr>
          <w:p w14:paraId="24C230AF">
            <w:pPr>
              <w:pStyle w:val="31"/>
              <w:rPr>
                <w:rFonts w:cs="Times New Roman"/>
                <w:kern w:val="0"/>
              </w:rPr>
            </w:pPr>
          </w:p>
        </w:tc>
        <w:tc>
          <w:tcPr>
            <w:tcW w:w="1924" w:type="pct"/>
            <w:vAlign w:val="center"/>
          </w:tcPr>
          <w:p w14:paraId="48D25CAD">
            <w:pPr>
              <w:pStyle w:val="31"/>
              <w:rPr>
                <w:rFonts w:cs="Times New Roman"/>
                <w:kern w:val="0"/>
              </w:rPr>
            </w:pPr>
            <w:r>
              <w:rPr>
                <w:rFonts w:cs="Times New Roman"/>
                <w:kern w:val="0"/>
              </w:rPr>
              <w:t>拆船场所应通过环境影响评价及建设项目竣工环境保护验收</w:t>
            </w:r>
            <w:r>
              <w:rPr>
                <w:rFonts w:hint="eastAsia" w:cs="Times New Roman"/>
                <w:kern w:val="0"/>
              </w:rPr>
              <w:t>，</w:t>
            </w:r>
            <w:r>
              <w:rPr>
                <w:rFonts w:cs="Times New Roman"/>
                <w:kern w:val="0"/>
              </w:rPr>
              <w:t>采取工程技术和管理措施</w:t>
            </w:r>
            <w:r>
              <w:rPr>
                <w:rFonts w:hint="eastAsia" w:cs="Times New Roman"/>
                <w:kern w:val="0"/>
              </w:rPr>
              <w:t>，</w:t>
            </w:r>
            <w:r>
              <w:rPr>
                <w:rFonts w:cs="Times New Roman"/>
                <w:kern w:val="0"/>
              </w:rPr>
              <w:t>防止环境污染</w:t>
            </w:r>
          </w:p>
        </w:tc>
        <w:tc>
          <w:tcPr>
            <w:tcW w:w="1921" w:type="pct"/>
            <w:vAlign w:val="center"/>
          </w:tcPr>
          <w:p w14:paraId="493A2E0A">
            <w:pPr>
              <w:pStyle w:val="31"/>
              <w:rPr>
                <w:rFonts w:cs="Times New Roman"/>
                <w:kern w:val="0"/>
              </w:rPr>
            </w:pPr>
            <w:r>
              <w:rPr>
                <w:rFonts w:hint="eastAsia" w:cs="Times New Roman"/>
                <w:kern w:val="0"/>
              </w:rPr>
              <w:t>现有项目已办理环评，并按照批复完成验收，本次扩建内容正在办理环评手续中，本报告针对拆船可能会造成环境污染提出相应环境防治措施</w:t>
            </w:r>
          </w:p>
        </w:tc>
        <w:tc>
          <w:tcPr>
            <w:tcW w:w="389" w:type="pct"/>
            <w:vAlign w:val="center"/>
          </w:tcPr>
          <w:p w14:paraId="580523A0">
            <w:pPr>
              <w:pStyle w:val="31"/>
              <w:rPr>
                <w:rFonts w:cs="Times New Roman"/>
                <w:kern w:val="0"/>
              </w:rPr>
            </w:pPr>
            <w:r>
              <w:rPr>
                <w:rFonts w:hint="eastAsia" w:cs="Times New Roman"/>
                <w:kern w:val="0"/>
              </w:rPr>
              <w:t>符合</w:t>
            </w:r>
          </w:p>
        </w:tc>
      </w:tr>
      <w:tr w14:paraId="2265D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767E4C77">
            <w:pPr>
              <w:pStyle w:val="31"/>
              <w:rPr>
                <w:rFonts w:cs="Times New Roman"/>
                <w:kern w:val="0"/>
              </w:rPr>
            </w:pPr>
          </w:p>
        </w:tc>
        <w:tc>
          <w:tcPr>
            <w:tcW w:w="500" w:type="pct"/>
            <w:vMerge w:val="continue"/>
            <w:vAlign w:val="center"/>
          </w:tcPr>
          <w:p w14:paraId="66485781">
            <w:pPr>
              <w:pStyle w:val="31"/>
              <w:rPr>
                <w:rFonts w:cs="Times New Roman"/>
                <w:kern w:val="0"/>
              </w:rPr>
            </w:pPr>
          </w:p>
        </w:tc>
        <w:tc>
          <w:tcPr>
            <w:tcW w:w="1924" w:type="pct"/>
            <w:vAlign w:val="center"/>
          </w:tcPr>
          <w:p w14:paraId="0051EDD2">
            <w:pPr>
              <w:pStyle w:val="31"/>
              <w:rPr>
                <w:rFonts w:cs="Times New Roman"/>
                <w:kern w:val="0"/>
              </w:rPr>
            </w:pPr>
            <w:r>
              <w:rPr>
                <w:rFonts w:cs="Times New Roman"/>
                <w:kern w:val="0"/>
              </w:rPr>
              <w:t>拆船场所应分区设计和建造</w:t>
            </w:r>
            <w:r>
              <w:rPr>
                <w:rFonts w:hint="eastAsia" w:cs="Times New Roman"/>
                <w:kern w:val="0"/>
              </w:rPr>
              <w:t>，</w:t>
            </w:r>
            <w:r>
              <w:rPr>
                <w:rFonts w:cs="Times New Roman"/>
                <w:kern w:val="0"/>
              </w:rPr>
              <w:t>分为基本拆解区、二次拆解区、拆解的各类物资贮存区、一般废物(含生活垃圾)、危险废物分类存放与处置设备设施区</w:t>
            </w:r>
            <w:r>
              <w:rPr>
                <w:rFonts w:hint="eastAsia" w:cs="Times New Roman"/>
                <w:kern w:val="0"/>
              </w:rPr>
              <w:t>，</w:t>
            </w:r>
            <w:r>
              <w:rPr>
                <w:rFonts w:cs="Times New Roman"/>
                <w:kern w:val="0"/>
              </w:rPr>
              <w:t>以及办公和急设施区</w:t>
            </w:r>
            <w:r>
              <w:rPr>
                <w:rFonts w:hint="eastAsia" w:cs="Times New Roman"/>
                <w:kern w:val="0"/>
              </w:rPr>
              <w:t>，</w:t>
            </w:r>
            <w:r>
              <w:rPr>
                <w:rFonts w:cs="Times New Roman"/>
                <w:kern w:val="0"/>
              </w:rPr>
              <w:t>满足各区相应生产和管理要求。拆解区地面全部采取防渗漏、防泄漏措施</w:t>
            </w:r>
            <w:r>
              <w:rPr>
                <w:rFonts w:hint="eastAsia" w:cs="Times New Roman"/>
                <w:kern w:val="0"/>
              </w:rPr>
              <w:t>，</w:t>
            </w:r>
            <w:r>
              <w:rPr>
                <w:rFonts w:cs="Times New Roman"/>
                <w:kern w:val="0"/>
              </w:rPr>
              <w:t>满足防止土壤、地下水和周边环境污染的要求</w:t>
            </w:r>
            <w:r>
              <w:rPr>
                <w:rFonts w:hint="eastAsia" w:cs="Times New Roman"/>
                <w:kern w:val="0"/>
              </w:rPr>
              <w:t>，</w:t>
            </w:r>
            <w:r>
              <w:rPr>
                <w:rFonts w:cs="Times New Roman"/>
                <w:kern w:val="0"/>
              </w:rPr>
              <w:t>其中含油部件堆放和拆解场地应全部硬化处理。拆解区和贮存区地面应硬化处理并实行封闭管理</w:t>
            </w:r>
          </w:p>
        </w:tc>
        <w:tc>
          <w:tcPr>
            <w:tcW w:w="1921" w:type="pct"/>
            <w:vAlign w:val="center"/>
          </w:tcPr>
          <w:p w14:paraId="621D51BA">
            <w:pPr>
              <w:pStyle w:val="31"/>
              <w:rPr>
                <w:rFonts w:cs="Times New Roman"/>
                <w:kern w:val="0"/>
              </w:rPr>
            </w:pPr>
            <w:r>
              <w:rPr>
                <w:rFonts w:hint="eastAsia" w:cs="Times New Roman"/>
                <w:kern w:val="0"/>
              </w:rPr>
              <w:t>项目设计方案按照G</w:t>
            </w:r>
            <w:r>
              <w:rPr>
                <w:rFonts w:cs="Times New Roman"/>
                <w:kern w:val="0"/>
              </w:rPr>
              <w:t>B/T36661</w:t>
            </w:r>
            <w:r>
              <w:rPr>
                <w:rFonts w:hint="eastAsia" w:cs="Times New Roman"/>
                <w:kern w:val="0"/>
              </w:rPr>
              <w:t>严格执行，并于业主确认相关环境管理落实要求，厂区内工作台地面已硬化处理，四周配备环形导流沟，并配备应急池和隔油沉淀池有效收集，具备一定防渗透、防泄漏特点；布设的一般固废区和危险废物区配备专用集装箱，并可随时装车移动，内部属于可封闭空间；拆解区配备可延展厂棚和移动式烟尘处理器，对产污环节有效收集和闭环管理</w:t>
            </w:r>
          </w:p>
        </w:tc>
        <w:tc>
          <w:tcPr>
            <w:tcW w:w="389" w:type="pct"/>
            <w:vAlign w:val="center"/>
          </w:tcPr>
          <w:p w14:paraId="19D52E81">
            <w:pPr>
              <w:pStyle w:val="31"/>
              <w:rPr>
                <w:rFonts w:cs="Times New Roman"/>
                <w:kern w:val="0"/>
              </w:rPr>
            </w:pPr>
            <w:r>
              <w:rPr>
                <w:rFonts w:hint="eastAsia" w:cs="Times New Roman"/>
                <w:kern w:val="0"/>
              </w:rPr>
              <w:t>符合</w:t>
            </w:r>
          </w:p>
        </w:tc>
      </w:tr>
      <w:tr w14:paraId="3EF3C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38BECDAD">
            <w:pPr>
              <w:pStyle w:val="31"/>
              <w:rPr>
                <w:rFonts w:cs="Times New Roman"/>
                <w:kern w:val="0"/>
              </w:rPr>
            </w:pPr>
          </w:p>
        </w:tc>
        <w:tc>
          <w:tcPr>
            <w:tcW w:w="500" w:type="pct"/>
            <w:vMerge w:val="continue"/>
            <w:vAlign w:val="center"/>
          </w:tcPr>
          <w:p w14:paraId="0AE54490">
            <w:pPr>
              <w:pStyle w:val="31"/>
              <w:rPr>
                <w:rFonts w:cs="Times New Roman"/>
                <w:kern w:val="0"/>
              </w:rPr>
            </w:pPr>
          </w:p>
        </w:tc>
        <w:tc>
          <w:tcPr>
            <w:tcW w:w="1924" w:type="pct"/>
            <w:vAlign w:val="center"/>
          </w:tcPr>
          <w:p w14:paraId="1883EC35">
            <w:pPr>
              <w:pStyle w:val="31"/>
              <w:rPr>
                <w:rFonts w:cs="Times New Roman"/>
                <w:kern w:val="0"/>
              </w:rPr>
            </w:pPr>
            <w:r>
              <w:rPr>
                <w:rFonts w:cs="Times New Roman"/>
                <w:kern w:val="0"/>
              </w:rPr>
              <w:t>拆船场所应做到经常清理</w:t>
            </w:r>
            <w:r>
              <w:rPr>
                <w:rFonts w:hint="eastAsia" w:cs="Times New Roman"/>
                <w:kern w:val="0"/>
              </w:rPr>
              <w:t>，</w:t>
            </w:r>
            <w:r>
              <w:rPr>
                <w:rFonts w:cs="Times New Roman"/>
                <w:kern w:val="0"/>
              </w:rPr>
              <w:t>道路畅通</w:t>
            </w:r>
            <w:r>
              <w:rPr>
                <w:rFonts w:hint="eastAsia" w:cs="Times New Roman"/>
                <w:kern w:val="0"/>
              </w:rPr>
              <w:t>，</w:t>
            </w:r>
            <w:r>
              <w:rPr>
                <w:rFonts w:cs="Times New Roman"/>
                <w:kern w:val="0"/>
              </w:rPr>
              <w:t>便于在事故或险情发生时人员撤离和抢险救灾</w:t>
            </w:r>
          </w:p>
        </w:tc>
        <w:tc>
          <w:tcPr>
            <w:tcW w:w="1921" w:type="pct"/>
            <w:vAlign w:val="center"/>
          </w:tcPr>
          <w:p w14:paraId="180960F5">
            <w:pPr>
              <w:pStyle w:val="31"/>
              <w:rPr>
                <w:rFonts w:cs="Times New Roman"/>
                <w:kern w:val="0"/>
              </w:rPr>
            </w:pPr>
            <w:r>
              <w:rPr>
                <w:rFonts w:hint="eastAsia" w:cs="Times New Roman"/>
                <w:kern w:val="0"/>
              </w:rPr>
              <w:t>现场勘查期间未发废物随意堆存情况，工作台旁道路通畅整洁，并设专门应急通道</w:t>
            </w:r>
          </w:p>
        </w:tc>
        <w:tc>
          <w:tcPr>
            <w:tcW w:w="389" w:type="pct"/>
            <w:vAlign w:val="center"/>
          </w:tcPr>
          <w:p w14:paraId="3AD95738">
            <w:pPr>
              <w:pStyle w:val="31"/>
              <w:rPr>
                <w:rFonts w:cs="Times New Roman"/>
                <w:kern w:val="0"/>
              </w:rPr>
            </w:pPr>
            <w:r>
              <w:rPr>
                <w:rFonts w:hint="eastAsia" w:cs="Times New Roman"/>
                <w:kern w:val="0"/>
              </w:rPr>
              <w:t>符合</w:t>
            </w:r>
          </w:p>
        </w:tc>
      </w:tr>
      <w:tr w14:paraId="04A8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29F427DD">
            <w:pPr>
              <w:pStyle w:val="31"/>
              <w:rPr>
                <w:rFonts w:cs="Times New Roman"/>
                <w:kern w:val="0"/>
              </w:rPr>
            </w:pPr>
            <w:r>
              <w:rPr>
                <w:rFonts w:cs="Times New Roman"/>
                <w:kern w:val="0"/>
              </w:rPr>
              <w:t>2</w:t>
            </w:r>
          </w:p>
        </w:tc>
        <w:tc>
          <w:tcPr>
            <w:tcW w:w="500" w:type="pct"/>
            <w:vMerge w:val="restart"/>
            <w:vAlign w:val="center"/>
          </w:tcPr>
          <w:p w14:paraId="16AA0A7A">
            <w:pPr>
              <w:pStyle w:val="31"/>
              <w:rPr>
                <w:rFonts w:cs="Times New Roman"/>
                <w:kern w:val="0"/>
              </w:rPr>
            </w:pPr>
            <w:r>
              <w:rPr>
                <w:rFonts w:hint="eastAsia" w:cs="Times New Roman"/>
                <w:kern w:val="0"/>
              </w:rPr>
              <w:t>拆船环境管理的基本要求</w:t>
            </w:r>
          </w:p>
        </w:tc>
        <w:tc>
          <w:tcPr>
            <w:tcW w:w="1924" w:type="pct"/>
            <w:vAlign w:val="center"/>
          </w:tcPr>
          <w:p w14:paraId="14609ED9">
            <w:pPr>
              <w:pStyle w:val="31"/>
              <w:rPr>
                <w:rFonts w:cs="Times New Roman"/>
                <w:kern w:val="0"/>
              </w:rPr>
            </w:pPr>
            <w:r>
              <w:rPr>
                <w:rFonts w:hint="eastAsia" w:cs="Times New Roman"/>
                <w:kern w:val="0"/>
              </w:rPr>
              <w:t>拆船企业应按照</w:t>
            </w:r>
            <w:r>
              <w:rPr>
                <w:rFonts w:cs="Times New Roman"/>
                <w:kern w:val="0"/>
              </w:rPr>
              <w:t>GB/T24001相关要求建立企业环境管理体系</w:t>
            </w:r>
            <w:r>
              <w:rPr>
                <w:rFonts w:hint="eastAsia" w:cs="Times New Roman"/>
                <w:kern w:val="0"/>
              </w:rPr>
              <w:t>，</w:t>
            </w:r>
            <w:r>
              <w:rPr>
                <w:rFonts w:cs="Times New Roman"/>
                <w:kern w:val="0"/>
              </w:rPr>
              <w:t>并通过具备认证资格机构的体系认证</w:t>
            </w:r>
          </w:p>
        </w:tc>
        <w:tc>
          <w:tcPr>
            <w:tcW w:w="1921" w:type="pct"/>
            <w:vAlign w:val="center"/>
          </w:tcPr>
          <w:p w14:paraId="59BAAAF8">
            <w:pPr>
              <w:pStyle w:val="31"/>
              <w:rPr>
                <w:rFonts w:cs="Times New Roman"/>
                <w:kern w:val="0"/>
              </w:rPr>
            </w:pPr>
            <w:r>
              <w:rPr>
                <w:rFonts w:hint="eastAsia" w:cs="Times New Roman"/>
                <w:kern w:val="0"/>
              </w:rPr>
              <w:t>本环评已明确企业需按照《环境管理体系—要求及使用指南》（</w:t>
            </w:r>
            <w:r>
              <w:rPr>
                <w:rFonts w:cs="Times New Roman"/>
                <w:kern w:val="0"/>
              </w:rPr>
              <w:t>GB/T 24001-2016）</w:t>
            </w:r>
            <w:r>
              <w:rPr>
                <w:rFonts w:hint="eastAsia" w:cs="Times New Roman"/>
                <w:kern w:val="0"/>
              </w:rPr>
              <w:t>中相关要求建立体系，必要时申请资质单位认证</w:t>
            </w:r>
          </w:p>
        </w:tc>
        <w:tc>
          <w:tcPr>
            <w:tcW w:w="389" w:type="pct"/>
            <w:vAlign w:val="center"/>
          </w:tcPr>
          <w:p w14:paraId="693DD883">
            <w:pPr>
              <w:pStyle w:val="31"/>
              <w:rPr>
                <w:rFonts w:cs="Times New Roman"/>
                <w:kern w:val="0"/>
              </w:rPr>
            </w:pPr>
            <w:r>
              <w:rPr>
                <w:rFonts w:hint="eastAsia" w:cs="Times New Roman"/>
                <w:kern w:val="0"/>
              </w:rPr>
              <w:t>符合</w:t>
            </w:r>
          </w:p>
        </w:tc>
      </w:tr>
      <w:tr w14:paraId="01CB6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3EFDFD69">
            <w:pPr>
              <w:pStyle w:val="31"/>
              <w:rPr>
                <w:rFonts w:cs="Times New Roman"/>
                <w:kern w:val="0"/>
              </w:rPr>
            </w:pPr>
          </w:p>
        </w:tc>
        <w:tc>
          <w:tcPr>
            <w:tcW w:w="500" w:type="pct"/>
            <w:vMerge w:val="continue"/>
            <w:vAlign w:val="center"/>
          </w:tcPr>
          <w:p w14:paraId="30EF838E">
            <w:pPr>
              <w:pStyle w:val="31"/>
              <w:rPr>
                <w:rFonts w:cs="Times New Roman"/>
                <w:kern w:val="0"/>
              </w:rPr>
            </w:pPr>
          </w:p>
        </w:tc>
        <w:tc>
          <w:tcPr>
            <w:tcW w:w="1924" w:type="pct"/>
            <w:vAlign w:val="center"/>
          </w:tcPr>
          <w:p w14:paraId="6F96B354">
            <w:pPr>
              <w:pStyle w:val="31"/>
              <w:rPr>
                <w:rFonts w:cs="Times New Roman"/>
                <w:kern w:val="0"/>
              </w:rPr>
            </w:pPr>
            <w:r>
              <w:rPr>
                <w:rFonts w:cs="Times New Roman"/>
                <w:kern w:val="0"/>
              </w:rPr>
              <w:t>拆船应采取码头拆解</w:t>
            </w:r>
            <w:r>
              <w:rPr>
                <w:rFonts w:hint="eastAsia" w:cs="Times New Roman"/>
                <w:kern w:val="0"/>
              </w:rPr>
              <w:t>，</w:t>
            </w:r>
            <w:r>
              <w:rPr>
                <w:rFonts w:cs="Times New Roman"/>
                <w:kern w:val="0"/>
              </w:rPr>
              <w:t>船坞拆解或船台拆解方式。不准许冲滩拆解</w:t>
            </w:r>
          </w:p>
        </w:tc>
        <w:tc>
          <w:tcPr>
            <w:tcW w:w="1921" w:type="pct"/>
            <w:vAlign w:val="center"/>
          </w:tcPr>
          <w:p w14:paraId="036A8811">
            <w:pPr>
              <w:pStyle w:val="31"/>
              <w:rPr>
                <w:rFonts w:cs="Times New Roman"/>
                <w:kern w:val="0"/>
              </w:rPr>
            </w:pPr>
            <w:r>
              <w:rPr>
                <w:rFonts w:hint="eastAsia" w:cs="Times New Roman"/>
                <w:kern w:val="0"/>
              </w:rPr>
              <w:t>本次拆船项目采取硬化工作船台拆卸方式</w:t>
            </w:r>
          </w:p>
        </w:tc>
        <w:tc>
          <w:tcPr>
            <w:tcW w:w="389" w:type="pct"/>
            <w:vAlign w:val="center"/>
          </w:tcPr>
          <w:p w14:paraId="28F2B30B">
            <w:pPr>
              <w:pStyle w:val="31"/>
              <w:rPr>
                <w:rFonts w:cs="Times New Roman"/>
                <w:kern w:val="0"/>
              </w:rPr>
            </w:pPr>
            <w:r>
              <w:rPr>
                <w:rFonts w:hint="eastAsia" w:cs="Times New Roman"/>
                <w:kern w:val="0"/>
              </w:rPr>
              <w:t>符合</w:t>
            </w:r>
          </w:p>
        </w:tc>
      </w:tr>
      <w:tr w14:paraId="3333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7488595F">
            <w:pPr>
              <w:pStyle w:val="31"/>
              <w:rPr>
                <w:rFonts w:cs="Times New Roman"/>
                <w:kern w:val="0"/>
              </w:rPr>
            </w:pPr>
          </w:p>
        </w:tc>
        <w:tc>
          <w:tcPr>
            <w:tcW w:w="500" w:type="pct"/>
            <w:vMerge w:val="continue"/>
            <w:vAlign w:val="center"/>
          </w:tcPr>
          <w:p w14:paraId="2DD998B0">
            <w:pPr>
              <w:pStyle w:val="31"/>
              <w:rPr>
                <w:rFonts w:cs="Times New Roman"/>
                <w:kern w:val="0"/>
              </w:rPr>
            </w:pPr>
          </w:p>
        </w:tc>
        <w:tc>
          <w:tcPr>
            <w:tcW w:w="1924" w:type="pct"/>
            <w:vAlign w:val="center"/>
          </w:tcPr>
          <w:p w14:paraId="0FC35635">
            <w:pPr>
              <w:pStyle w:val="31"/>
              <w:rPr>
                <w:rFonts w:cs="Times New Roman"/>
                <w:kern w:val="0"/>
              </w:rPr>
            </w:pPr>
            <w:r>
              <w:rPr>
                <w:rFonts w:cs="Times New Roman"/>
                <w:kern w:val="0"/>
              </w:rPr>
              <w:t>拆船企业应制定并执行拆船环境保护预清理和拆解操作规程</w:t>
            </w:r>
          </w:p>
        </w:tc>
        <w:tc>
          <w:tcPr>
            <w:tcW w:w="1921" w:type="pct"/>
            <w:vAlign w:val="center"/>
          </w:tcPr>
          <w:p w14:paraId="53CEE08E">
            <w:pPr>
              <w:pStyle w:val="31"/>
              <w:rPr>
                <w:rFonts w:cs="Times New Roman"/>
                <w:kern w:val="0"/>
              </w:rPr>
            </w:pPr>
            <w:r>
              <w:rPr>
                <w:rFonts w:hint="eastAsia" w:cs="Times New Roman"/>
                <w:kern w:val="0"/>
              </w:rPr>
              <w:t>企业所拆除货船，要求进厂前需预清理，相关负责人协助企业制定符合环境保护的拆卸方案</w:t>
            </w:r>
          </w:p>
        </w:tc>
        <w:tc>
          <w:tcPr>
            <w:tcW w:w="389" w:type="pct"/>
            <w:vAlign w:val="center"/>
          </w:tcPr>
          <w:p w14:paraId="4289955B">
            <w:pPr>
              <w:pStyle w:val="31"/>
              <w:rPr>
                <w:rFonts w:cs="Times New Roman"/>
                <w:kern w:val="0"/>
              </w:rPr>
            </w:pPr>
            <w:r>
              <w:rPr>
                <w:rFonts w:hint="eastAsia" w:cs="Times New Roman"/>
                <w:kern w:val="0"/>
              </w:rPr>
              <w:t>符合</w:t>
            </w:r>
          </w:p>
        </w:tc>
      </w:tr>
      <w:tr w14:paraId="67F21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5ED5AB5F">
            <w:pPr>
              <w:pStyle w:val="31"/>
              <w:rPr>
                <w:rFonts w:cs="Times New Roman"/>
                <w:kern w:val="0"/>
              </w:rPr>
            </w:pPr>
          </w:p>
        </w:tc>
        <w:tc>
          <w:tcPr>
            <w:tcW w:w="500" w:type="pct"/>
            <w:vMerge w:val="continue"/>
            <w:vAlign w:val="center"/>
          </w:tcPr>
          <w:p w14:paraId="461C40AA">
            <w:pPr>
              <w:pStyle w:val="31"/>
              <w:rPr>
                <w:rFonts w:cs="Times New Roman"/>
                <w:kern w:val="0"/>
              </w:rPr>
            </w:pPr>
          </w:p>
        </w:tc>
        <w:tc>
          <w:tcPr>
            <w:tcW w:w="1924" w:type="pct"/>
            <w:vAlign w:val="center"/>
          </w:tcPr>
          <w:p w14:paraId="44E99BD7">
            <w:pPr>
              <w:pStyle w:val="31"/>
              <w:rPr>
                <w:rFonts w:cs="Times New Roman"/>
                <w:kern w:val="0"/>
              </w:rPr>
            </w:pPr>
            <w:r>
              <w:rPr>
                <w:rFonts w:cs="Times New Roman"/>
                <w:kern w:val="0"/>
              </w:rPr>
              <w:t>拆船企业在购买废船时</w:t>
            </w:r>
            <w:r>
              <w:rPr>
                <w:rFonts w:hint="eastAsia" w:cs="Times New Roman"/>
                <w:kern w:val="0"/>
              </w:rPr>
              <w:t>，</w:t>
            </w:r>
            <w:r>
              <w:rPr>
                <w:rFonts w:cs="Times New Roman"/>
                <w:kern w:val="0"/>
              </w:rPr>
              <w:t>应向船东或经纪人索要废船上有害物质清单</w:t>
            </w:r>
            <w:r>
              <w:rPr>
                <w:rFonts w:hint="eastAsia" w:cs="Times New Roman"/>
                <w:kern w:val="0"/>
              </w:rPr>
              <w:t>，</w:t>
            </w:r>
            <w:r>
              <w:rPr>
                <w:rFonts w:cs="Times New Roman"/>
                <w:kern w:val="0"/>
              </w:rPr>
              <w:t>初步掌握利了解度船结构中存在或夹带的污染物种类、数量和位置</w:t>
            </w:r>
          </w:p>
        </w:tc>
        <w:tc>
          <w:tcPr>
            <w:tcW w:w="1921" w:type="pct"/>
            <w:vAlign w:val="center"/>
          </w:tcPr>
          <w:p w14:paraId="510C5807">
            <w:pPr>
              <w:pStyle w:val="31"/>
              <w:rPr>
                <w:rFonts w:cs="Times New Roman"/>
                <w:kern w:val="0"/>
              </w:rPr>
            </w:pPr>
            <w:r>
              <w:rPr>
                <w:rFonts w:hint="eastAsia" w:cs="Times New Roman"/>
                <w:kern w:val="0"/>
              </w:rPr>
              <w:t>项目不购买废船，经由当地水利事务中心招标或船舶所有人提供相关环保信息后委托</w:t>
            </w:r>
          </w:p>
        </w:tc>
        <w:tc>
          <w:tcPr>
            <w:tcW w:w="389" w:type="pct"/>
            <w:vAlign w:val="center"/>
          </w:tcPr>
          <w:p w14:paraId="6199E4F9">
            <w:pPr>
              <w:pStyle w:val="31"/>
              <w:rPr>
                <w:rFonts w:cs="Times New Roman"/>
                <w:kern w:val="0"/>
              </w:rPr>
            </w:pPr>
            <w:r>
              <w:rPr>
                <w:rFonts w:hint="eastAsia" w:cs="Times New Roman"/>
                <w:kern w:val="0"/>
              </w:rPr>
              <w:t>符合</w:t>
            </w:r>
          </w:p>
        </w:tc>
      </w:tr>
      <w:tr w14:paraId="75D98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4E24E832">
            <w:pPr>
              <w:pStyle w:val="31"/>
              <w:rPr>
                <w:rFonts w:cs="Times New Roman"/>
                <w:kern w:val="0"/>
              </w:rPr>
            </w:pPr>
          </w:p>
        </w:tc>
        <w:tc>
          <w:tcPr>
            <w:tcW w:w="500" w:type="pct"/>
            <w:vMerge w:val="continue"/>
            <w:vAlign w:val="center"/>
          </w:tcPr>
          <w:p w14:paraId="78ECB55B">
            <w:pPr>
              <w:pStyle w:val="31"/>
              <w:rPr>
                <w:rFonts w:cs="Times New Roman"/>
                <w:kern w:val="0"/>
              </w:rPr>
            </w:pPr>
          </w:p>
        </w:tc>
        <w:tc>
          <w:tcPr>
            <w:tcW w:w="1924" w:type="pct"/>
            <w:vAlign w:val="center"/>
          </w:tcPr>
          <w:p w14:paraId="2BF6532E">
            <w:pPr>
              <w:pStyle w:val="31"/>
              <w:rPr>
                <w:rFonts w:cs="Times New Roman"/>
                <w:kern w:val="0"/>
              </w:rPr>
            </w:pPr>
            <w:r>
              <w:rPr>
                <w:rFonts w:cs="Times New Roman"/>
                <w:kern w:val="0"/>
              </w:rPr>
              <w:t>拆船企业管理人员和操作人员应经过定期或不定期的环境保护法规和专业知识培训</w:t>
            </w:r>
          </w:p>
        </w:tc>
        <w:tc>
          <w:tcPr>
            <w:tcW w:w="1921" w:type="pct"/>
            <w:vAlign w:val="center"/>
          </w:tcPr>
          <w:p w14:paraId="23E1CD93">
            <w:pPr>
              <w:pStyle w:val="31"/>
              <w:rPr>
                <w:rFonts w:cs="Times New Roman"/>
                <w:kern w:val="0"/>
              </w:rPr>
            </w:pPr>
            <w:r>
              <w:rPr>
                <w:rFonts w:hint="eastAsia" w:cs="Times New Roman"/>
                <w:kern w:val="0"/>
              </w:rPr>
              <w:t>积极安排环保专员参与地方政府相关部门组织的环保培训，回厂后组织讨论后有效落实</w:t>
            </w:r>
          </w:p>
        </w:tc>
        <w:tc>
          <w:tcPr>
            <w:tcW w:w="389" w:type="pct"/>
            <w:vAlign w:val="center"/>
          </w:tcPr>
          <w:p w14:paraId="28984D48">
            <w:pPr>
              <w:pStyle w:val="31"/>
              <w:rPr>
                <w:rFonts w:cs="Times New Roman"/>
                <w:kern w:val="0"/>
              </w:rPr>
            </w:pPr>
            <w:r>
              <w:rPr>
                <w:rFonts w:hint="eastAsia" w:cs="Times New Roman"/>
                <w:kern w:val="0"/>
              </w:rPr>
              <w:t>符合</w:t>
            </w:r>
          </w:p>
        </w:tc>
      </w:tr>
      <w:tr w14:paraId="05B0D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34BF9E78">
            <w:pPr>
              <w:pStyle w:val="31"/>
              <w:rPr>
                <w:rFonts w:cs="Times New Roman"/>
                <w:kern w:val="0"/>
              </w:rPr>
            </w:pPr>
          </w:p>
        </w:tc>
        <w:tc>
          <w:tcPr>
            <w:tcW w:w="500" w:type="pct"/>
            <w:vMerge w:val="continue"/>
            <w:vAlign w:val="center"/>
          </w:tcPr>
          <w:p w14:paraId="362F3BBC">
            <w:pPr>
              <w:pStyle w:val="31"/>
              <w:rPr>
                <w:rFonts w:cs="Times New Roman"/>
                <w:kern w:val="0"/>
              </w:rPr>
            </w:pPr>
          </w:p>
        </w:tc>
        <w:tc>
          <w:tcPr>
            <w:tcW w:w="1924" w:type="pct"/>
            <w:vAlign w:val="center"/>
          </w:tcPr>
          <w:p w14:paraId="4D13627A">
            <w:pPr>
              <w:pStyle w:val="31"/>
              <w:rPr>
                <w:rFonts w:cs="Times New Roman"/>
                <w:kern w:val="0"/>
              </w:rPr>
            </w:pPr>
            <w:r>
              <w:rPr>
                <w:rFonts w:cs="Times New Roman"/>
                <w:kern w:val="0"/>
              </w:rPr>
              <w:t>拆解进口废船应符合GB1648711的要求以及获得国家环境保护行政主管部门审核颁发的进口许可证。要采取措施保证进口废船符合我国环境保护要求,并且有能力处理处置其各类污染物后方可实施进口</w:t>
            </w:r>
          </w:p>
        </w:tc>
        <w:tc>
          <w:tcPr>
            <w:tcW w:w="1921" w:type="pct"/>
            <w:vAlign w:val="center"/>
          </w:tcPr>
          <w:p w14:paraId="7BB5D196">
            <w:pPr>
              <w:pStyle w:val="31"/>
              <w:rPr>
                <w:rFonts w:cs="Times New Roman"/>
                <w:kern w:val="0"/>
              </w:rPr>
            </w:pPr>
            <w:r>
              <w:rPr>
                <w:rFonts w:hint="eastAsia" w:cs="Times New Roman"/>
                <w:kern w:val="0"/>
              </w:rPr>
              <w:t>项目暂不涉及</w:t>
            </w:r>
            <w:r>
              <w:rPr>
                <w:rFonts w:cs="Times New Roman"/>
                <w:kern w:val="0"/>
              </w:rPr>
              <w:t>拆解进口废船</w:t>
            </w:r>
            <w:r>
              <w:rPr>
                <w:rFonts w:hint="eastAsia" w:cs="Times New Roman"/>
                <w:kern w:val="0"/>
              </w:rPr>
              <w:t>，如后期扩大拆卸范围，根据相关环保规范及时更新环保手续</w:t>
            </w:r>
          </w:p>
        </w:tc>
        <w:tc>
          <w:tcPr>
            <w:tcW w:w="389" w:type="pct"/>
            <w:vAlign w:val="center"/>
          </w:tcPr>
          <w:p w14:paraId="09365D95">
            <w:pPr>
              <w:pStyle w:val="31"/>
              <w:rPr>
                <w:rFonts w:cs="Times New Roman"/>
                <w:kern w:val="0"/>
              </w:rPr>
            </w:pPr>
            <w:r>
              <w:rPr>
                <w:rFonts w:hint="eastAsia" w:cs="Times New Roman"/>
                <w:kern w:val="0"/>
              </w:rPr>
              <w:t>符合</w:t>
            </w:r>
          </w:p>
        </w:tc>
      </w:tr>
      <w:tr w14:paraId="2E6EB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6CC68A64">
            <w:pPr>
              <w:pStyle w:val="31"/>
              <w:rPr>
                <w:rFonts w:cs="Times New Roman"/>
                <w:kern w:val="0"/>
              </w:rPr>
            </w:pPr>
          </w:p>
        </w:tc>
        <w:tc>
          <w:tcPr>
            <w:tcW w:w="500" w:type="pct"/>
            <w:vMerge w:val="continue"/>
            <w:vAlign w:val="center"/>
          </w:tcPr>
          <w:p w14:paraId="17B806B5">
            <w:pPr>
              <w:pStyle w:val="31"/>
              <w:rPr>
                <w:rFonts w:cs="Times New Roman"/>
                <w:kern w:val="0"/>
              </w:rPr>
            </w:pPr>
          </w:p>
        </w:tc>
        <w:tc>
          <w:tcPr>
            <w:tcW w:w="1924" w:type="pct"/>
            <w:vAlign w:val="center"/>
          </w:tcPr>
          <w:p w14:paraId="09E60248">
            <w:pPr>
              <w:pStyle w:val="31"/>
              <w:rPr>
                <w:rFonts w:cs="Times New Roman"/>
                <w:kern w:val="0"/>
              </w:rPr>
            </w:pPr>
            <w:r>
              <w:rPr>
                <w:rFonts w:hint="eastAsia" w:cs="Times New Roman"/>
                <w:kern w:val="0"/>
              </w:rPr>
              <w:t>拆船企业应建立环境保护台账记录，包括废船信息、拆解信息、废物信息、环境监测信息、环保部门检查监督信息。台账记录至少保存</w:t>
            </w:r>
            <w:r>
              <w:rPr>
                <w:rFonts w:cs="Times New Roman"/>
                <w:kern w:val="0"/>
              </w:rPr>
              <w:t>5年</w:t>
            </w:r>
          </w:p>
        </w:tc>
        <w:tc>
          <w:tcPr>
            <w:tcW w:w="1921" w:type="pct"/>
            <w:vAlign w:val="center"/>
          </w:tcPr>
          <w:p w14:paraId="57F2444B">
            <w:pPr>
              <w:pStyle w:val="31"/>
              <w:rPr>
                <w:rFonts w:cs="Times New Roman"/>
                <w:kern w:val="0"/>
              </w:rPr>
            </w:pPr>
            <w:r>
              <w:rPr>
                <w:rFonts w:hint="eastAsia" w:cs="Times New Roman"/>
                <w:kern w:val="0"/>
              </w:rPr>
              <w:t>项目计划采购1套电子台账系统，配合纸质存单当天完工当天录入，可长期保存</w:t>
            </w:r>
          </w:p>
        </w:tc>
        <w:tc>
          <w:tcPr>
            <w:tcW w:w="389" w:type="pct"/>
            <w:vAlign w:val="center"/>
          </w:tcPr>
          <w:p w14:paraId="0432DDAC">
            <w:pPr>
              <w:pStyle w:val="31"/>
              <w:rPr>
                <w:rFonts w:cs="Times New Roman"/>
                <w:kern w:val="0"/>
              </w:rPr>
            </w:pPr>
            <w:r>
              <w:rPr>
                <w:rFonts w:hint="eastAsia" w:cs="Times New Roman"/>
                <w:kern w:val="0"/>
              </w:rPr>
              <w:t>符合</w:t>
            </w:r>
          </w:p>
        </w:tc>
      </w:tr>
      <w:tr w14:paraId="26F6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6945D408">
            <w:pPr>
              <w:pStyle w:val="31"/>
              <w:rPr>
                <w:rFonts w:cs="Times New Roman"/>
                <w:kern w:val="0"/>
              </w:rPr>
            </w:pPr>
          </w:p>
        </w:tc>
        <w:tc>
          <w:tcPr>
            <w:tcW w:w="500" w:type="pct"/>
            <w:vMerge w:val="continue"/>
            <w:vAlign w:val="center"/>
          </w:tcPr>
          <w:p w14:paraId="36E41551">
            <w:pPr>
              <w:pStyle w:val="31"/>
              <w:rPr>
                <w:rFonts w:cs="Times New Roman"/>
                <w:kern w:val="0"/>
              </w:rPr>
            </w:pPr>
          </w:p>
        </w:tc>
        <w:tc>
          <w:tcPr>
            <w:tcW w:w="1924" w:type="pct"/>
            <w:vAlign w:val="center"/>
          </w:tcPr>
          <w:p w14:paraId="6712992B">
            <w:pPr>
              <w:pStyle w:val="31"/>
              <w:rPr>
                <w:rFonts w:cs="Times New Roman"/>
                <w:kern w:val="0"/>
              </w:rPr>
            </w:pPr>
            <w:r>
              <w:rPr>
                <w:rFonts w:hint="eastAsia" w:cs="Times New Roman"/>
                <w:kern w:val="0"/>
              </w:rPr>
              <w:t>拆船企业应按照环境监测规范要求，制定企业环境监测计划，在当地环境保护部门指导下，对水体、土壤、空气、噪声等环境污染项目进行监测</w:t>
            </w:r>
          </w:p>
        </w:tc>
        <w:tc>
          <w:tcPr>
            <w:tcW w:w="1921" w:type="pct"/>
            <w:vAlign w:val="center"/>
          </w:tcPr>
          <w:p w14:paraId="4F8AF12B">
            <w:pPr>
              <w:pStyle w:val="31"/>
              <w:rPr>
                <w:rFonts w:cs="Times New Roman"/>
                <w:kern w:val="0"/>
              </w:rPr>
            </w:pPr>
            <w:r>
              <w:rPr>
                <w:rFonts w:hint="eastAsia" w:cs="Times New Roman"/>
                <w:kern w:val="0"/>
              </w:rPr>
              <w:t>运行前办理排污许可证，根据相关规范制定自行监测计划，按时准确进行监测</w:t>
            </w:r>
          </w:p>
        </w:tc>
        <w:tc>
          <w:tcPr>
            <w:tcW w:w="389" w:type="pct"/>
            <w:vAlign w:val="center"/>
          </w:tcPr>
          <w:p w14:paraId="2052E3B4">
            <w:pPr>
              <w:pStyle w:val="31"/>
              <w:rPr>
                <w:rFonts w:cs="Times New Roman"/>
                <w:kern w:val="0"/>
              </w:rPr>
            </w:pPr>
            <w:r>
              <w:rPr>
                <w:rFonts w:hint="eastAsia" w:cs="Times New Roman"/>
                <w:kern w:val="0"/>
              </w:rPr>
              <w:t>符合</w:t>
            </w:r>
          </w:p>
        </w:tc>
      </w:tr>
      <w:tr w14:paraId="13DCA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4BFBAB1F">
            <w:pPr>
              <w:pStyle w:val="31"/>
              <w:rPr>
                <w:rFonts w:cs="Times New Roman"/>
                <w:kern w:val="0"/>
              </w:rPr>
            </w:pPr>
          </w:p>
        </w:tc>
        <w:tc>
          <w:tcPr>
            <w:tcW w:w="500" w:type="pct"/>
            <w:vMerge w:val="continue"/>
            <w:vAlign w:val="center"/>
          </w:tcPr>
          <w:p w14:paraId="10E0A453">
            <w:pPr>
              <w:pStyle w:val="31"/>
              <w:rPr>
                <w:rFonts w:cs="Times New Roman"/>
                <w:kern w:val="0"/>
              </w:rPr>
            </w:pPr>
          </w:p>
        </w:tc>
        <w:tc>
          <w:tcPr>
            <w:tcW w:w="1924" w:type="pct"/>
            <w:vAlign w:val="center"/>
          </w:tcPr>
          <w:p w14:paraId="150CB263">
            <w:pPr>
              <w:pStyle w:val="31"/>
              <w:rPr>
                <w:rFonts w:cs="Times New Roman"/>
                <w:kern w:val="0"/>
              </w:rPr>
            </w:pPr>
            <w:r>
              <w:rPr>
                <w:rFonts w:hint="eastAsia" w:cs="Times New Roman"/>
                <w:kern w:val="0"/>
              </w:rPr>
              <w:t>废船拆解前拆船企业应获得下列环境保护信息：</w:t>
            </w:r>
          </w:p>
          <w:p w14:paraId="23243637">
            <w:pPr>
              <w:pStyle w:val="31"/>
              <w:rPr>
                <w:rFonts w:cs="Times New Roman"/>
                <w:kern w:val="0"/>
              </w:rPr>
            </w:pPr>
            <w:r>
              <w:rPr>
                <w:rFonts w:cs="Times New Roman"/>
                <w:kern w:val="0"/>
              </w:rPr>
              <w:t>a)  废船报废前的主要用途；</w:t>
            </w:r>
          </w:p>
          <w:p w14:paraId="3F40A2F0">
            <w:pPr>
              <w:pStyle w:val="31"/>
              <w:rPr>
                <w:rFonts w:cs="Times New Roman"/>
                <w:kern w:val="0"/>
              </w:rPr>
            </w:pPr>
            <w:r>
              <w:rPr>
                <w:rFonts w:cs="Times New Roman"/>
                <w:kern w:val="0"/>
              </w:rPr>
              <w:t>b)  废船是否装运过危险化学品；</w:t>
            </w:r>
          </w:p>
          <w:p w14:paraId="2DB7AB8D">
            <w:pPr>
              <w:pStyle w:val="31"/>
              <w:rPr>
                <w:rFonts w:cs="Times New Roman"/>
                <w:kern w:val="0"/>
              </w:rPr>
            </w:pPr>
            <w:r>
              <w:rPr>
                <w:rFonts w:cs="Times New Roman"/>
                <w:kern w:val="0"/>
              </w:rPr>
              <w:t>c)  废船是否具有放射性物质或受到放射性污染；</w:t>
            </w:r>
          </w:p>
          <w:p w14:paraId="7A3D1C4E">
            <w:pPr>
              <w:pStyle w:val="31"/>
              <w:rPr>
                <w:rFonts w:cs="Times New Roman"/>
                <w:kern w:val="0"/>
              </w:rPr>
            </w:pPr>
            <w:r>
              <w:rPr>
                <w:rFonts w:cs="Times New Roman"/>
                <w:kern w:val="0"/>
              </w:rPr>
              <w:t>d)  废船本身含有的或夹带的</w:t>
            </w:r>
            <w:r>
              <w:rPr>
                <w:rFonts w:hint="eastAsia" w:cs="Times New Roman"/>
                <w:kern w:val="0"/>
              </w:rPr>
              <w:t>一般</w:t>
            </w:r>
            <w:r>
              <w:rPr>
                <w:rFonts w:cs="Times New Roman"/>
                <w:kern w:val="0"/>
              </w:rPr>
              <w:t>固体废物</w:t>
            </w:r>
            <w:r>
              <w:rPr>
                <w:rFonts w:hint="eastAsia" w:cs="Times New Roman"/>
                <w:kern w:val="0"/>
              </w:rPr>
              <w:t>、</w:t>
            </w:r>
            <w:r>
              <w:rPr>
                <w:rFonts w:cs="Times New Roman"/>
                <w:kern w:val="0"/>
              </w:rPr>
              <w:t>危险废物</w:t>
            </w:r>
            <w:r>
              <w:rPr>
                <w:rFonts w:hint="eastAsia" w:cs="Times New Roman"/>
                <w:kern w:val="0"/>
              </w:rPr>
              <w:t>、其他有害物质的</w:t>
            </w:r>
            <w:r>
              <w:rPr>
                <w:rFonts w:cs="Times New Roman"/>
                <w:kern w:val="0"/>
              </w:rPr>
              <w:t>清单、数量和位置。</w:t>
            </w:r>
            <w:r>
              <w:rPr>
                <w:rFonts w:hint="eastAsia" w:cs="Times New Roman"/>
                <w:kern w:val="0"/>
              </w:rPr>
              <w:t>根据所核实的环境保护信息，采取针对性的管理措施</w:t>
            </w:r>
          </w:p>
        </w:tc>
        <w:tc>
          <w:tcPr>
            <w:tcW w:w="1921" w:type="pct"/>
            <w:vAlign w:val="center"/>
          </w:tcPr>
          <w:p w14:paraId="1573E59C">
            <w:pPr>
              <w:pStyle w:val="31"/>
              <w:rPr>
                <w:rFonts w:cs="Times New Roman"/>
                <w:kern w:val="0"/>
              </w:rPr>
            </w:pPr>
            <w:r>
              <w:rPr>
                <w:rFonts w:hint="eastAsia" w:cs="Times New Roman"/>
                <w:kern w:val="0"/>
              </w:rPr>
              <w:t>本次扩建项目按照当地有关部门发布拆卸废船名单进行拆除，禁止私自接受来路不明的报废船舶，目仅针对船舶主体拆解，相关报废电器、电机等委托有资质单位进一步处理，船体不含石棉等物质，船舱油箱等可能含油危险废物要求所有者委托资质单位预处理后移交企业并移至工作船台上</w:t>
            </w:r>
          </w:p>
        </w:tc>
        <w:tc>
          <w:tcPr>
            <w:tcW w:w="389" w:type="pct"/>
            <w:vAlign w:val="center"/>
          </w:tcPr>
          <w:p w14:paraId="1A3C3C29">
            <w:pPr>
              <w:pStyle w:val="31"/>
              <w:rPr>
                <w:rFonts w:cs="Times New Roman"/>
                <w:kern w:val="0"/>
              </w:rPr>
            </w:pPr>
            <w:r>
              <w:rPr>
                <w:rFonts w:hint="eastAsia" w:cs="Times New Roman"/>
                <w:kern w:val="0"/>
              </w:rPr>
              <w:t>符合</w:t>
            </w:r>
          </w:p>
        </w:tc>
      </w:tr>
      <w:tr w14:paraId="13E54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28C42D5">
            <w:pPr>
              <w:pStyle w:val="31"/>
              <w:rPr>
                <w:rFonts w:cs="Times New Roman"/>
                <w:kern w:val="0"/>
              </w:rPr>
            </w:pPr>
          </w:p>
        </w:tc>
        <w:tc>
          <w:tcPr>
            <w:tcW w:w="500" w:type="pct"/>
            <w:vMerge w:val="continue"/>
            <w:vAlign w:val="center"/>
          </w:tcPr>
          <w:p w14:paraId="29ECAD03">
            <w:pPr>
              <w:pStyle w:val="31"/>
              <w:rPr>
                <w:rFonts w:cs="Times New Roman"/>
                <w:kern w:val="0"/>
              </w:rPr>
            </w:pPr>
          </w:p>
        </w:tc>
        <w:tc>
          <w:tcPr>
            <w:tcW w:w="1924" w:type="pct"/>
            <w:vAlign w:val="center"/>
          </w:tcPr>
          <w:p w14:paraId="77B61870">
            <w:pPr>
              <w:pStyle w:val="31"/>
              <w:rPr>
                <w:rFonts w:cs="Times New Roman"/>
                <w:kern w:val="0"/>
              </w:rPr>
            </w:pPr>
            <w:r>
              <w:rPr>
                <w:rFonts w:hint="eastAsia" w:cs="Times New Roman"/>
                <w:kern w:val="0"/>
              </w:rPr>
              <w:t>鼓励和支持施行第三方监理方式监督拆船。废船拆卸完毕确认书，以便向相关管理机构或传动报告或备案</w:t>
            </w:r>
          </w:p>
        </w:tc>
        <w:tc>
          <w:tcPr>
            <w:tcW w:w="1921" w:type="pct"/>
            <w:vAlign w:val="center"/>
          </w:tcPr>
          <w:p w14:paraId="1FD4846A">
            <w:pPr>
              <w:pStyle w:val="31"/>
              <w:rPr>
                <w:rFonts w:cs="Times New Roman"/>
                <w:kern w:val="0"/>
              </w:rPr>
            </w:pPr>
            <w:r>
              <w:rPr>
                <w:rFonts w:hint="eastAsia" w:cs="Times New Roman"/>
                <w:kern w:val="0"/>
              </w:rPr>
              <w:t>根据船体不同，拆解方案不同，如涉及较大船体或者拆卸方案较为复杂，聘请专业人员指导进行，同时要求监理机构配合</w:t>
            </w:r>
          </w:p>
        </w:tc>
        <w:tc>
          <w:tcPr>
            <w:tcW w:w="389" w:type="pct"/>
            <w:vAlign w:val="center"/>
          </w:tcPr>
          <w:p w14:paraId="36E89693">
            <w:pPr>
              <w:pStyle w:val="31"/>
              <w:rPr>
                <w:rFonts w:cs="Times New Roman"/>
                <w:kern w:val="0"/>
              </w:rPr>
            </w:pPr>
            <w:r>
              <w:rPr>
                <w:rFonts w:hint="eastAsia" w:cs="Times New Roman"/>
                <w:kern w:val="0"/>
              </w:rPr>
              <w:t>符合</w:t>
            </w:r>
          </w:p>
        </w:tc>
      </w:tr>
      <w:tr w14:paraId="39E1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5D816D5D">
            <w:pPr>
              <w:pStyle w:val="31"/>
              <w:rPr>
                <w:rFonts w:cs="Times New Roman"/>
                <w:kern w:val="0"/>
              </w:rPr>
            </w:pPr>
            <w:r>
              <w:rPr>
                <w:rFonts w:cs="Times New Roman"/>
                <w:kern w:val="0"/>
              </w:rPr>
              <w:t>3</w:t>
            </w:r>
          </w:p>
        </w:tc>
        <w:tc>
          <w:tcPr>
            <w:tcW w:w="500" w:type="pct"/>
            <w:vMerge w:val="restart"/>
            <w:vAlign w:val="center"/>
          </w:tcPr>
          <w:p w14:paraId="494D6F96">
            <w:pPr>
              <w:pStyle w:val="31"/>
              <w:rPr>
                <w:rFonts w:cs="Times New Roman"/>
                <w:kern w:val="0"/>
              </w:rPr>
            </w:pPr>
            <w:r>
              <w:rPr>
                <w:rFonts w:hint="eastAsia" w:cs="Times New Roman"/>
                <w:kern w:val="0"/>
              </w:rPr>
              <w:t>拆船水污染防治要求</w:t>
            </w:r>
          </w:p>
        </w:tc>
        <w:tc>
          <w:tcPr>
            <w:tcW w:w="1924" w:type="pct"/>
            <w:vAlign w:val="center"/>
          </w:tcPr>
          <w:p w14:paraId="3ABEAF6D">
            <w:pPr>
              <w:pStyle w:val="31"/>
              <w:rPr>
                <w:rFonts w:cs="Times New Roman"/>
                <w:kern w:val="0"/>
              </w:rPr>
            </w:pPr>
            <w:r>
              <w:rPr>
                <w:rFonts w:hint="eastAsia" w:cs="Times New Roman"/>
                <w:kern w:val="0"/>
              </w:rPr>
              <w:t>严禁将不符合环境保护排放标准要求的废水排入水体，</w:t>
            </w:r>
            <w:r>
              <w:rPr>
                <w:rFonts w:cs="Times New Roman"/>
                <w:kern w:val="0"/>
              </w:rPr>
              <w:t>严禁将拆船固体废物抛投、倾倒入水体</w:t>
            </w:r>
          </w:p>
        </w:tc>
        <w:tc>
          <w:tcPr>
            <w:tcW w:w="1921" w:type="pct"/>
            <w:vAlign w:val="center"/>
          </w:tcPr>
          <w:p w14:paraId="405CAB95">
            <w:pPr>
              <w:pStyle w:val="31"/>
              <w:rPr>
                <w:rFonts w:cs="Times New Roman"/>
                <w:kern w:val="0"/>
              </w:rPr>
            </w:pPr>
            <w:r>
              <w:rPr>
                <w:rFonts w:hint="eastAsia" w:cs="Times New Roman"/>
                <w:kern w:val="0"/>
              </w:rPr>
              <w:t>厂区不设置排放口，厂区配备有较大容量隔油沉淀池和应急池，聘请有资质单位定期使用吸污车转运处置被污染初期雨水</w:t>
            </w:r>
          </w:p>
        </w:tc>
        <w:tc>
          <w:tcPr>
            <w:tcW w:w="389" w:type="pct"/>
            <w:vAlign w:val="center"/>
          </w:tcPr>
          <w:p w14:paraId="3E2F5BCE">
            <w:pPr>
              <w:pStyle w:val="31"/>
              <w:rPr>
                <w:rFonts w:cs="Times New Roman"/>
                <w:kern w:val="0"/>
              </w:rPr>
            </w:pPr>
            <w:r>
              <w:rPr>
                <w:rFonts w:hint="eastAsia" w:cs="Times New Roman"/>
                <w:kern w:val="0"/>
              </w:rPr>
              <w:t>符合</w:t>
            </w:r>
          </w:p>
        </w:tc>
      </w:tr>
      <w:tr w14:paraId="4EB1C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2448F9F2">
            <w:pPr>
              <w:pStyle w:val="31"/>
              <w:rPr>
                <w:rFonts w:cs="Times New Roman"/>
                <w:kern w:val="0"/>
              </w:rPr>
            </w:pPr>
          </w:p>
        </w:tc>
        <w:tc>
          <w:tcPr>
            <w:tcW w:w="500" w:type="pct"/>
            <w:vMerge w:val="continue"/>
            <w:vAlign w:val="center"/>
          </w:tcPr>
          <w:p w14:paraId="1EA98498">
            <w:pPr>
              <w:pStyle w:val="31"/>
              <w:rPr>
                <w:rFonts w:cs="Times New Roman"/>
                <w:kern w:val="0"/>
              </w:rPr>
            </w:pPr>
          </w:p>
        </w:tc>
        <w:tc>
          <w:tcPr>
            <w:tcW w:w="1924" w:type="pct"/>
            <w:vAlign w:val="center"/>
          </w:tcPr>
          <w:p w14:paraId="6850803A">
            <w:pPr>
              <w:pStyle w:val="31"/>
              <w:rPr>
                <w:rFonts w:cs="Times New Roman"/>
                <w:kern w:val="0"/>
              </w:rPr>
            </w:pPr>
            <w:r>
              <w:rPr>
                <w:rFonts w:cs="Times New Roman"/>
                <w:kern w:val="0"/>
              </w:rPr>
              <w:t>拆船企业应建设污水处理设施</w:t>
            </w:r>
            <w:r>
              <w:rPr>
                <w:rFonts w:hint="eastAsia" w:cs="Times New Roman"/>
                <w:kern w:val="0"/>
              </w:rPr>
              <w:t>，</w:t>
            </w:r>
            <w:r>
              <w:rPr>
                <w:rFonts w:cs="Times New Roman"/>
                <w:kern w:val="0"/>
              </w:rPr>
              <w:t>将舱底油污泥、油污水、场地废水等进行收集和处理</w:t>
            </w:r>
            <w:r>
              <w:rPr>
                <w:rFonts w:hint="eastAsia" w:cs="Times New Roman"/>
                <w:kern w:val="0"/>
              </w:rPr>
              <w:t>，</w:t>
            </w:r>
            <w:r>
              <w:rPr>
                <w:rFonts w:cs="Times New Roman"/>
                <w:kern w:val="0"/>
              </w:rPr>
              <w:t>达到GB8978的相关要求后才能排放</w:t>
            </w:r>
            <w:r>
              <w:rPr>
                <w:rFonts w:hint="eastAsia" w:cs="Times New Roman"/>
                <w:kern w:val="0"/>
              </w:rPr>
              <w:t>；</w:t>
            </w:r>
            <w:r>
              <w:rPr>
                <w:rFonts w:cs="Times New Roman"/>
                <w:kern w:val="0"/>
              </w:rPr>
              <w:t>压舱废水经国家检验检疫机构消毒杀菌处理符合要求后可以直接排人水体</w:t>
            </w:r>
            <w:r>
              <w:rPr>
                <w:rFonts w:hint="eastAsia" w:cs="Times New Roman"/>
                <w:kern w:val="0"/>
              </w:rPr>
              <w:t>；</w:t>
            </w:r>
            <w:r>
              <w:rPr>
                <w:rFonts w:cs="Times New Roman"/>
                <w:kern w:val="0"/>
              </w:rPr>
              <w:t>油污泥</w:t>
            </w:r>
            <w:r>
              <w:rPr>
                <w:rFonts w:hint="eastAsia" w:cs="Times New Roman"/>
                <w:kern w:val="0"/>
              </w:rPr>
              <w:t>、</w:t>
            </w:r>
            <w:r>
              <w:rPr>
                <w:rFonts w:cs="Times New Roman"/>
                <w:kern w:val="0"/>
              </w:rPr>
              <w:t>油污水</w:t>
            </w:r>
            <w:r>
              <w:rPr>
                <w:rFonts w:hint="eastAsia" w:cs="Times New Roman"/>
                <w:kern w:val="0"/>
              </w:rPr>
              <w:t>和</w:t>
            </w:r>
            <w:r>
              <w:rPr>
                <w:rFonts w:cs="Times New Roman"/>
                <w:kern w:val="0"/>
              </w:rPr>
              <w:t>废油也可由地方环境保护主管部门认可的专业清油队收集清理和处理</w:t>
            </w:r>
          </w:p>
        </w:tc>
        <w:tc>
          <w:tcPr>
            <w:tcW w:w="1921" w:type="pct"/>
            <w:vAlign w:val="center"/>
          </w:tcPr>
          <w:p w14:paraId="73541612">
            <w:pPr>
              <w:pStyle w:val="31"/>
              <w:rPr>
                <w:rFonts w:cs="Times New Roman"/>
                <w:kern w:val="0"/>
              </w:rPr>
            </w:pPr>
            <w:r>
              <w:rPr>
                <w:rFonts w:hint="eastAsia" w:cs="Times New Roman"/>
                <w:kern w:val="0"/>
              </w:rPr>
              <w:t>本次扩建项目主要拆除船舶，船体内废水要求所有人预处理后送至工作船台，生产过程无废水产生，初期雨水经有效收集委托处置，不外排</w:t>
            </w:r>
          </w:p>
        </w:tc>
        <w:tc>
          <w:tcPr>
            <w:tcW w:w="389" w:type="pct"/>
            <w:vAlign w:val="center"/>
          </w:tcPr>
          <w:p w14:paraId="7BDFAB0B">
            <w:pPr>
              <w:pStyle w:val="31"/>
              <w:rPr>
                <w:rFonts w:cs="Times New Roman"/>
                <w:kern w:val="0"/>
              </w:rPr>
            </w:pPr>
            <w:r>
              <w:rPr>
                <w:rFonts w:hint="eastAsia" w:cs="Times New Roman"/>
                <w:kern w:val="0"/>
              </w:rPr>
              <w:t>符合</w:t>
            </w:r>
          </w:p>
        </w:tc>
      </w:tr>
      <w:tr w14:paraId="52A81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4D00850">
            <w:pPr>
              <w:pStyle w:val="31"/>
              <w:rPr>
                <w:rFonts w:cs="Times New Roman"/>
                <w:kern w:val="0"/>
              </w:rPr>
            </w:pPr>
          </w:p>
        </w:tc>
        <w:tc>
          <w:tcPr>
            <w:tcW w:w="500" w:type="pct"/>
            <w:vMerge w:val="continue"/>
            <w:vAlign w:val="center"/>
          </w:tcPr>
          <w:p w14:paraId="0BDB99AA">
            <w:pPr>
              <w:pStyle w:val="31"/>
              <w:rPr>
                <w:rFonts w:cs="Times New Roman"/>
                <w:kern w:val="0"/>
              </w:rPr>
            </w:pPr>
          </w:p>
        </w:tc>
        <w:tc>
          <w:tcPr>
            <w:tcW w:w="1924" w:type="pct"/>
            <w:vAlign w:val="center"/>
          </w:tcPr>
          <w:p w14:paraId="02A2D5DE">
            <w:pPr>
              <w:pStyle w:val="31"/>
              <w:rPr>
                <w:rFonts w:cs="Times New Roman"/>
                <w:kern w:val="0"/>
              </w:rPr>
            </w:pPr>
            <w:r>
              <w:rPr>
                <w:rFonts w:cs="Times New Roman"/>
                <w:kern w:val="0"/>
              </w:rPr>
              <w:t>解场地应建造雨水、污水分流和收集系统</w:t>
            </w:r>
            <w:r>
              <w:rPr>
                <w:rFonts w:hint="eastAsia" w:cs="Times New Roman"/>
                <w:kern w:val="0"/>
              </w:rPr>
              <w:t>，</w:t>
            </w:r>
            <w:r>
              <w:rPr>
                <w:rFonts w:cs="Times New Roman"/>
                <w:kern w:val="0"/>
              </w:rPr>
              <w:t>防止雨水径流导致场地内废物产生的污染扩散</w:t>
            </w:r>
          </w:p>
        </w:tc>
        <w:tc>
          <w:tcPr>
            <w:tcW w:w="1921" w:type="pct"/>
            <w:vAlign w:val="center"/>
          </w:tcPr>
          <w:p w14:paraId="3BF36796">
            <w:pPr>
              <w:pStyle w:val="31"/>
              <w:rPr>
                <w:rFonts w:cs="Times New Roman"/>
                <w:kern w:val="0"/>
              </w:rPr>
            </w:pPr>
            <w:r>
              <w:rPr>
                <w:rFonts w:hint="eastAsia" w:cs="Times New Roman"/>
                <w:kern w:val="0"/>
              </w:rPr>
              <w:t>雨污分流，工作船台设有环形雨水导流沟、应急池和隔油沉淀池，有效初期雨水并确保雨污分流，除清洁雨水外无废水排放口</w:t>
            </w:r>
          </w:p>
        </w:tc>
        <w:tc>
          <w:tcPr>
            <w:tcW w:w="389" w:type="pct"/>
            <w:vAlign w:val="center"/>
          </w:tcPr>
          <w:p w14:paraId="03D9B958">
            <w:pPr>
              <w:pStyle w:val="31"/>
              <w:rPr>
                <w:rFonts w:cs="Times New Roman"/>
                <w:kern w:val="0"/>
              </w:rPr>
            </w:pPr>
            <w:r>
              <w:rPr>
                <w:rFonts w:hint="eastAsia" w:cs="Times New Roman"/>
                <w:kern w:val="0"/>
              </w:rPr>
              <w:t>符合</w:t>
            </w:r>
          </w:p>
        </w:tc>
      </w:tr>
      <w:tr w14:paraId="25E15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4E9E8A9">
            <w:pPr>
              <w:pStyle w:val="31"/>
              <w:rPr>
                <w:rFonts w:cs="Times New Roman"/>
                <w:kern w:val="0"/>
              </w:rPr>
            </w:pPr>
          </w:p>
        </w:tc>
        <w:tc>
          <w:tcPr>
            <w:tcW w:w="500" w:type="pct"/>
            <w:vMerge w:val="continue"/>
            <w:vAlign w:val="center"/>
          </w:tcPr>
          <w:p w14:paraId="6C8F4C78">
            <w:pPr>
              <w:pStyle w:val="31"/>
              <w:rPr>
                <w:rFonts w:cs="Times New Roman"/>
                <w:kern w:val="0"/>
              </w:rPr>
            </w:pPr>
          </w:p>
        </w:tc>
        <w:tc>
          <w:tcPr>
            <w:tcW w:w="1924" w:type="pct"/>
            <w:vAlign w:val="center"/>
          </w:tcPr>
          <w:p w14:paraId="507596D2">
            <w:pPr>
              <w:pStyle w:val="31"/>
              <w:rPr>
                <w:rFonts w:cs="Times New Roman"/>
                <w:kern w:val="0"/>
              </w:rPr>
            </w:pPr>
            <w:r>
              <w:rPr>
                <w:rFonts w:cs="Times New Roman"/>
                <w:kern w:val="0"/>
              </w:rPr>
              <w:t>在基本拆解区水域进行拆船作业时</w:t>
            </w:r>
            <w:r>
              <w:rPr>
                <w:rFonts w:hint="eastAsia" w:cs="Times New Roman"/>
                <w:kern w:val="0"/>
              </w:rPr>
              <w:t>，</w:t>
            </w:r>
            <w:r>
              <w:rPr>
                <w:rFonts w:cs="Times New Roman"/>
                <w:kern w:val="0"/>
              </w:rPr>
              <w:t>应设置油栏及配备吸油毡</w:t>
            </w:r>
            <w:r>
              <w:rPr>
                <w:rFonts w:hint="eastAsia" w:cs="Times New Roman"/>
                <w:kern w:val="0"/>
              </w:rPr>
              <w:t>，且有利于采取清理措施</w:t>
            </w:r>
          </w:p>
        </w:tc>
        <w:tc>
          <w:tcPr>
            <w:tcW w:w="1921" w:type="pct"/>
            <w:vAlign w:val="center"/>
          </w:tcPr>
          <w:p w14:paraId="4A27E09D">
            <w:pPr>
              <w:pStyle w:val="31"/>
              <w:rPr>
                <w:rFonts w:cs="Times New Roman"/>
                <w:kern w:val="0"/>
              </w:rPr>
            </w:pPr>
            <w:r>
              <w:rPr>
                <w:rFonts w:hint="eastAsia" w:cs="Times New Roman"/>
                <w:kern w:val="0"/>
              </w:rPr>
              <w:t>现有项目已办理突发环境事件应急预案，根据现场勘查和资料收集，可确认厂区备有围油栏和吸油毡等应急物资</w:t>
            </w:r>
          </w:p>
        </w:tc>
        <w:tc>
          <w:tcPr>
            <w:tcW w:w="389" w:type="pct"/>
            <w:vAlign w:val="center"/>
          </w:tcPr>
          <w:p w14:paraId="76E0B735">
            <w:pPr>
              <w:pStyle w:val="31"/>
              <w:rPr>
                <w:rFonts w:cs="Times New Roman"/>
                <w:kern w:val="0"/>
              </w:rPr>
            </w:pPr>
            <w:r>
              <w:rPr>
                <w:rFonts w:hint="eastAsia" w:cs="Times New Roman"/>
                <w:kern w:val="0"/>
              </w:rPr>
              <w:t>符合</w:t>
            </w:r>
          </w:p>
        </w:tc>
      </w:tr>
      <w:tr w14:paraId="3B653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505600ED">
            <w:pPr>
              <w:pStyle w:val="31"/>
              <w:rPr>
                <w:rFonts w:cs="Times New Roman"/>
                <w:kern w:val="0"/>
              </w:rPr>
            </w:pPr>
            <w:r>
              <w:rPr>
                <w:rFonts w:cs="Times New Roman"/>
                <w:kern w:val="0"/>
              </w:rPr>
              <w:t>4</w:t>
            </w:r>
          </w:p>
        </w:tc>
        <w:tc>
          <w:tcPr>
            <w:tcW w:w="500" w:type="pct"/>
            <w:vMerge w:val="restart"/>
            <w:vAlign w:val="center"/>
          </w:tcPr>
          <w:p w14:paraId="0E6E75B1">
            <w:pPr>
              <w:pStyle w:val="31"/>
              <w:rPr>
                <w:rFonts w:cs="Times New Roman"/>
                <w:kern w:val="0"/>
              </w:rPr>
            </w:pPr>
            <w:r>
              <w:rPr>
                <w:rFonts w:hint="eastAsia" w:cs="Times New Roman"/>
                <w:kern w:val="0"/>
              </w:rPr>
              <w:t>拆船空气污染控制要求</w:t>
            </w:r>
          </w:p>
        </w:tc>
        <w:tc>
          <w:tcPr>
            <w:tcW w:w="1924" w:type="pct"/>
            <w:vAlign w:val="center"/>
          </w:tcPr>
          <w:p w14:paraId="3EA5C8DD">
            <w:pPr>
              <w:pStyle w:val="31"/>
              <w:rPr>
                <w:rFonts w:cs="Times New Roman"/>
                <w:kern w:val="0"/>
              </w:rPr>
            </w:pPr>
            <w:r>
              <w:rPr>
                <w:rFonts w:hint="eastAsia" w:cs="Times New Roman"/>
                <w:kern w:val="0"/>
              </w:rPr>
              <w:t>拆船过程中的空气污染物排放应符合</w:t>
            </w:r>
            <w:r>
              <w:rPr>
                <w:rFonts w:cs="Times New Roman"/>
                <w:kern w:val="0"/>
              </w:rPr>
              <w:t>GB 16297相关规定和要求</w:t>
            </w:r>
          </w:p>
        </w:tc>
        <w:tc>
          <w:tcPr>
            <w:tcW w:w="1921" w:type="pct"/>
            <w:vAlign w:val="center"/>
          </w:tcPr>
          <w:p w14:paraId="79179DA6">
            <w:pPr>
              <w:pStyle w:val="31"/>
              <w:rPr>
                <w:rFonts w:cs="Times New Roman"/>
                <w:kern w:val="0"/>
              </w:rPr>
            </w:pPr>
            <w:r>
              <w:rPr>
                <w:rFonts w:hint="eastAsia" w:cs="Times New Roman"/>
                <w:kern w:val="0"/>
              </w:rPr>
              <w:t>本次环评要求配套相关环保设施，处理后经预测可满足</w:t>
            </w:r>
            <w:r>
              <w:rPr>
                <w:rFonts w:cs="Times New Roman"/>
                <w:kern w:val="0"/>
              </w:rPr>
              <w:t>GB 16297</w:t>
            </w:r>
            <w:r>
              <w:rPr>
                <w:rFonts w:hint="eastAsia" w:cs="Times New Roman"/>
                <w:kern w:val="0"/>
              </w:rPr>
              <w:t>中排放排放</w:t>
            </w:r>
          </w:p>
        </w:tc>
        <w:tc>
          <w:tcPr>
            <w:tcW w:w="389" w:type="pct"/>
            <w:vAlign w:val="center"/>
          </w:tcPr>
          <w:p w14:paraId="1A07E191">
            <w:pPr>
              <w:pStyle w:val="31"/>
              <w:rPr>
                <w:rFonts w:cs="Times New Roman"/>
                <w:kern w:val="0"/>
              </w:rPr>
            </w:pPr>
            <w:r>
              <w:rPr>
                <w:rFonts w:hint="eastAsia" w:cs="Times New Roman"/>
                <w:kern w:val="0"/>
              </w:rPr>
              <w:t>符合</w:t>
            </w:r>
          </w:p>
        </w:tc>
      </w:tr>
      <w:tr w14:paraId="673F7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3648E568">
            <w:pPr>
              <w:pStyle w:val="31"/>
              <w:rPr>
                <w:rFonts w:cs="Times New Roman"/>
                <w:kern w:val="0"/>
              </w:rPr>
            </w:pPr>
          </w:p>
        </w:tc>
        <w:tc>
          <w:tcPr>
            <w:tcW w:w="500" w:type="pct"/>
            <w:vMerge w:val="continue"/>
            <w:vAlign w:val="center"/>
          </w:tcPr>
          <w:p w14:paraId="25958F8A">
            <w:pPr>
              <w:pStyle w:val="31"/>
              <w:rPr>
                <w:rFonts w:cs="Times New Roman"/>
                <w:kern w:val="0"/>
              </w:rPr>
            </w:pPr>
          </w:p>
        </w:tc>
        <w:tc>
          <w:tcPr>
            <w:tcW w:w="1924" w:type="pct"/>
            <w:vAlign w:val="center"/>
          </w:tcPr>
          <w:p w14:paraId="75B062EB">
            <w:pPr>
              <w:pStyle w:val="31"/>
              <w:rPr>
                <w:rFonts w:cs="Times New Roman"/>
                <w:kern w:val="0"/>
              </w:rPr>
            </w:pPr>
            <w:r>
              <w:rPr>
                <w:rFonts w:hint="eastAsia" w:cs="Times New Roman"/>
                <w:kern w:val="0"/>
              </w:rPr>
              <w:t>拆船过程中应采取措施，</w:t>
            </w:r>
            <w:r>
              <w:rPr>
                <w:rFonts w:cs="Times New Roman"/>
                <w:kern w:val="0"/>
              </w:rPr>
              <w:t>防止由于操作不当引起燃烧、火灾、爆炸等而产生的空气环境污染</w:t>
            </w:r>
          </w:p>
        </w:tc>
        <w:tc>
          <w:tcPr>
            <w:tcW w:w="1921" w:type="pct"/>
            <w:vAlign w:val="center"/>
          </w:tcPr>
          <w:p w14:paraId="0ACFBDA5">
            <w:pPr>
              <w:pStyle w:val="31"/>
              <w:rPr>
                <w:rFonts w:cs="Times New Roman"/>
                <w:kern w:val="0"/>
              </w:rPr>
            </w:pPr>
            <w:r>
              <w:rPr>
                <w:rFonts w:hint="eastAsia" w:cs="Times New Roman"/>
                <w:kern w:val="0"/>
              </w:rPr>
              <w:t>企业应及时更新突发环境事件应急预案，明确相关事故情况下应急防控措施</w:t>
            </w:r>
          </w:p>
        </w:tc>
        <w:tc>
          <w:tcPr>
            <w:tcW w:w="389" w:type="pct"/>
            <w:vAlign w:val="center"/>
          </w:tcPr>
          <w:p w14:paraId="5EAB288C">
            <w:pPr>
              <w:pStyle w:val="31"/>
              <w:rPr>
                <w:rFonts w:cs="Times New Roman"/>
                <w:kern w:val="0"/>
              </w:rPr>
            </w:pPr>
            <w:r>
              <w:rPr>
                <w:rFonts w:hint="eastAsia" w:cs="Times New Roman"/>
                <w:kern w:val="0"/>
              </w:rPr>
              <w:t>符合</w:t>
            </w:r>
          </w:p>
        </w:tc>
      </w:tr>
      <w:tr w14:paraId="257BE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091B3F6E">
            <w:pPr>
              <w:pStyle w:val="31"/>
              <w:rPr>
                <w:rFonts w:cs="Times New Roman"/>
                <w:kern w:val="0"/>
              </w:rPr>
            </w:pPr>
          </w:p>
        </w:tc>
        <w:tc>
          <w:tcPr>
            <w:tcW w:w="500" w:type="pct"/>
            <w:vMerge w:val="continue"/>
            <w:vAlign w:val="center"/>
          </w:tcPr>
          <w:p w14:paraId="755D14C2">
            <w:pPr>
              <w:pStyle w:val="31"/>
              <w:rPr>
                <w:rFonts w:cs="Times New Roman"/>
                <w:kern w:val="0"/>
              </w:rPr>
            </w:pPr>
          </w:p>
        </w:tc>
        <w:tc>
          <w:tcPr>
            <w:tcW w:w="1924" w:type="pct"/>
            <w:vAlign w:val="center"/>
          </w:tcPr>
          <w:p w14:paraId="0EF2405B">
            <w:pPr>
              <w:pStyle w:val="31"/>
              <w:rPr>
                <w:rFonts w:cs="Times New Roman"/>
                <w:kern w:val="0"/>
              </w:rPr>
            </w:pPr>
            <w:r>
              <w:rPr>
                <w:rFonts w:cs="Times New Roman"/>
                <w:kern w:val="0"/>
              </w:rPr>
              <w:t>废船预清理过程应将制冷设备内的制冷剂抽到专用贮存容器中</w:t>
            </w:r>
            <w:r>
              <w:rPr>
                <w:rFonts w:hint="eastAsia" w:cs="Times New Roman"/>
                <w:kern w:val="0"/>
              </w:rPr>
              <w:t>，</w:t>
            </w:r>
            <w:r>
              <w:rPr>
                <w:rFonts w:cs="Times New Roman"/>
                <w:kern w:val="0"/>
              </w:rPr>
              <w:t>由专门厂家进行回收处理</w:t>
            </w:r>
            <w:r>
              <w:rPr>
                <w:rFonts w:hint="eastAsia" w:cs="Times New Roman"/>
                <w:kern w:val="0"/>
              </w:rPr>
              <w:t>，</w:t>
            </w:r>
            <w:r>
              <w:rPr>
                <w:rFonts w:cs="Times New Roman"/>
                <w:kern w:val="0"/>
              </w:rPr>
              <w:t>不准许将制冷剂泄漏和排放到空气环境中</w:t>
            </w:r>
          </w:p>
        </w:tc>
        <w:tc>
          <w:tcPr>
            <w:tcW w:w="1921" w:type="pct"/>
            <w:vAlign w:val="center"/>
          </w:tcPr>
          <w:p w14:paraId="7E9B897E">
            <w:pPr>
              <w:pStyle w:val="31"/>
              <w:rPr>
                <w:rFonts w:cs="Times New Roman"/>
                <w:kern w:val="0"/>
              </w:rPr>
            </w:pPr>
            <w:r>
              <w:rPr>
                <w:rFonts w:hint="eastAsia" w:cs="Times New Roman"/>
                <w:kern w:val="0"/>
              </w:rPr>
              <w:t>如存在冰箱或其他制冷设备，拆船过程采取整体拆除后立即委托资质单位前来收取，整体拆除不会破坏设备，不运行不存在相关污染</w:t>
            </w:r>
          </w:p>
        </w:tc>
        <w:tc>
          <w:tcPr>
            <w:tcW w:w="389" w:type="pct"/>
            <w:vAlign w:val="center"/>
          </w:tcPr>
          <w:p w14:paraId="2FF6ADF2">
            <w:pPr>
              <w:pStyle w:val="31"/>
              <w:rPr>
                <w:rFonts w:cs="Times New Roman"/>
                <w:kern w:val="0"/>
              </w:rPr>
            </w:pPr>
            <w:r>
              <w:rPr>
                <w:rFonts w:hint="eastAsia" w:cs="Times New Roman"/>
                <w:kern w:val="0"/>
              </w:rPr>
              <w:t>符合</w:t>
            </w:r>
          </w:p>
        </w:tc>
      </w:tr>
      <w:tr w14:paraId="35D7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DDEB0FF">
            <w:pPr>
              <w:pStyle w:val="31"/>
              <w:rPr>
                <w:rFonts w:cs="Times New Roman"/>
                <w:kern w:val="0"/>
              </w:rPr>
            </w:pPr>
          </w:p>
        </w:tc>
        <w:tc>
          <w:tcPr>
            <w:tcW w:w="500" w:type="pct"/>
            <w:vMerge w:val="continue"/>
            <w:vAlign w:val="center"/>
          </w:tcPr>
          <w:p w14:paraId="0338F158">
            <w:pPr>
              <w:pStyle w:val="31"/>
              <w:rPr>
                <w:rFonts w:cs="Times New Roman"/>
                <w:kern w:val="0"/>
              </w:rPr>
            </w:pPr>
          </w:p>
        </w:tc>
        <w:tc>
          <w:tcPr>
            <w:tcW w:w="1924" w:type="pct"/>
            <w:vAlign w:val="center"/>
          </w:tcPr>
          <w:p w14:paraId="3A8F741E">
            <w:pPr>
              <w:pStyle w:val="31"/>
              <w:rPr>
                <w:rFonts w:cs="Times New Roman"/>
                <w:kern w:val="0"/>
              </w:rPr>
            </w:pPr>
            <w:r>
              <w:rPr>
                <w:rFonts w:cs="Times New Roman"/>
                <w:kern w:val="0"/>
              </w:rPr>
              <w:t>热切制作业时</w:t>
            </w:r>
            <w:r>
              <w:rPr>
                <w:rFonts w:hint="eastAsia" w:cs="Times New Roman"/>
                <w:kern w:val="0"/>
              </w:rPr>
              <w:t>，</w:t>
            </w:r>
            <w:r>
              <w:rPr>
                <w:rFonts w:cs="Times New Roman"/>
                <w:kern w:val="0"/>
              </w:rPr>
              <w:t>应保持良好的自然通风或机械通风状态</w:t>
            </w:r>
            <w:r>
              <w:rPr>
                <w:rFonts w:hint="eastAsia" w:cs="Times New Roman"/>
                <w:kern w:val="0"/>
              </w:rPr>
              <w:t>，</w:t>
            </w:r>
            <w:r>
              <w:rPr>
                <w:rFonts w:cs="Times New Roman"/>
                <w:kern w:val="0"/>
              </w:rPr>
              <w:t>防止有毒有害气体危害人体健康和污染环境</w:t>
            </w:r>
          </w:p>
        </w:tc>
        <w:tc>
          <w:tcPr>
            <w:tcW w:w="1921" w:type="pct"/>
            <w:vAlign w:val="center"/>
          </w:tcPr>
          <w:p w14:paraId="2C6670C1">
            <w:pPr>
              <w:pStyle w:val="31"/>
              <w:rPr>
                <w:rFonts w:cs="Times New Roman"/>
                <w:kern w:val="0"/>
              </w:rPr>
            </w:pPr>
            <w:r>
              <w:rPr>
                <w:rFonts w:hint="eastAsia" w:cs="Times New Roman"/>
                <w:kern w:val="0"/>
              </w:rPr>
              <w:t>切割环节布设在硬化工作船台，拆解区为露天平台，二次拆解区设可延展厂棚，均采取自然通风，状态良好</w:t>
            </w:r>
          </w:p>
        </w:tc>
        <w:tc>
          <w:tcPr>
            <w:tcW w:w="389" w:type="pct"/>
            <w:vAlign w:val="center"/>
          </w:tcPr>
          <w:p w14:paraId="71005C06">
            <w:pPr>
              <w:pStyle w:val="31"/>
              <w:rPr>
                <w:rFonts w:cs="Times New Roman"/>
                <w:kern w:val="0"/>
              </w:rPr>
            </w:pPr>
            <w:r>
              <w:rPr>
                <w:rFonts w:hint="eastAsia" w:cs="Times New Roman"/>
                <w:kern w:val="0"/>
              </w:rPr>
              <w:t>符合</w:t>
            </w:r>
          </w:p>
        </w:tc>
      </w:tr>
      <w:tr w14:paraId="5E306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20272F49">
            <w:pPr>
              <w:pStyle w:val="31"/>
              <w:rPr>
                <w:rFonts w:cs="Times New Roman"/>
                <w:kern w:val="0"/>
              </w:rPr>
            </w:pPr>
          </w:p>
        </w:tc>
        <w:tc>
          <w:tcPr>
            <w:tcW w:w="500" w:type="pct"/>
            <w:vMerge w:val="continue"/>
            <w:vAlign w:val="center"/>
          </w:tcPr>
          <w:p w14:paraId="1A4DC336">
            <w:pPr>
              <w:pStyle w:val="31"/>
              <w:rPr>
                <w:rFonts w:cs="Times New Roman"/>
                <w:kern w:val="0"/>
              </w:rPr>
            </w:pPr>
          </w:p>
        </w:tc>
        <w:tc>
          <w:tcPr>
            <w:tcW w:w="1924" w:type="pct"/>
            <w:vAlign w:val="center"/>
          </w:tcPr>
          <w:p w14:paraId="3446B13B">
            <w:pPr>
              <w:pStyle w:val="31"/>
              <w:rPr>
                <w:rFonts w:cs="Times New Roman"/>
                <w:kern w:val="0"/>
              </w:rPr>
            </w:pPr>
            <w:r>
              <w:rPr>
                <w:rFonts w:cs="Times New Roman"/>
                <w:kern w:val="0"/>
              </w:rPr>
              <w:t>拆解船上石棉物品时</w:t>
            </w:r>
            <w:r>
              <w:rPr>
                <w:rFonts w:hint="eastAsia" w:cs="Times New Roman"/>
                <w:kern w:val="0"/>
              </w:rPr>
              <w:t>，</w:t>
            </w:r>
            <w:r>
              <w:rPr>
                <w:rFonts w:cs="Times New Roman"/>
                <w:kern w:val="0"/>
              </w:rPr>
              <w:t>宜先用水充分湿润并尽量整块去除</w:t>
            </w:r>
            <w:r>
              <w:rPr>
                <w:rFonts w:hint="eastAsia" w:cs="Times New Roman"/>
                <w:kern w:val="0"/>
              </w:rPr>
              <w:t>，</w:t>
            </w:r>
            <w:r>
              <w:rPr>
                <w:rFonts w:cs="Times New Roman"/>
                <w:kern w:val="0"/>
              </w:rPr>
              <w:t>不准许高处抛投,防止石棉粉尘污染环境、危害人体健康</w:t>
            </w:r>
            <w:r>
              <w:rPr>
                <w:rFonts w:hint="eastAsia" w:cs="Times New Roman"/>
                <w:kern w:val="0"/>
              </w:rPr>
              <w:t>，</w:t>
            </w:r>
            <w:r>
              <w:rPr>
                <w:rFonts w:cs="Times New Roman"/>
                <w:kern w:val="0"/>
              </w:rPr>
              <w:t>拆解专用场所应符合GBZ/T193-2007的要求</w:t>
            </w:r>
          </w:p>
        </w:tc>
        <w:tc>
          <w:tcPr>
            <w:tcW w:w="1921" w:type="pct"/>
            <w:vAlign w:val="center"/>
          </w:tcPr>
          <w:p w14:paraId="1709EA45">
            <w:pPr>
              <w:pStyle w:val="31"/>
              <w:rPr>
                <w:rFonts w:cs="Times New Roman"/>
                <w:kern w:val="0"/>
              </w:rPr>
            </w:pPr>
            <w:r>
              <w:rPr>
                <w:rFonts w:hint="eastAsia" w:cs="Times New Roman"/>
                <w:kern w:val="0"/>
              </w:rPr>
              <w:t>本次扩建项目所拆除船舶不含石棉物质，如发现船体含有相关物质，立即停止拆船，并联系船舶所有人要求聘请专业人员清理后再开展拆除工作</w:t>
            </w:r>
          </w:p>
        </w:tc>
        <w:tc>
          <w:tcPr>
            <w:tcW w:w="389" w:type="pct"/>
            <w:vAlign w:val="center"/>
          </w:tcPr>
          <w:p w14:paraId="726D17A1">
            <w:pPr>
              <w:pStyle w:val="31"/>
              <w:rPr>
                <w:rFonts w:cs="Times New Roman"/>
                <w:kern w:val="0"/>
              </w:rPr>
            </w:pPr>
            <w:r>
              <w:rPr>
                <w:rFonts w:hint="eastAsia" w:cs="Times New Roman"/>
                <w:kern w:val="0"/>
              </w:rPr>
              <w:t>符合</w:t>
            </w:r>
          </w:p>
        </w:tc>
      </w:tr>
      <w:tr w14:paraId="12C79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03203CFC">
            <w:pPr>
              <w:pStyle w:val="31"/>
              <w:rPr>
                <w:rFonts w:cs="Times New Roman"/>
                <w:kern w:val="0"/>
              </w:rPr>
            </w:pPr>
            <w:r>
              <w:rPr>
                <w:rFonts w:cs="Times New Roman"/>
                <w:kern w:val="0"/>
              </w:rPr>
              <w:t>5</w:t>
            </w:r>
          </w:p>
        </w:tc>
        <w:tc>
          <w:tcPr>
            <w:tcW w:w="500" w:type="pct"/>
            <w:vMerge w:val="restart"/>
            <w:vAlign w:val="center"/>
          </w:tcPr>
          <w:p w14:paraId="06D03012">
            <w:pPr>
              <w:pStyle w:val="31"/>
              <w:rPr>
                <w:rFonts w:cs="Times New Roman"/>
                <w:kern w:val="0"/>
              </w:rPr>
            </w:pPr>
            <w:r>
              <w:rPr>
                <w:rFonts w:hint="eastAsia" w:cs="Times New Roman"/>
                <w:kern w:val="0"/>
              </w:rPr>
              <w:t>拆船固体废物污染控制要求</w:t>
            </w:r>
          </w:p>
        </w:tc>
        <w:tc>
          <w:tcPr>
            <w:tcW w:w="1924" w:type="pct"/>
            <w:vAlign w:val="center"/>
          </w:tcPr>
          <w:p w14:paraId="7BD0CF92">
            <w:pPr>
              <w:pStyle w:val="31"/>
              <w:rPr>
                <w:rFonts w:cs="Times New Roman"/>
                <w:kern w:val="0"/>
              </w:rPr>
            </w:pPr>
            <w:r>
              <w:rPr>
                <w:rFonts w:hint="eastAsia" w:cs="Times New Roman"/>
                <w:kern w:val="0"/>
              </w:rPr>
              <w:t>拆船产生的固体废物应分类暂存和处理，</w:t>
            </w:r>
            <w:r>
              <w:rPr>
                <w:rFonts w:cs="Times New Roman"/>
                <w:kern w:val="0"/>
              </w:rPr>
              <w:t>不得随意存、丢弃、转移、倾倒和露天焚烧</w:t>
            </w:r>
          </w:p>
        </w:tc>
        <w:tc>
          <w:tcPr>
            <w:tcW w:w="1921" w:type="pct"/>
            <w:vAlign w:val="center"/>
          </w:tcPr>
          <w:p w14:paraId="14B80B3E">
            <w:pPr>
              <w:pStyle w:val="31"/>
              <w:rPr>
                <w:rFonts w:cs="Times New Roman"/>
                <w:kern w:val="0"/>
              </w:rPr>
            </w:pPr>
            <w:r>
              <w:rPr>
                <w:rFonts w:hint="eastAsia" w:cs="Times New Roman"/>
                <w:kern w:val="0"/>
              </w:rPr>
              <w:t>拆解过程主要为了资源再生利用，变废为宝的过程，因此船舶拆解废料基本均具备价值，但厂区内依旧明确应收尽收，现场做到每日清洁</w:t>
            </w:r>
          </w:p>
        </w:tc>
        <w:tc>
          <w:tcPr>
            <w:tcW w:w="389" w:type="pct"/>
            <w:vAlign w:val="center"/>
          </w:tcPr>
          <w:p w14:paraId="739413C6">
            <w:pPr>
              <w:pStyle w:val="31"/>
              <w:rPr>
                <w:rFonts w:cs="Times New Roman"/>
                <w:kern w:val="0"/>
              </w:rPr>
            </w:pPr>
            <w:r>
              <w:rPr>
                <w:rFonts w:hint="eastAsia" w:cs="Times New Roman"/>
                <w:kern w:val="0"/>
              </w:rPr>
              <w:t>符合</w:t>
            </w:r>
          </w:p>
        </w:tc>
      </w:tr>
      <w:tr w14:paraId="3390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0D6CF0CA">
            <w:pPr>
              <w:pStyle w:val="31"/>
              <w:rPr>
                <w:rFonts w:cs="Times New Roman"/>
                <w:kern w:val="0"/>
              </w:rPr>
            </w:pPr>
          </w:p>
        </w:tc>
        <w:tc>
          <w:tcPr>
            <w:tcW w:w="500" w:type="pct"/>
            <w:vMerge w:val="continue"/>
            <w:vAlign w:val="center"/>
          </w:tcPr>
          <w:p w14:paraId="275E29FC">
            <w:pPr>
              <w:pStyle w:val="31"/>
              <w:rPr>
                <w:rFonts w:cs="Times New Roman"/>
                <w:kern w:val="0"/>
              </w:rPr>
            </w:pPr>
          </w:p>
        </w:tc>
        <w:tc>
          <w:tcPr>
            <w:tcW w:w="1924" w:type="pct"/>
            <w:vAlign w:val="center"/>
          </w:tcPr>
          <w:p w14:paraId="627D6FA7">
            <w:pPr>
              <w:pStyle w:val="31"/>
              <w:rPr>
                <w:rFonts w:cs="Times New Roman"/>
                <w:kern w:val="0"/>
              </w:rPr>
            </w:pPr>
            <w:r>
              <w:rPr>
                <w:rFonts w:cs="Times New Roman"/>
                <w:kern w:val="0"/>
              </w:rPr>
              <w:t>填埋或焚烧危险废物以及危险废物贮存、处置应符合GB18597、GB18484利GB18598的要求</w:t>
            </w:r>
          </w:p>
        </w:tc>
        <w:tc>
          <w:tcPr>
            <w:tcW w:w="1921" w:type="pct"/>
            <w:vAlign w:val="center"/>
          </w:tcPr>
          <w:p w14:paraId="013141F9">
            <w:pPr>
              <w:pStyle w:val="31"/>
              <w:rPr>
                <w:rFonts w:cs="Times New Roman"/>
                <w:kern w:val="0"/>
              </w:rPr>
            </w:pPr>
            <w:r>
              <w:rPr>
                <w:rFonts w:hint="eastAsia" w:cs="Times New Roman"/>
                <w:kern w:val="0"/>
              </w:rPr>
              <w:t>工作船台设有危险废物贮存区，采用可移动集装箱，并委托当地有资质单位定期回收或处置</w:t>
            </w:r>
          </w:p>
        </w:tc>
        <w:tc>
          <w:tcPr>
            <w:tcW w:w="389" w:type="pct"/>
            <w:vAlign w:val="center"/>
          </w:tcPr>
          <w:p w14:paraId="59BC9AF0">
            <w:pPr>
              <w:pStyle w:val="31"/>
              <w:rPr>
                <w:rFonts w:cs="Times New Roman"/>
                <w:kern w:val="0"/>
              </w:rPr>
            </w:pPr>
            <w:r>
              <w:rPr>
                <w:rFonts w:hint="eastAsia" w:cs="Times New Roman"/>
                <w:kern w:val="0"/>
              </w:rPr>
              <w:t>符合</w:t>
            </w:r>
          </w:p>
        </w:tc>
      </w:tr>
      <w:tr w14:paraId="7ACB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550F4FBC">
            <w:pPr>
              <w:pStyle w:val="31"/>
              <w:rPr>
                <w:rFonts w:cs="Times New Roman"/>
                <w:kern w:val="0"/>
              </w:rPr>
            </w:pPr>
          </w:p>
        </w:tc>
        <w:tc>
          <w:tcPr>
            <w:tcW w:w="500" w:type="pct"/>
            <w:vMerge w:val="continue"/>
            <w:vAlign w:val="center"/>
          </w:tcPr>
          <w:p w14:paraId="4772D443">
            <w:pPr>
              <w:pStyle w:val="31"/>
              <w:rPr>
                <w:rFonts w:cs="Times New Roman"/>
                <w:kern w:val="0"/>
              </w:rPr>
            </w:pPr>
          </w:p>
        </w:tc>
        <w:tc>
          <w:tcPr>
            <w:tcW w:w="1924" w:type="pct"/>
            <w:vAlign w:val="center"/>
          </w:tcPr>
          <w:p w14:paraId="1B45D693">
            <w:pPr>
              <w:pStyle w:val="31"/>
              <w:rPr>
                <w:rFonts w:cs="Times New Roman"/>
                <w:kern w:val="0"/>
              </w:rPr>
            </w:pPr>
            <w:r>
              <w:rPr>
                <w:rFonts w:cs="Times New Roman"/>
                <w:kern w:val="0"/>
              </w:rPr>
              <w:t>对危险废物的容器和包装物以及收集、贮存、运输、处置危险废物的设施、场所</w:t>
            </w:r>
            <w:r>
              <w:rPr>
                <w:rFonts w:hint="eastAsia" w:cs="Times New Roman"/>
                <w:kern w:val="0"/>
              </w:rPr>
              <w:t>，</w:t>
            </w:r>
            <w:r>
              <w:rPr>
                <w:rFonts w:cs="Times New Roman"/>
                <w:kern w:val="0"/>
              </w:rPr>
              <w:t>应设置危险废物识别标志</w:t>
            </w:r>
          </w:p>
        </w:tc>
        <w:tc>
          <w:tcPr>
            <w:tcW w:w="1921" w:type="pct"/>
            <w:vAlign w:val="center"/>
          </w:tcPr>
          <w:p w14:paraId="61457CC6">
            <w:pPr>
              <w:pStyle w:val="31"/>
              <w:rPr>
                <w:rFonts w:cs="Times New Roman"/>
                <w:kern w:val="0"/>
              </w:rPr>
            </w:pPr>
            <w:r>
              <w:rPr>
                <w:rFonts w:hint="eastAsia" w:cs="Times New Roman"/>
                <w:kern w:val="0"/>
              </w:rPr>
              <w:t>拆卸过程中会产生含油抹布及劳保用品，采用塑料袋密封收集后封存至危废暂存区，少量漆渣等危险废物，分类分区存放在可封闭容器内</w:t>
            </w:r>
          </w:p>
        </w:tc>
        <w:tc>
          <w:tcPr>
            <w:tcW w:w="389" w:type="pct"/>
            <w:vAlign w:val="center"/>
          </w:tcPr>
          <w:p w14:paraId="41D09AAF">
            <w:pPr>
              <w:pStyle w:val="31"/>
              <w:rPr>
                <w:rFonts w:cs="Times New Roman"/>
                <w:kern w:val="0"/>
              </w:rPr>
            </w:pPr>
            <w:r>
              <w:rPr>
                <w:rFonts w:hint="eastAsia" w:cs="Times New Roman"/>
                <w:kern w:val="0"/>
              </w:rPr>
              <w:t>符合</w:t>
            </w:r>
          </w:p>
        </w:tc>
      </w:tr>
      <w:tr w14:paraId="4D61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5BEBAA8A">
            <w:pPr>
              <w:pStyle w:val="31"/>
              <w:rPr>
                <w:rFonts w:cs="Times New Roman"/>
                <w:kern w:val="0"/>
              </w:rPr>
            </w:pPr>
          </w:p>
        </w:tc>
        <w:tc>
          <w:tcPr>
            <w:tcW w:w="500" w:type="pct"/>
            <w:vMerge w:val="continue"/>
            <w:vAlign w:val="center"/>
          </w:tcPr>
          <w:p w14:paraId="7AFA4493">
            <w:pPr>
              <w:pStyle w:val="31"/>
              <w:rPr>
                <w:rFonts w:cs="Times New Roman"/>
                <w:kern w:val="0"/>
              </w:rPr>
            </w:pPr>
          </w:p>
        </w:tc>
        <w:tc>
          <w:tcPr>
            <w:tcW w:w="1924" w:type="pct"/>
            <w:vAlign w:val="center"/>
          </w:tcPr>
          <w:p w14:paraId="6E25B070">
            <w:pPr>
              <w:pStyle w:val="31"/>
              <w:rPr>
                <w:rFonts w:cs="Times New Roman"/>
                <w:kern w:val="0"/>
              </w:rPr>
            </w:pPr>
            <w:r>
              <w:rPr>
                <w:rFonts w:cs="Times New Roman"/>
                <w:kern w:val="0"/>
              </w:rPr>
              <w:t>拆船产生的危险废物</w:t>
            </w:r>
            <w:r>
              <w:rPr>
                <w:rFonts w:hint="eastAsia" w:cs="Times New Roman"/>
                <w:kern w:val="0"/>
              </w:rPr>
              <w:t>，</w:t>
            </w:r>
            <w:r>
              <w:rPr>
                <w:rFonts w:cs="Times New Roman"/>
                <w:kern w:val="0"/>
              </w:rPr>
              <w:t>应按照国家有关规定制定危险废物管理计划</w:t>
            </w:r>
            <w:r>
              <w:rPr>
                <w:rFonts w:hint="eastAsia" w:cs="Times New Roman"/>
                <w:kern w:val="0"/>
              </w:rPr>
              <w:t>，</w:t>
            </w:r>
            <w:r>
              <w:rPr>
                <w:rFonts w:cs="Times New Roman"/>
                <w:kern w:val="0"/>
              </w:rPr>
              <w:t>并向所在地县级以上地方人民政府环境保护行政主管部门申报危险废物的种类、产生量、流向、贮存、处置等有关资料</w:t>
            </w:r>
          </w:p>
        </w:tc>
        <w:tc>
          <w:tcPr>
            <w:tcW w:w="1921" w:type="pct"/>
            <w:vAlign w:val="center"/>
          </w:tcPr>
          <w:p w14:paraId="36EEAE67">
            <w:pPr>
              <w:pStyle w:val="31"/>
              <w:rPr>
                <w:rFonts w:cs="Times New Roman"/>
                <w:kern w:val="0"/>
              </w:rPr>
            </w:pPr>
            <w:r>
              <w:rPr>
                <w:rFonts w:hint="eastAsia" w:cs="Times New Roman"/>
                <w:kern w:val="0"/>
              </w:rPr>
              <w:t>根据相关规范，确保危险废物管理台账清晰有效，一次拆卸完成后要求协议资质单位必须前来转运，并填报转运联单</w:t>
            </w:r>
          </w:p>
        </w:tc>
        <w:tc>
          <w:tcPr>
            <w:tcW w:w="389" w:type="pct"/>
            <w:vAlign w:val="center"/>
          </w:tcPr>
          <w:p w14:paraId="7DA566AD">
            <w:pPr>
              <w:pStyle w:val="31"/>
              <w:rPr>
                <w:rFonts w:cs="Times New Roman"/>
                <w:kern w:val="0"/>
              </w:rPr>
            </w:pPr>
            <w:r>
              <w:rPr>
                <w:rFonts w:hint="eastAsia" w:cs="Times New Roman"/>
                <w:kern w:val="0"/>
              </w:rPr>
              <w:t>符合</w:t>
            </w:r>
          </w:p>
        </w:tc>
      </w:tr>
      <w:tr w14:paraId="527FF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DBF85B5">
            <w:pPr>
              <w:pStyle w:val="31"/>
              <w:rPr>
                <w:rFonts w:cs="Times New Roman"/>
                <w:kern w:val="0"/>
              </w:rPr>
            </w:pPr>
          </w:p>
        </w:tc>
        <w:tc>
          <w:tcPr>
            <w:tcW w:w="500" w:type="pct"/>
            <w:vMerge w:val="continue"/>
            <w:vAlign w:val="center"/>
          </w:tcPr>
          <w:p w14:paraId="5779451F">
            <w:pPr>
              <w:pStyle w:val="31"/>
              <w:rPr>
                <w:rFonts w:cs="Times New Roman"/>
                <w:kern w:val="0"/>
              </w:rPr>
            </w:pPr>
          </w:p>
        </w:tc>
        <w:tc>
          <w:tcPr>
            <w:tcW w:w="1924" w:type="pct"/>
            <w:vAlign w:val="center"/>
          </w:tcPr>
          <w:p w14:paraId="625DA454">
            <w:pPr>
              <w:pStyle w:val="31"/>
              <w:rPr>
                <w:rFonts w:cs="Times New Roman"/>
                <w:kern w:val="0"/>
              </w:rPr>
            </w:pPr>
            <w:r>
              <w:rPr>
                <w:rFonts w:cs="Times New Roman"/>
                <w:kern w:val="0"/>
              </w:rPr>
              <w:t>不准许将危险废物混</w:t>
            </w:r>
            <w:r>
              <w:rPr>
                <w:rFonts w:hint="eastAsia" w:cs="Times New Roman"/>
                <w:kern w:val="0"/>
              </w:rPr>
              <w:t>入</w:t>
            </w:r>
            <w:r>
              <w:rPr>
                <w:rFonts w:cs="Times New Roman"/>
                <w:kern w:val="0"/>
              </w:rPr>
              <w:t>非危险废物中贮存</w:t>
            </w:r>
          </w:p>
        </w:tc>
        <w:tc>
          <w:tcPr>
            <w:tcW w:w="1921" w:type="pct"/>
            <w:vAlign w:val="center"/>
          </w:tcPr>
          <w:p w14:paraId="3D762433">
            <w:pPr>
              <w:pStyle w:val="31"/>
              <w:rPr>
                <w:rFonts w:cs="Times New Roman"/>
                <w:kern w:val="0"/>
              </w:rPr>
            </w:pPr>
            <w:r>
              <w:rPr>
                <w:rFonts w:hint="eastAsia" w:cs="Times New Roman"/>
                <w:kern w:val="0"/>
              </w:rPr>
              <w:t>厂区设有拆除后清单名录，分为一般固废和危险废物，分类分区暂存，明令禁止混合贮存，一经发现严格处罚</w:t>
            </w:r>
          </w:p>
        </w:tc>
        <w:tc>
          <w:tcPr>
            <w:tcW w:w="389" w:type="pct"/>
            <w:vAlign w:val="center"/>
          </w:tcPr>
          <w:p w14:paraId="785791C4">
            <w:pPr>
              <w:pStyle w:val="31"/>
              <w:rPr>
                <w:rFonts w:cs="Times New Roman"/>
                <w:kern w:val="0"/>
              </w:rPr>
            </w:pPr>
            <w:r>
              <w:rPr>
                <w:rFonts w:hint="eastAsia" w:cs="Times New Roman"/>
                <w:kern w:val="0"/>
              </w:rPr>
              <w:t>符合</w:t>
            </w:r>
          </w:p>
        </w:tc>
      </w:tr>
      <w:tr w14:paraId="34994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1948FB5">
            <w:pPr>
              <w:pStyle w:val="31"/>
              <w:rPr>
                <w:rFonts w:cs="Times New Roman"/>
                <w:kern w:val="0"/>
              </w:rPr>
            </w:pPr>
          </w:p>
        </w:tc>
        <w:tc>
          <w:tcPr>
            <w:tcW w:w="500" w:type="pct"/>
            <w:vMerge w:val="continue"/>
            <w:vAlign w:val="center"/>
          </w:tcPr>
          <w:p w14:paraId="0B59C58F">
            <w:pPr>
              <w:pStyle w:val="31"/>
              <w:rPr>
                <w:rFonts w:cs="Times New Roman"/>
                <w:kern w:val="0"/>
              </w:rPr>
            </w:pPr>
          </w:p>
        </w:tc>
        <w:tc>
          <w:tcPr>
            <w:tcW w:w="1924" w:type="pct"/>
            <w:vAlign w:val="center"/>
          </w:tcPr>
          <w:p w14:paraId="0DFCB846">
            <w:pPr>
              <w:pStyle w:val="31"/>
              <w:rPr>
                <w:rFonts w:cs="Times New Roman"/>
                <w:kern w:val="0"/>
              </w:rPr>
            </w:pPr>
            <w:r>
              <w:rPr>
                <w:rFonts w:cs="Times New Roman"/>
                <w:kern w:val="0"/>
              </w:rPr>
              <w:t>废旧电池应送交有资质的单位进行回收利用和处置</w:t>
            </w:r>
          </w:p>
        </w:tc>
        <w:tc>
          <w:tcPr>
            <w:tcW w:w="1921" w:type="pct"/>
            <w:vAlign w:val="center"/>
          </w:tcPr>
          <w:p w14:paraId="3336072F">
            <w:pPr>
              <w:pStyle w:val="31"/>
              <w:rPr>
                <w:rFonts w:cs="Times New Roman"/>
                <w:kern w:val="0"/>
              </w:rPr>
            </w:pPr>
            <w:r>
              <w:rPr>
                <w:rFonts w:hint="eastAsia" w:cs="Times New Roman"/>
                <w:kern w:val="0"/>
              </w:rPr>
              <w:t>厂区内明令禁止，废旧电池不可随意丢弃，有效收集同电机一同出售资质单位</w:t>
            </w:r>
          </w:p>
        </w:tc>
        <w:tc>
          <w:tcPr>
            <w:tcW w:w="389" w:type="pct"/>
            <w:vAlign w:val="center"/>
          </w:tcPr>
          <w:p w14:paraId="3ABE60EE">
            <w:pPr>
              <w:pStyle w:val="31"/>
              <w:rPr>
                <w:rFonts w:cs="Times New Roman"/>
                <w:kern w:val="0"/>
              </w:rPr>
            </w:pPr>
            <w:r>
              <w:rPr>
                <w:rFonts w:hint="eastAsia" w:cs="Times New Roman"/>
                <w:kern w:val="0"/>
              </w:rPr>
              <w:t>符合</w:t>
            </w:r>
          </w:p>
        </w:tc>
      </w:tr>
      <w:tr w14:paraId="3AD97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788D7377">
            <w:pPr>
              <w:pStyle w:val="31"/>
              <w:rPr>
                <w:rFonts w:cs="Times New Roman"/>
                <w:kern w:val="0"/>
              </w:rPr>
            </w:pPr>
          </w:p>
        </w:tc>
        <w:tc>
          <w:tcPr>
            <w:tcW w:w="500" w:type="pct"/>
            <w:vMerge w:val="continue"/>
            <w:vAlign w:val="center"/>
          </w:tcPr>
          <w:p w14:paraId="6593929D">
            <w:pPr>
              <w:pStyle w:val="31"/>
              <w:rPr>
                <w:rFonts w:cs="Times New Roman"/>
                <w:kern w:val="0"/>
              </w:rPr>
            </w:pPr>
          </w:p>
        </w:tc>
        <w:tc>
          <w:tcPr>
            <w:tcW w:w="1924" w:type="pct"/>
            <w:vAlign w:val="center"/>
          </w:tcPr>
          <w:p w14:paraId="696C90EF">
            <w:pPr>
              <w:pStyle w:val="31"/>
              <w:rPr>
                <w:rFonts w:cs="Times New Roman"/>
                <w:kern w:val="0"/>
              </w:rPr>
            </w:pPr>
            <w:r>
              <w:rPr>
                <w:rFonts w:cs="Times New Roman"/>
                <w:kern w:val="0"/>
              </w:rPr>
              <w:t>拆船产生的石</w:t>
            </w:r>
            <w:r>
              <w:rPr>
                <w:rFonts w:hint="eastAsia" w:cs="Times New Roman"/>
                <w:kern w:val="0"/>
              </w:rPr>
              <w:t>棉</w:t>
            </w:r>
            <w:r>
              <w:rPr>
                <w:rFonts w:cs="Times New Roman"/>
                <w:kern w:val="0"/>
              </w:rPr>
              <w:t>物品</w:t>
            </w:r>
            <w:r>
              <w:rPr>
                <w:rFonts w:hint="eastAsia" w:cs="Times New Roman"/>
                <w:kern w:val="0"/>
              </w:rPr>
              <w:t>，</w:t>
            </w:r>
            <w:r>
              <w:rPr>
                <w:rFonts w:cs="Times New Roman"/>
                <w:kern w:val="0"/>
              </w:rPr>
              <w:t>不得露天堆存、碾压、破碎</w:t>
            </w:r>
            <w:r>
              <w:rPr>
                <w:rFonts w:hint="eastAsia" w:cs="Times New Roman"/>
                <w:kern w:val="0"/>
              </w:rPr>
              <w:t>，</w:t>
            </w:r>
            <w:r>
              <w:rPr>
                <w:rFonts w:cs="Times New Roman"/>
                <w:kern w:val="0"/>
              </w:rPr>
              <w:t>或与其他废物混合存放和处理。应使用双层密封袋包装后</w:t>
            </w:r>
            <w:r>
              <w:rPr>
                <w:rFonts w:hint="eastAsia" w:cs="Times New Roman"/>
                <w:kern w:val="0"/>
              </w:rPr>
              <w:t>，</w:t>
            </w:r>
            <w:r>
              <w:rPr>
                <w:rFonts w:cs="Times New Roman"/>
                <w:kern w:val="0"/>
              </w:rPr>
              <w:t>按照危险废物的要求进行运输和无害化处理处置</w:t>
            </w:r>
          </w:p>
        </w:tc>
        <w:tc>
          <w:tcPr>
            <w:tcW w:w="1921" w:type="pct"/>
            <w:vAlign w:val="center"/>
          </w:tcPr>
          <w:p w14:paraId="0501235A">
            <w:pPr>
              <w:pStyle w:val="31"/>
              <w:rPr>
                <w:rFonts w:cs="Times New Roman"/>
                <w:kern w:val="0"/>
              </w:rPr>
            </w:pPr>
            <w:r>
              <w:rPr>
                <w:rFonts w:hint="eastAsia" w:cs="Times New Roman"/>
                <w:kern w:val="0"/>
              </w:rPr>
              <w:t>2011年后船舶制造不得使用石棉物质，项目正常工况下不涉及，意外情况下立即联系船舶所有人合理处置</w:t>
            </w:r>
          </w:p>
        </w:tc>
        <w:tc>
          <w:tcPr>
            <w:tcW w:w="389" w:type="pct"/>
            <w:vAlign w:val="center"/>
          </w:tcPr>
          <w:p w14:paraId="17B5F735">
            <w:pPr>
              <w:pStyle w:val="31"/>
              <w:rPr>
                <w:rFonts w:cs="Times New Roman"/>
                <w:kern w:val="0"/>
              </w:rPr>
            </w:pPr>
            <w:r>
              <w:rPr>
                <w:rFonts w:hint="eastAsia" w:cs="Times New Roman"/>
                <w:kern w:val="0"/>
              </w:rPr>
              <w:t>符合</w:t>
            </w:r>
          </w:p>
        </w:tc>
      </w:tr>
      <w:tr w14:paraId="4F4D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44030F06">
            <w:pPr>
              <w:pStyle w:val="31"/>
              <w:rPr>
                <w:rFonts w:cs="Times New Roman"/>
                <w:kern w:val="0"/>
              </w:rPr>
            </w:pPr>
          </w:p>
        </w:tc>
        <w:tc>
          <w:tcPr>
            <w:tcW w:w="500" w:type="pct"/>
            <w:vMerge w:val="continue"/>
            <w:vAlign w:val="center"/>
          </w:tcPr>
          <w:p w14:paraId="44642ADA">
            <w:pPr>
              <w:pStyle w:val="31"/>
              <w:rPr>
                <w:rFonts w:cs="Times New Roman"/>
                <w:kern w:val="0"/>
              </w:rPr>
            </w:pPr>
          </w:p>
        </w:tc>
        <w:tc>
          <w:tcPr>
            <w:tcW w:w="1924" w:type="pct"/>
            <w:vAlign w:val="center"/>
          </w:tcPr>
          <w:p w14:paraId="51CCC696">
            <w:pPr>
              <w:pStyle w:val="31"/>
              <w:rPr>
                <w:rFonts w:cs="Times New Roman"/>
                <w:kern w:val="0"/>
              </w:rPr>
            </w:pPr>
            <w:r>
              <w:rPr>
                <w:rFonts w:cs="Times New Roman"/>
                <w:kern w:val="0"/>
              </w:rPr>
              <w:t>拆船过程中应采用高能混合气体切割工艺。采用乙炔气切割</w:t>
            </w:r>
            <w:r>
              <w:rPr>
                <w:rFonts w:hint="eastAsia" w:cs="Times New Roman"/>
                <w:kern w:val="0"/>
              </w:rPr>
              <w:t>工</w:t>
            </w:r>
            <w:r>
              <w:rPr>
                <w:rFonts w:cs="Times New Roman"/>
                <w:kern w:val="0"/>
              </w:rPr>
              <w:t>艺时</w:t>
            </w:r>
            <w:r>
              <w:rPr>
                <w:rFonts w:hint="eastAsia" w:cs="Times New Roman"/>
                <w:kern w:val="0"/>
              </w:rPr>
              <w:t>，</w:t>
            </w:r>
            <w:r>
              <w:rPr>
                <w:rFonts w:cs="Times New Roman"/>
                <w:kern w:val="0"/>
              </w:rPr>
              <w:t>应</w:t>
            </w:r>
            <w:r>
              <w:rPr>
                <w:rFonts w:hint="eastAsia" w:cs="Times New Roman"/>
                <w:kern w:val="0"/>
              </w:rPr>
              <w:t>使用瓶装乙炔气</w:t>
            </w:r>
          </w:p>
        </w:tc>
        <w:tc>
          <w:tcPr>
            <w:tcW w:w="1921" w:type="pct"/>
            <w:vAlign w:val="center"/>
          </w:tcPr>
          <w:p w14:paraId="37EB36B8">
            <w:pPr>
              <w:pStyle w:val="31"/>
              <w:rPr>
                <w:rFonts w:cs="Times New Roman"/>
                <w:kern w:val="0"/>
              </w:rPr>
            </w:pPr>
            <w:r>
              <w:rPr>
                <w:rFonts w:hint="eastAsia" w:cs="Times New Roman"/>
                <w:kern w:val="0"/>
              </w:rPr>
              <w:t>热切割工艺使用瓶装气体</w:t>
            </w:r>
          </w:p>
        </w:tc>
        <w:tc>
          <w:tcPr>
            <w:tcW w:w="389" w:type="pct"/>
            <w:vAlign w:val="center"/>
          </w:tcPr>
          <w:p w14:paraId="559EFC98">
            <w:pPr>
              <w:pStyle w:val="31"/>
              <w:rPr>
                <w:rFonts w:cs="Times New Roman"/>
                <w:kern w:val="0"/>
              </w:rPr>
            </w:pPr>
            <w:r>
              <w:rPr>
                <w:rFonts w:hint="eastAsia" w:cs="Times New Roman"/>
                <w:kern w:val="0"/>
              </w:rPr>
              <w:t>符合</w:t>
            </w:r>
          </w:p>
        </w:tc>
      </w:tr>
      <w:tr w14:paraId="3345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62725FD4">
            <w:pPr>
              <w:pStyle w:val="31"/>
              <w:rPr>
                <w:rFonts w:cs="Times New Roman"/>
                <w:kern w:val="0"/>
              </w:rPr>
            </w:pPr>
          </w:p>
        </w:tc>
        <w:tc>
          <w:tcPr>
            <w:tcW w:w="500" w:type="pct"/>
            <w:vMerge w:val="continue"/>
            <w:vAlign w:val="center"/>
          </w:tcPr>
          <w:p w14:paraId="58D342E6">
            <w:pPr>
              <w:pStyle w:val="31"/>
              <w:rPr>
                <w:rFonts w:cs="Times New Roman"/>
                <w:kern w:val="0"/>
              </w:rPr>
            </w:pPr>
          </w:p>
        </w:tc>
        <w:tc>
          <w:tcPr>
            <w:tcW w:w="1924" w:type="pct"/>
            <w:vAlign w:val="center"/>
          </w:tcPr>
          <w:p w14:paraId="3BBA4733">
            <w:pPr>
              <w:pStyle w:val="31"/>
              <w:rPr>
                <w:rFonts w:cs="Times New Roman"/>
                <w:kern w:val="0"/>
              </w:rPr>
            </w:pPr>
            <w:r>
              <w:rPr>
                <w:rFonts w:cs="Times New Roman"/>
                <w:kern w:val="0"/>
              </w:rPr>
              <w:t>拆船产生的含多氯联苯废物污染控制及其处置应符合GB13015的要求</w:t>
            </w:r>
          </w:p>
        </w:tc>
        <w:tc>
          <w:tcPr>
            <w:tcW w:w="1921" w:type="pct"/>
            <w:vAlign w:val="center"/>
          </w:tcPr>
          <w:p w14:paraId="744A3A9A">
            <w:pPr>
              <w:pStyle w:val="31"/>
              <w:rPr>
                <w:rFonts w:cs="Times New Roman"/>
                <w:kern w:val="0"/>
              </w:rPr>
            </w:pPr>
            <w:r>
              <w:rPr>
                <w:rFonts w:hint="eastAsia" w:cs="Times New Roman"/>
                <w:kern w:val="0"/>
              </w:rPr>
              <w:t>本次扩建项目不涉及</w:t>
            </w:r>
          </w:p>
        </w:tc>
        <w:tc>
          <w:tcPr>
            <w:tcW w:w="389" w:type="pct"/>
            <w:vAlign w:val="center"/>
          </w:tcPr>
          <w:p w14:paraId="5EB7264C">
            <w:pPr>
              <w:pStyle w:val="31"/>
              <w:rPr>
                <w:rFonts w:cs="Times New Roman"/>
                <w:kern w:val="0"/>
              </w:rPr>
            </w:pPr>
            <w:r>
              <w:rPr>
                <w:rFonts w:hint="eastAsia" w:cs="Times New Roman"/>
                <w:kern w:val="0"/>
              </w:rPr>
              <w:t>符合</w:t>
            </w:r>
          </w:p>
        </w:tc>
      </w:tr>
      <w:tr w14:paraId="4F82D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7BB5425C">
            <w:pPr>
              <w:pStyle w:val="31"/>
              <w:rPr>
                <w:rFonts w:cs="Times New Roman"/>
                <w:kern w:val="0"/>
              </w:rPr>
            </w:pPr>
          </w:p>
        </w:tc>
        <w:tc>
          <w:tcPr>
            <w:tcW w:w="500" w:type="pct"/>
            <w:vMerge w:val="continue"/>
            <w:vAlign w:val="center"/>
          </w:tcPr>
          <w:p w14:paraId="73BFB4A3">
            <w:pPr>
              <w:pStyle w:val="31"/>
              <w:rPr>
                <w:rFonts w:cs="Times New Roman"/>
                <w:kern w:val="0"/>
              </w:rPr>
            </w:pPr>
          </w:p>
        </w:tc>
        <w:tc>
          <w:tcPr>
            <w:tcW w:w="1924" w:type="pct"/>
            <w:vAlign w:val="center"/>
          </w:tcPr>
          <w:p w14:paraId="1C81BCBD">
            <w:pPr>
              <w:pStyle w:val="31"/>
              <w:rPr>
                <w:rFonts w:cs="Times New Roman"/>
                <w:kern w:val="0"/>
              </w:rPr>
            </w:pPr>
            <w:r>
              <w:rPr>
                <w:rFonts w:cs="Times New Roman"/>
                <w:kern w:val="0"/>
              </w:rPr>
              <w:t>拆船产生的废含汞灯管、油泥渣、剥落的油漆或涂料碎片、废弃危险化学品等应按照危险废物要求进行处理处置</w:t>
            </w:r>
          </w:p>
        </w:tc>
        <w:tc>
          <w:tcPr>
            <w:tcW w:w="1921" w:type="pct"/>
            <w:vAlign w:val="center"/>
          </w:tcPr>
          <w:p w14:paraId="38326B50">
            <w:pPr>
              <w:pStyle w:val="31"/>
              <w:rPr>
                <w:rFonts w:cs="Times New Roman"/>
                <w:kern w:val="0"/>
              </w:rPr>
            </w:pPr>
            <w:r>
              <w:rPr>
                <w:rFonts w:hint="eastAsia" w:cs="Times New Roman"/>
                <w:kern w:val="0"/>
              </w:rPr>
              <w:t>厂区设有专门危险废物存放区，采用可移动集装箱，进行分类分质密封存储，定期委托资质单位处置</w:t>
            </w:r>
          </w:p>
        </w:tc>
        <w:tc>
          <w:tcPr>
            <w:tcW w:w="389" w:type="pct"/>
            <w:vAlign w:val="center"/>
          </w:tcPr>
          <w:p w14:paraId="014BAEF0">
            <w:pPr>
              <w:pStyle w:val="31"/>
              <w:rPr>
                <w:rFonts w:cs="Times New Roman"/>
                <w:kern w:val="0"/>
              </w:rPr>
            </w:pPr>
            <w:r>
              <w:rPr>
                <w:rFonts w:hint="eastAsia" w:cs="Times New Roman"/>
                <w:kern w:val="0"/>
              </w:rPr>
              <w:t>符合</w:t>
            </w:r>
          </w:p>
        </w:tc>
      </w:tr>
      <w:tr w14:paraId="7637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6A56726A">
            <w:pPr>
              <w:pStyle w:val="31"/>
              <w:rPr>
                <w:rFonts w:cs="Times New Roman"/>
                <w:kern w:val="0"/>
              </w:rPr>
            </w:pPr>
          </w:p>
        </w:tc>
        <w:tc>
          <w:tcPr>
            <w:tcW w:w="500" w:type="pct"/>
            <w:vMerge w:val="continue"/>
            <w:vAlign w:val="center"/>
          </w:tcPr>
          <w:p w14:paraId="117029B9">
            <w:pPr>
              <w:pStyle w:val="31"/>
              <w:rPr>
                <w:rFonts w:cs="Times New Roman"/>
                <w:kern w:val="0"/>
              </w:rPr>
            </w:pPr>
          </w:p>
        </w:tc>
        <w:tc>
          <w:tcPr>
            <w:tcW w:w="1924" w:type="pct"/>
            <w:vAlign w:val="center"/>
          </w:tcPr>
          <w:p w14:paraId="16FD5030">
            <w:pPr>
              <w:pStyle w:val="31"/>
              <w:rPr>
                <w:rFonts w:cs="Times New Roman"/>
                <w:kern w:val="0"/>
              </w:rPr>
            </w:pPr>
            <w:r>
              <w:rPr>
                <w:rFonts w:cs="Times New Roman"/>
                <w:kern w:val="0"/>
              </w:rPr>
              <w:t>拆船产生的生活垃圾不得与其他拆解物混合存放和处理处置</w:t>
            </w:r>
            <w:r>
              <w:rPr>
                <w:rFonts w:hint="eastAsia" w:cs="Times New Roman"/>
                <w:kern w:val="0"/>
              </w:rPr>
              <w:t>，</w:t>
            </w:r>
            <w:r>
              <w:rPr>
                <w:rFonts w:cs="Times New Roman"/>
                <w:kern w:val="0"/>
              </w:rPr>
              <w:t>应交由当地政府认可的垃圾卫生填埋场或焚烧设备处置</w:t>
            </w:r>
          </w:p>
        </w:tc>
        <w:tc>
          <w:tcPr>
            <w:tcW w:w="1921" w:type="pct"/>
            <w:vAlign w:val="center"/>
          </w:tcPr>
          <w:p w14:paraId="0EF9FAD6">
            <w:pPr>
              <w:pStyle w:val="31"/>
              <w:rPr>
                <w:rFonts w:cs="Times New Roman"/>
                <w:kern w:val="0"/>
              </w:rPr>
            </w:pPr>
            <w:r>
              <w:rPr>
                <w:rFonts w:hint="eastAsia" w:cs="Times New Roman"/>
                <w:kern w:val="0"/>
              </w:rPr>
              <w:t>厂区办公区与工作船台有乡间小路相隔，生活垃圾配有专用垃圾桶，除生活垃圾外不得混入其他废物，当地环卫部门定期清运处置</w:t>
            </w:r>
          </w:p>
        </w:tc>
        <w:tc>
          <w:tcPr>
            <w:tcW w:w="389" w:type="pct"/>
            <w:vAlign w:val="center"/>
          </w:tcPr>
          <w:p w14:paraId="27189C77">
            <w:pPr>
              <w:pStyle w:val="31"/>
              <w:rPr>
                <w:rFonts w:cs="Times New Roman"/>
                <w:kern w:val="0"/>
              </w:rPr>
            </w:pPr>
            <w:r>
              <w:rPr>
                <w:rFonts w:hint="eastAsia" w:cs="Times New Roman"/>
                <w:kern w:val="0"/>
              </w:rPr>
              <w:t>符合</w:t>
            </w:r>
          </w:p>
        </w:tc>
      </w:tr>
      <w:tr w14:paraId="2315E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41D09430">
            <w:pPr>
              <w:pStyle w:val="31"/>
              <w:rPr>
                <w:rFonts w:cs="Times New Roman"/>
                <w:kern w:val="0"/>
              </w:rPr>
            </w:pPr>
            <w:r>
              <w:rPr>
                <w:rFonts w:hint="eastAsia" w:cs="Times New Roman"/>
                <w:kern w:val="0"/>
              </w:rPr>
              <w:t>6</w:t>
            </w:r>
          </w:p>
        </w:tc>
        <w:tc>
          <w:tcPr>
            <w:tcW w:w="500" w:type="pct"/>
            <w:vMerge w:val="restart"/>
            <w:vAlign w:val="center"/>
          </w:tcPr>
          <w:p w14:paraId="79D1DDF6">
            <w:pPr>
              <w:pStyle w:val="31"/>
              <w:rPr>
                <w:rFonts w:cs="Times New Roman"/>
                <w:kern w:val="0"/>
              </w:rPr>
            </w:pPr>
            <w:r>
              <w:rPr>
                <w:rFonts w:hint="eastAsia" w:cs="Times New Roman"/>
                <w:kern w:val="0"/>
              </w:rPr>
              <w:t>拆船场所土壤和底泥污染防治要求</w:t>
            </w:r>
          </w:p>
        </w:tc>
        <w:tc>
          <w:tcPr>
            <w:tcW w:w="1924" w:type="pct"/>
            <w:vAlign w:val="center"/>
          </w:tcPr>
          <w:p w14:paraId="033D0F1F">
            <w:pPr>
              <w:pStyle w:val="31"/>
              <w:rPr>
                <w:rFonts w:cs="Times New Roman"/>
                <w:kern w:val="0"/>
              </w:rPr>
            </w:pPr>
            <w:r>
              <w:rPr>
                <w:rFonts w:hint="eastAsia" w:cs="Times New Roman"/>
                <w:kern w:val="0"/>
              </w:rPr>
              <w:t>拆船企业应采取措施，</w:t>
            </w:r>
            <w:r>
              <w:rPr>
                <w:rFonts w:cs="Times New Roman"/>
                <w:kern w:val="0"/>
              </w:rPr>
              <w:t>防止拆船场所土壤和基本拆解区底泥受到污染</w:t>
            </w:r>
            <w:r>
              <w:rPr>
                <w:rFonts w:hint="eastAsia" w:cs="Times New Roman"/>
                <w:kern w:val="0"/>
              </w:rPr>
              <w:t>，</w:t>
            </w:r>
            <w:r>
              <w:rPr>
                <w:rFonts w:cs="Times New Roman"/>
                <w:kern w:val="0"/>
              </w:rPr>
              <w:t>严禁就地倾倒、堆填</w:t>
            </w:r>
            <w:r>
              <w:rPr>
                <w:rFonts w:hint="eastAsia" w:cs="Times New Roman"/>
                <w:kern w:val="0"/>
              </w:rPr>
              <w:t>深埋</w:t>
            </w:r>
          </w:p>
        </w:tc>
        <w:tc>
          <w:tcPr>
            <w:tcW w:w="1921" w:type="pct"/>
            <w:vAlign w:val="center"/>
          </w:tcPr>
          <w:p w14:paraId="5879C957">
            <w:pPr>
              <w:pStyle w:val="31"/>
              <w:rPr>
                <w:rFonts w:cs="Times New Roman"/>
                <w:kern w:val="0"/>
              </w:rPr>
            </w:pPr>
            <w:r>
              <w:rPr>
                <w:rFonts w:hint="eastAsia" w:cs="Times New Roman"/>
                <w:kern w:val="0"/>
              </w:rPr>
              <w:t>拆船区均位于硬化工作船台上，四周设有环形导流沟和隔油沉淀池，厂区内无废水产生，不会直接对区域土壤环境、岸边底泥造成污染</w:t>
            </w:r>
          </w:p>
        </w:tc>
        <w:tc>
          <w:tcPr>
            <w:tcW w:w="389" w:type="pct"/>
            <w:vAlign w:val="center"/>
          </w:tcPr>
          <w:p w14:paraId="532DE779">
            <w:pPr>
              <w:pStyle w:val="31"/>
              <w:rPr>
                <w:rFonts w:cs="Times New Roman"/>
                <w:kern w:val="0"/>
              </w:rPr>
            </w:pPr>
            <w:r>
              <w:rPr>
                <w:rFonts w:hint="eastAsia" w:cs="Times New Roman"/>
                <w:kern w:val="0"/>
              </w:rPr>
              <w:t>符合</w:t>
            </w:r>
          </w:p>
        </w:tc>
      </w:tr>
      <w:tr w14:paraId="1C861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1A69501A">
            <w:pPr>
              <w:pStyle w:val="31"/>
              <w:rPr>
                <w:rFonts w:cs="Times New Roman"/>
                <w:kern w:val="0"/>
              </w:rPr>
            </w:pPr>
          </w:p>
        </w:tc>
        <w:tc>
          <w:tcPr>
            <w:tcW w:w="500" w:type="pct"/>
            <w:vMerge w:val="continue"/>
            <w:vAlign w:val="center"/>
          </w:tcPr>
          <w:p w14:paraId="5532BFA0">
            <w:pPr>
              <w:pStyle w:val="31"/>
              <w:rPr>
                <w:rFonts w:cs="Times New Roman"/>
                <w:kern w:val="0"/>
              </w:rPr>
            </w:pPr>
          </w:p>
        </w:tc>
        <w:tc>
          <w:tcPr>
            <w:tcW w:w="1924" w:type="pct"/>
            <w:vAlign w:val="center"/>
          </w:tcPr>
          <w:p w14:paraId="16EE3039">
            <w:pPr>
              <w:pStyle w:val="31"/>
              <w:rPr>
                <w:rFonts w:cs="Times New Roman"/>
                <w:kern w:val="0"/>
              </w:rPr>
            </w:pPr>
            <w:r>
              <w:rPr>
                <w:rFonts w:hint="eastAsia" w:cs="Times New Roman"/>
                <w:kern w:val="0"/>
              </w:rPr>
              <w:t>拆船场所土壤或底泥中的有害物质的浸出浓度，</w:t>
            </w:r>
            <w:r>
              <w:rPr>
                <w:rFonts w:cs="Times New Roman"/>
                <w:kern w:val="0"/>
              </w:rPr>
              <w:t>超过GB5085.3中的限制值或毒性物质含量超过GB5085.6的限制值要求时</w:t>
            </w:r>
            <w:r>
              <w:rPr>
                <w:rFonts w:hint="eastAsia" w:cs="Times New Roman"/>
                <w:kern w:val="0"/>
              </w:rPr>
              <w:t>，</w:t>
            </w:r>
            <w:r>
              <w:rPr>
                <w:rFonts w:cs="Times New Roman"/>
                <w:kern w:val="0"/>
              </w:rPr>
              <w:t>应进行清理</w:t>
            </w:r>
            <w:r>
              <w:rPr>
                <w:rFonts w:hint="eastAsia" w:cs="Times New Roman"/>
                <w:kern w:val="0"/>
              </w:rPr>
              <w:t>，</w:t>
            </w:r>
            <w:r>
              <w:rPr>
                <w:rFonts w:cs="Times New Roman"/>
                <w:kern w:val="0"/>
              </w:rPr>
              <w:t>清理物质按照GB18484或GB18598的要求进行无害化处理处置</w:t>
            </w:r>
          </w:p>
        </w:tc>
        <w:tc>
          <w:tcPr>
            <w:tcW w:w="1921" w:type="pct"/>
            <w:vAlign w:val="center"/>
          </w:tcPr>
          <w:p w14:paraId="4ABCBF0B">
            <w:pPr>
              <w:pStyle w:val="31"/>
              <w:rPr>
                <w:rFonts w:cs="Times New Roman"/>
                <w:kern w:val="0"/>
              </w:rPr>
            </w:pPr>
            <w:r>
              <w:rPr>
                <w:rFonts w:hint="eastAsia" w:cs="Times New Roman"/>
                <w:kern w:val="0"/>
              </w:rPr>
              <w:t>按照排污许可自行监测计划定期监测，如若发现土壤或污泥受到污染，根据固废属性鉴定结果合理处置</w:t>
            </w:r>
          </w:p>
        </w:tc>
        <w:tc>
          <w:tcPr>
            <w:tcW w:w="389" w:type="pct"/>
            <w:vAlign w:val="center"/>
          </w:tcPr>
          <w:p w14:paraId="45F9D5A6">
            <w:pPr>
              <w:pStyle w:val="31"/>
              <w:rPr>
                <w:rFonts w:cs="Times New Roman"/>
                <w:kern w:val="0"/>
              </w:rPr>
            </w:pPr>
            <w:r>
              <w:rPr>
                <w:rFonts w:hint="eastAsia" w:cs="Times New Roman"/>
                <w:kern w:val="0"/>
              </w:rPr>
              <w:t>符合</w:t>
            </w:r>
          </w:p>
        </w:tc>
      </w:tr>
      <w:tr w14:paraId="4AA8F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restart"/>
            <w:vAlign w:val="center"/>
          </w:tcPr>
          <w:p w14:paraId="5EC0D824">
            <w:pPr>
              <w:pStyle w:val="31"/>
              <w:rPr>
                <w:rFonts w:cs="Times New Roman"/>
                <w:kern w:val="0"/>
              </w:rPr>
            </w:pPr>
            <w:r>
              <w:rPr>
                <w:rFonts w:cs="Times New Roman"/>
                <w:kern w:val="0"/>
              </w:rPr>
              <w:t>7</w:t>
            </w:r>
          </w:p>
        </w:tc>
        <w:tc>
          <w:tcPr>
            <w:tcW w:w="500" w:type="pct"/>
            <w:vMerge w:val="restart"/>
            <w:vAlign w:val="center"/>
          </w:tcPr>
          <w:p w14:paraId="2730B618">
            <w:pPr>
              <w:pStyle w:val="31"/>
              <w:rPr>
                <w:rFonts w:cs="Times New Roman"/>
                <w:kern w:val="0"/>
              </w:rPr>
            </w:pPr>
            <w:r>
              <w:rPr>
                <w:rFonts w:hint="eastAsia" w:cs="Times New Roman"/>
                <w:kern w:val="0"/>
              </w:rPr>
              <w:t>拆船噪声污染防治要求</w:t>
            </w:r>
          </w:p>
        </w:tc>
        <w:tc>
          <w:tcPr>
            <w:tcW w:w="1924" w:type="pct"/>
            <w:vAlign w:val="center"/>
          </w:tcPr>
          <w:p w14:paraId="12C68878">
            <w:pPr>
              <w:pStyle w:val="31"/>
              <w:rPr>
                <w:rFonts w:cs="Times New Roman"/>
                <w:kern w:val="0"/>
              </w:rPr>
            </w:pPr>
            <w:r>
              <w:rPr>
                <w:rFonts w:hint="eastAsia" w:cs="Times New Roman"/>
                <w:kern w:val="0"/>
              </w:rPr>
              <w:t>拆船企业厂界噪声限值应符合</w:t>
            </w:r>
            <w:r>
              <w:rPr>
                <w:rFonts w:cs="Times New Roman"/>
                <w:kern w:val="0"/>
              </w:rPr>
              <w:t>GB 12348的规定</w:t>
            </w:r>
          </w:p>
        </w:tc>
        <w:tc>
          <w:tcPr>
            <w:tcW w:w="1921" w:type="pct"/>
            <w:vAlign w:val="center"/>
          </w:tcPr>
          <w:p w14:paraId="656E1D96">
            <w:pPr>
              <w:pStyle w:val="31"/>
              <w:rPr>
                <w:rFonts w:cs="Times New Roman"/>
                <w:kern w:val="0"/>
              </w:rPr>
            </w:pPr>
            <w:r>
              <w:rPr>
                <w:rFonts w:hint="eastAsia" w:cs="Times New Roman"/>
                <w:kern w:val="0"/>
              </w:rPr>
              <w:t>验收期间满足达标排放，本次扩建项目通过重新合理布局等降噪措施，厂界环境噪声预测值满足</w:t>
            </w:r>
            <w:r>
              <w:rPr>
                <w:rFonts w:cs="Times New Roman"/>
                <w:kern w:val="0"/>
              </w:rPr>
              <w:t>GB 12348</w:t>
            </w:r>
            <w:r>
              <w:rPr>
                <w:rFonts w:hint="eastAsia" w:cs="Times New Roman"/>
                <w:kern w:val="0"/>
              </w:rPr>
              <w:t>中</w:t>
            </w:r>
            <w:r>
              <w:rPr>
                <w:rFonts w:hint="eastAsia" w:cs="Times New Roman"/>
                <w:kern w:val="0"/>
                <w:lang w:val="en-US" w:eastAsia="zh-CN"/>
              </w:rPr>
              <w:t>2</w:t>
            </w:r>
            <w:r>
              <w:rPr>
                <w:rFonts w:hint="eastAsia" w:cs="Times New Roman"/>
                <w:kern w:val="0"/>
              </w:rPr>
              <w:t>类标准</w:t>
            </w:r>
          </w:p>
        </w:tc>
        <w:tc>
          <w:tcPr>
            <w:tcW w:w="389" w:type="pct"/>
            <w:vAlign w:val="center"/>
          </w:tcPr>
          <w:p w14:paraId="4C71F3F6">
            <w:pPr>
              <w:pStyle w:val="31"/>
              <w:rPr>
                <w:rFonts w:cs="Times New Roman"/>
                <w:kern w:val="0"/>
              </w:rPr>
            </w:pPr>
            <w:r>
              <w:rPr>
                <w:rFonts w:hint="eastAsia" w:cs="Times New Roman"/>
                <w:kern w:val="0"/>
              </w:rPr>
              <w:t>符合</w:t>
            </w:r>
          </w:p>
        </w:tc>
      </w:tr>
      <w:tr w14:paraId="1692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Merge w:val="continue"/>
            <w:vAlign w:val="center"/>
          </w:tcPr>
          <w:p w14:paraId="4E1F0098">
            <w:pPr>
              <w:pStyle w:val="31"/>
              <w:rPr>
                <w:rFonts w:cs="Times New Roman"/>
                <w:kern w:val="0"/>
              </w:rPr>
            </w:pPr>
          </w:p>
        </w:tc>
        <w:tc>
          <w:tcPr>
            <w:tcW w:w="500" w:type="pct"/>
            <w:vMerge w:val="continue"/>
            <w:vAlign w:val="center"/>
          </w:tcPr>
          <w:p w14:paraId="16669380">
            <w:pPr>
              <w:pStyle w:val="31"/>
              <w:rPr>
                <w:rFonts w:cs="Times New Roman"/>
                <w:kern w:val="0"/>
              </w:rPr>
            </w:pPr>
          </w:p>
        </w:tc>
        <w:tc>
          <w:tcPr>
            <w:tcW w:w="1924" w:type="pct"/>
            <w:vAlign w:val="center"/>
          </w:tcPr>
          <w:p w14:paraId="78354587">
            <w:pPr>
              <w:pStyle w:val="31"/>
              <w:rPr>
                <w:rFonts w:cs="Times New Roman"/>
                <w:kern w:val="0"/>
              </w:rPr>
            </w:pPr>
            <w:r>
              <w:rPr>
                <w:rFonts w:hint="eastAsia" w:cs="Times New Roman"/>
                <w:kern w:val="0"/>
              </w:rPr>
              <w:t>拆船企业生活区环境噪声限值应符合</w:t>
            </w:r>
            <w:r>
              <w:rPr>
                <w:rFonts w:cs="Times New Roman"/>
                <w:kern w:val="0"/>
              </w:rPr>
              <w:t>GB 3096中的Ⅱ类标准的要求</w:t>
            </w:r>
          </w:p>
        </w:tc>
        <w:tc>
          <w:tcPr>
            <w:tcW w:w="1921" w:type="pct"/>
            <w:vAlign w:val="center"/>
          </w:tcPr>
          <w:p w14:paraId="2EB93671">
            <w:pPr>
              <w:pStyle w:val="31"/>
              <w:rPr>
                <w:rFonts w:hint="default" w:eastAsia="宋体" w:cs="Times New Roman"/>
                <w:kern w:val="0"/>
                <w:lang w:val="en-US" w:eastAsia="zh-CN"/>
              </w:rPr>
            </w:pPr>
            <w:r>
              <w:rPr>
                <w:rFonts w:hint="eastAsia" w:cs="Times New Roman"/>
                <w:kern w:val="0"/>
                <w:lang w:val="en-US" w:eastAsia="zh-CN"/>
              </w:rPr>
              <w:t>项目生活区噪声能够满足</w:t>
            </w:r>
            <w:r>
              <w:rPr>
                <w:rFonts w:cs="Times New Roman"/>
                <w:kern w:val="0"/>
              </w:rPr>
              <w:t>GB 3096中的Ⅱ类标准的要求</w:t>
            </w:r>
          </w:p>
        </w:tc>
        <w:tc>
          <w:tcPr>
            <w:tcW w:w="389" w:type="pct"/>
            <w:vAlign w:val="center"/>
          </w:tcPr>
          <w:p w14:paraId="126A6432">
            <w:pPr>
              <w:pStyle w:val="31"/>
              <w:rPr>
                <w:rFonts w:cs="Times New Roman"/>
                <w:kern w:val="0"/>
              </w:rPr>
            </w:pPr>
            <w:r>
              <w:rPr>
                <w:rFonts w:hint="eastAsia" w:cs="Times New Roman"/>
                <w:kern w:val="0"/>
              </w:rPr>
              <w:t>符合</w:t>
            </w:r>
          </w:p>
        </w:tc>
      </w:tr>
      <w:tr w14:paraId="1A36A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66" w:type="pct"/>
            <w:vAlign w:val="center"/>
          </w:tcPr>
          <w:p w14:paraId="0F8AC5D4">
            <w:pPr>
              <w:pStyle w:val="31"/>
              <w:rPr>
                <w:rFonts w:cs="Times New Roman"/>
                <w:kern w:val="0"/>
              </w:rPr>
            </w:pPr>
            <w:r>
              <w:rPr>
                <w:rFonts w:cs="Times New Roman"/>
                <w:kern w:val="0"/>
              </w:rPr>
              <w:t>8</w:t>
            </w:r>
          </w:p>
        </w:tc>
        <w:tc>
          <w:tcPr>
            <w:tcW w:w="500" w:type="pct"/>
            <w:vAlign w:val="center"/>
          </w:tcPr>
          <w:p w14:paraId="59D416C1">
            <w:pPr>
              <w:pStyle w:val="31"/>
              <w:rPr>
                <w:rFonts w:cs="Times New Roman"/>
                <w:kern w:val="0"/>
              </w:rPr>
            </w:pPr>
            <w:r>
              <w:rPr>
                <w:rFonts w:hint="eastAsia" w:cs="Times New Roman"/>
                <w:kern w:val="0"/>
              </w:rPr>
              <w:t>拆船突发环境污染应急预案要求</w:t>
            </w:r>
          </w:p>
        </w:tc>
        <w:tc>
          <w:tcPr>
            <w:tcW w:w="1924" w:type="pct"/>
            <w:vAlign w:val="center"/>
          </w:tcPr>
          <w:p w14:paraId="3879C18E">
            <w:pPr>
              <w:pStyle w:val="31"/>
              <w:rPr>
                <w:rFonts w:cs="Times New Roman"/>
                <w:kern w:val="0"/>
              </w:rPr>
            </w:pPr>
            <w:r>
              <w:rPr>
                <w:rFonts w:hint="eastAsia" w:cs="Times New Roman"/>
                <w:kern w:val="0"/>
              </w:rPr>
              <w:t>拆船企业制定的突发环境污染应急预案，</w:t>
            </w:r>
            <w:r>
              <w:rPr>
                <w:rFonts w:cs="Times New Roman"/>
                <w:kern w:val="0"/>
              </w:rPr>
              <w:t>应报县级以上环境保护主管部门备案</w:t>
            </w:r>
          </w:p>
        </w:tc>
        <w:tc>
          <w:tcPr>
            <w:tcW w:w="1921" w:type="pct"/>
            <w:vAlign w:val="center"/>
          </w:tcPr>
          <w:p w14:paraId="32033D74">
            <w:pPr>
              <w:pStyle w:val="31"/>
              <w:rPr>
                <w:rFonts w:cs="Times New Roman"/>
                <w:kern w:val="0"/>
              </w:rPr>
            </w:pPr>
            <w:r>
              <w:rPr>
                <w:rFonts w:hint="eastAsia" w:cs="Times New Roman"/>
                <w:kern w:val="0"/>
              </w:rPr>
              <w:t>企业已编制突发环境事件应急预案并备案，本次扩建项目运行前及时修订，进一步完善厂区内相关风险防范措施并及时备案</w:t>
            </w:r>
          </w:p>
        </w:tc>
        <w:tc>
          <w:tcPr>
            <w:tcW w:w="389" w:type="pct"/>
            <w:vAlign w:val="center"/>
          </w:tcPr>
          <w:p w14:paraId="41594EF3">
            <w:pPr>
              <w:pStyle w:val="31"/>
              <w:rPr>
                <w:rFonts w:cs="Times New Roman"/>
                <w:kern w:val="0"/>
              </w:rPr>
            </w:pPr>
            <w:r>
              <w:rPr>
                <w:rFonts w:hint="eastAsia" w:cs="Times New Roman"/>
                <w:kern w:val="0"/>
              </w:rPr>
              <w:t>符合</w:t>
            </w:r>
          </w:p>
        </w:tc>
      </w:tr>
    </w:tbl>
    <w:p w14:paraId="7481860E">
      <w:pPr>
        <w:pStyle w:val="21"/>
        <w:bidi w:val="0"/>
        <w:rPr>
          <w:rFonts w:hint="eastAsia"/>
        </w:rPr>
      </w:pPr>
      <w:r>
        <w:rPr>
          <w:rFonts w:hint="eastAsia"/>
        </w:rPr>
        <w:t>根据上述可知，本次扩建项目符合《绿色拆船通用规范》（</w:t>
      </w:r>
      <w:r>
        <w:t>GBT36661-2018）</w:t>
      </w:r>
      <w:r>
        <w:rPr>
          <w:rFonts w:hint="eastAsia"/>
        </w:rPr>
        <w:t>中相关要求。</w:t>
      </w:r>
    </w:p>
    <w:p w14:paraId="324E9679">
      <w:pPr>
        <w:pStyle w:val="33"/>
      </w:pPr>
      <w:bookmarkStart w:id="8" w:name="_Toc18901"/>
      <w:bookmarkStart w:id="9" w:name="_Toc25919"/>
      <w:r>
        <w:rPr>
          <w:rFonts w:hint="eastAsia"/>
        </w:rPr>
        <w:t>1.4.3与《长江经济带发展负面清单指南（试行，2022年版）》的相符性分析</w:t>
      </w:r>
      <w:bookmarkEnd w:id="8"/>
      <w:bookmarkEnd w:id="9"/>
    </w:p>
    <w:p w14:paraId="607CA752">
      <w:pPr>
        <w:pStyle w:val="23"/>
      </w:pPr>
      <w:r>
        <w:t>表</w:t>
      </w:r>
      <w:r>
        <w:rPr>
          <w:rFonts w:hint="eastAsia"/>
        </w:rPr>
        <w:t xml:space="preserve">1-2  </w:t>
      </w:r>
      <w:r>
        <w:t>与《</w:t>
      </w:r>
      <w:r>
        <w:rPr>
          <w:rFonts w:hint="eastAsia"/>
        </w:rPr>
        <w:t>长江经济带发展负面清单指南（试行，2022年版）</w:t>
      </w:r>
      <w:r>
        <w:t>》符合性分析</w:t>
      </w:r>
    </w:p>
    <w:tbl>
      <w:tblPr>
        <w:tblStyle w:val="15"/>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4624"/>
        <w:gridCol w:w="2345"/>
        <w:gridCol w:w="907"/>
      </w:tblGrid>
      <w:tr w14:paraId="05DED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292BD107">
            <w:pPr>
              <w:pStyle w:val="31"/>
            </w:pPr>
            <w:r>
              <w:t>序号</w:t>
            </w:r>
          </w:p>
        </w:tc>
        <w:tc>
          <w:tcPr>
            <w:tcW w:w="2713" w:type="pct"/>
            <w:tcBorders>
              <w:top w:val="single" w:color="auto" w:sz="4" w:space="0"/>
              <w:left w:val="nil"/>
              <w:bottom w:val="single" w:color="auto" w:sz="4" w:space="0"/>
              <w:right w:val="single" w:color="auto" w:sz="4" w:space="0"/>
            </w:tcBorders>
            <w:vAlign w:val="center"/>
          </w:tcPr>
          <w:p w14:paraId="10FEC406">
            <w:pPr>
              <w:pStyle w:val="31"/>
            </w:pPr>
            <w:r>
              <w:t>相关要求</w:t>
            </w:r>
          </w:p>
        </w:tc>
        <w:tc>
          <w:tcPr>
            <w:tcW w:w="1376" w:type="pct"/>
            <w:tcBorders>
              <w:top w:val="single" w:color="auto" w:sz="4" w:space="0"/>
              <w:left w:val="nil"/>
              <w:bottom w:val="single" w:color="auto" w:sz="4" w:space="0"/>
              <w:right w:val="single" w:color="auto" w:sz="4" w:space="0"/>
            </w:tcBorders>
            <w:vAlign w:val="center"/>
          </w:tcPr>
          <w:p w14:paraId="18B2E2CA">
            <w:pPr>
              <w:pStyle w:val="31"/>
            </w:pPr>
            <w:r>
              <w:t>项目情况</w:t>
            </w:r>
          </w:p>
        </w:tc>
        <w:tc>
          <w:tcPr>
            <w:tcW w:w="532" w:type="pct"/>
            <w:tcBorders>
              <w:top w:val="single" w:color="auto" w:sz="4" w:space="0"/>
              <w:left w:val="nil"/>
              <w:bottom w:val="single" w:color="auto" w:sz="4" w:space="0"/>
              <w:right w:val="single" w:color="auto" w:sz="4" w:space="0"/>
            </w:tcBorders>
            <w:vAlign w:val="center"/>
          </w:tcPr>
          <w:p w14:paraId="21B3133C">
            <w:pPr>
              <w:pStyle w:val="31"/>
            </w:pPr>
            <w:r>
              <w:rPr>
                <w:rFonts w:hint="eastAsia"/>
              </w:rPr>
              <w:t>是否</w:t>
            </w:r>
          </w:p>
          <w:p w14:paraId="6DF5B2F2">
            <w:pPr>
              <w:pStyle w:val="31"/>
            </w:pPr>
            <w:r>
              <w:rPr>
                <w:rFonts w:hint="eastAsia"/>
              </w:rPr>
              <w:t>符合</w:t>
            </w:r>
          </w:p>
        </w:tc>
      </w:tr>
      <w:tr w14:paraId="0F02A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513A0B0F">
            <w:pPr>
              <w:pStyle w:val="31"/>
            </w:pPr>
            <w:r>
              <w:t>1</w:t>
            </w:r>
          </w:p>
        </w:tc>
        <w:tc>
          <w:tcPr>
            <w:tcW w:w="2713" w:type="pct"/>
            <w:tcBorders>
              <w:top w:val="single" w:color="auto" w:sz="4" w:space="0"/>
              <w:left w:val="nil"/>
              <w:bottom w:val="single" w:color="auto" w:sz="4" w:space="0"/>
              <w:right w:val="single" w:color="auto" w:sz="4" w:space="0"/>
            </w:tcBorders>
            <w:vAlign w:val="center"/>
          </w:tcPr>
          <w:p w14:paraId="3AC72CE5">
            <w:pPr>
              <w:pStyle w:val="31"/>
            </w:pPr>
            <w:r>
              <w:rPr>
                <w:rFonts w:hint="eastAsia"/>
              </w:rPr>
              <w:t>禁止建设不符合全国和省级港口布局规划以及港口总体规划的码头项目，禁止建设不符合《长江干线过江通道布局规划》的过长江通道项目。</w:t>
            </w:r>
          </w:p>
        </w:tc>
        <w:tc>
          <w:tcPr>
            <w:tcW w:w="1376" w:type="pct"/>
            <w:tcBorders>
              <w:top w:val="single" w:color="auto" w:sz="4" w:space="0"/>
              <w:left w:val="nil"/>
              <w:bottom w:val="single" w:color="auto" w:sz="4" w:space="0"/>
              <w:right w:val="single" w:color="auto" w:sz="4" w:space="0"/>
            </w:tcBorders>
            <w:vAlign w:val="center"/>
          </w:tcPr>
          <w:p w14:paraId="06121CFE">
            <w:pPr>
              <w:pStyle w:val="31"/>
            </w:pPr>
            <w:r>
              <w:rPr>
                <w:rFonts w:hint="eastAsia"/>
              </w:rPr>
              <w:t>本项目在现有厂区内进行船舶拆解、维修作业，地块已取得用地手续，属于工业用地，不涉及码头建设和长江通道建设。</w:t>
            </w:r>
          </w:p>
        </w:tc>
        <w:tc>
          <w:tcPr>
            <w:tcW w:w="532" w:type="pct"/>
            <w:tcBorders>
              <w:top w:val="single" w:color="auto" w:sz="4" w:space="0"/>
              <w:left w:val="nil"/>
              <w:bottom w:val="single" w:color="auto" w:sz="4" w:space="0"/>
              <w:right w:val="single" w:color="auto" w:sz="4" w:space="0"/>
            </w:tcBorders>
            <w:vAlign w:val="center"/>
          </w:tcPr>
          <w:p w14:paraId="7FEF00E7">
            <w:pPr>
              <w:pStyle w:val="31"/>
            </w:pPr>
            <w:r>
              <w:rPr>
                <w:rFonts w:hint="eastAsia"/>
              </w:rPr>
              <w:t>符合</w:t>
            </w:r>
          </w:p>
        </w:tc>
      </w:tr>
      <w:tr w14:paraId="58720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9" w:type="pct"/>
            <w:tcBorders>
              <w:top w:val="single" w:color="auto" w:sz="4" w:space="0"/>
              <w:left w:val="single" w:color="auto" w:sz="4" w:space="0"/>
              <w:bottom w:val="single" w:color="auto" w:sz="4" w:space="0"/>
              <w:right w:val="single" w:color="auto" w:sz="4" w:space="0"/>
            </w:tcBorders>
            <w:vAlign w:val="center"/>
          </w:tcPr>
          <w:p w14:paraId="74AC43A8">
            <w:pPr>
              <w:pStyle w:val="31"/>
            </w:pPr>
            <w:r>
              <w:t>2</w:t>
            </w:r>
          </w:p>
        </w:tc>
        <w:tc>
          <w:tcPr>
            <w:tcW w:w="2713" w:type="pct"/>
            <w:tcBorders>
              <w:top w:val="single" w:color="auto" w:sz="4" w:space="0"/>
              <w:left w:val="nil"/>
              <w:bottom w:val="single" w:color="auto" w:sz="4" w:space="0"/>
              <w:right w:val="single" w:color="auto" w:sz="4" w:space="0"/>
            </w:tcBorders>
            <w:vAlign w:val="center"/>
          </w:tcPr>
          <w:p w14:paraId="0FAC88A8">
            <w:pPr>
              <w:pStyle w:val="31"/>
            </w:pPr>
            <w:r>
              <w:rPr>
                <w:rFonts w:hint="eastAsia"/>
              </w:rPr>
              <w:t>禁止在自然保护区核心区、缓冲区的岸线和河段范围内投资建设旅游和生产经营项目。禁止在风景名胜区核心景区的岸线和河段范围内投资建设与风景名胜资源保护无关的项目。</w:t>
            </w:r>
          </w:p>
        </w:tc>
        <w:tc>
          <w:tcPr>
            <w:tcW w:w="1376" w:type="pct"/>
            <w:tcBorders>
              <w:top w:val="single" w:color="auto" w:sz="4" w:space="0"/>
              <w:left w:val="nil"/>
              <w:bottom w:val="single" w:color="auto" w:sz="4" w:space="0"/>
              <w:right w:val="single" w:color="auto" w:sz="4" w:space="0"/>
            </w:tcBorders>
            <w:vAlign w:val="center"/>
          </w:tcPr>
          <w:p w14:paraId="69035BFC">
            <w:pPr>
              <w:pStyle w:val="31"/>
            </w:pPr>
            <w:r>
              <w:rPr>
                <w:rFonts w:hint="eastAsia"/>
              </w:rPr>
              <w:t>本项目不在自然保护区核心区、缓冲区的岸线和河段范围内建设，也不在风景名胜区核心景区的岸线和河段范围内建设。</w:t>
            </w:r>
          </w:p>
        </w:tc>
        <w:tc>
          <w:tcPr>
            <w:tcW w:w="532" w:type="pct"/>
            <w:tcBorders>
              <w:top w:val="single" w:color="auto" w:sz="4" w:space="0"/>
              <w:left w:val="nil"/>
              <w:bottom w:val="single" w:color="auto" w:sz="4" w:space="0"/>
              <w:right w:val="single" w:color="auto" w:sz="4" w:space="0"/>
            </w:tcBorders>
            <w:vAlign w:val="center"/>
          </w:tcPr>
          <w:p w14:paraId="40ECD346">
            <w:pPr>
              <w:pStyle w:val="31"/>
            </w:pPr>
            <w:r>
              <w:rPr>
                <w:rFonts w:hint="eastAsia"/>
              </w:rPr>
              <w:t>符合</w:t>
            </w:r>
          </w:p>
        </w:tc>
      </w:tr>
      <w:tr w14:paraId="49869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288AAADC">
            <w:pPr>
              <w:pStyle w:val="31"/>
            </w:pPr>
            <w:r>
              <w:t>3</w:t>
            </w:r>
          </w:p>
        </w:tc>
        <w:tc>
          <w:tcPr>
            <w:tcW w:w="2713" w:type="pct"/>
            <w:tcBorders>
              <w:top w:val="single" w:color="auto" w:sz="4" w:space="0"/>
              <w:left w:val="nil"/>
              <w:bottom w:val="single" w:color="auto" w:sz="4" w:space="0"/>
              <w:right w:val="single" w:color="auto" w:sz="4" w:space="0"/>
            </w:tcBorders>
            <w:vAlign w:val="center"/>
          </w:tcPr>
          <w:p w14:paraId="6AC98AC4">
            <w:pPr>
              <w:pStyle w:val="31"/>
            </w:pPr>
            <w:r>
              <w:rPr>
                <w:rFonts w:hint="eastAsia"/>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376" w:type="pct"/>
            <w:tcBorders>
              <w:top w:val="single" w:color="auto" w:sz="4" w:space="0"/>
              <w:left w:val="nil"/>
              <w:bottom w:val="single" w:color="auto" w:sz="4" w:space="0"/>
              <w:right w:val="single" w:color="auto" w:sz="4" w:space="0"/>
            </w:tcBorders>
            <w:vAlign w:val="center"/>
          </w:tcPr>
          <w:p w14:paraId="50DD8108">
            <w:pPr>
              <w:pStyle w:val="31"/>
            </w:pPr>
            <w:r>
              <w:rPr>
                <w:rFonts w:hint="eastAsia"/>
              </w:rPr>
              <w:t>本项目不在饮用水水源一级、二级保护区的岸线和河段范围内建设。</w:t>
            </w:r>
          </w:p>
        </w:tc>
        <w:tc>
          <w:tcPr>
            <w:tcW w:w="532" w:type="pct"/>
            <w:tcBorders>
              <w:top w:val="single" w:color="auto" w:sz="4" w:space="0"/>
              <w:left w:val="nil"/>
              <w:bottom w:val="single" w:color="auto" w:sz="4" w:space="0"/>
              <w:right w:val="single" w:color="auto" w:sz="4" w:space="0"/>
            </w:tcBorders>
            <w:vAlign w:val="center"/>
          </w:tcPr>
          <w:p w14:paraId="5CABE540">
            <w:pPr>
              <w:pStyle w:val="31"/>
            </w:pPr>
            <w:r>
              <w:rPr>
                <w:rFonts w:hint="eastAsia"/>
              </w:rPr>
              <w:t>符合</w:t>
            </w:r>
          </w:p>
        </w:tc>
      </w:tr>
      <w:tr w14:paraId="31E60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4C614566">
            <w:pPr>
              <w:pStyle w:val="31"/>
            </w:pPr>
            <w:r>
              <w:t>4</w:t>
            </w:r>
          </w:p>
        </w:tc>
        <w:tc>
          <w:tcPr>
            <w:tcW w:w="2713" w:type="pct"/>
            <w:tcBorders>
              <w:top w:val="single" w:color="auto" w:sz="4" w:space="0"/>
              <w:left w:val="nil"/>
              <w:bottom w:val="single" w:color="auto" w:sz="4" w:space="0"/>
              <w:right w:val="single" w:color="auto" w:sz="4" w:space="0"/>
            </w:tcBorders>
            <w:vAlign w:val="center"/>
          </w:tcPr>
          <w:p w14:paraId="4AB0382A">
            <w:pPr>
              <w:pStyle w:val="31"/>
            </w:pPr>
            <w:r>
              <w:rPr>
                <w:rFonts w:hint="eastAsia"/>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376" w:type="pct"/>
            <w:tcBorders>
              <w:top w:val="single" w:color="auto" w:sz="4" w:space="0"/>
              <w:left w:val="nil"/>
              <w:bottom w:val="single" w:color="auto" w:sz="4" w:space="0"/>
              <w:right w:val="single" w:color="auto" w:sz="4" w:space="0"/>
            </w:tcBorders>
            <w:vAlign w:val="center"/>
          </w:tcPr>
          <w:p w14:paraId="6567827D">
            <w:pPr>
              <w:pStyle w:val="31"/>
            </w:pPr>
            <w:r>
              <w:rPr>
                <w:rFonts w:hint="eastAsia"/>
              </w:rPr>
              <w:t>本项目不在水产种质资源保护区的岸线和河段范围内建设，也不在国家湿地公园的岸线和河段范围内建设。</w:t>
            </w:r>
          </w:p>
        </w:tc>
        <w:tc>
          <w:tcPr>
            <w:tcW w:w="532" w:type="pct"/>
            <w:tcBorders>
              <w:top w:val="single" w:color="auto" w:sz="4" w:space="0"/>
              <w:left w:val="nil"/>
              <w:bottom w:val="single" w:color="auto" w:sz="4" w:space="0"/>
              <w:right w:val="single" w:color="auto" w:sz="4" w:space="0"/>
            </w:tcBorders>
            <w:vAlign w:val="center"/>
          </w:tcPr>
          <w:p w14:paraId="4F05F071">
            <w:pPr>
              <w:pStyle w:val="31"/>
            </w:pPr>
            <w:r>
              <w:rPr>
                <w:rFonts w:hint="eastAsia"/>
              </w:rPr>
              <w:t>符合</w:t>
            </w:r>
          </w:p>
        </w:tc>
      </w:tr>
      <w:tr w14:paraId="44F6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5FFFC3B0">
            <w:pPr>
              <w:pStyle w:val="31"/>
            </w:pPr>
            <w:r>
              <w:t>5</w:t>
            </w:r>
          </w:p>
        </w:tc>
        <w:tc>
          <w:tcPr>
            <w:tcW w:w="2713" w:type="pct"/>
            <w:tcBorders>
              <w:top w:val="single" w:color="auto" w:sz="4" w:space="0"/>
              <w:left w:val="nil"/>
              <w:bottom w:val="single" w:color="auto" w:sz="4" w:space="0"/>
              <w:right w:val="single" w:color="auto" w:sz="4" w:space="0"/>
            </w:tcBorders>
            <w:vAlign w:val="center"/>
          </w:tcPr>
          <w:p w14:paraId="720311AC">
            <w:pPr>
              <w:pStyle w:val="31"/>
            </w:pPr>
            <w:r>
              <w:rPr>
                <w:rFonts w:hint="eastAsia"/>
              </w:rPr>
              <w:t>禁止违法利用、占用长江流域河湖岸线。禁止在《长江岸线保护和开发利用总体规划》划定的岸线保护区和保留区内投资建设除事关公共安全及公众利益的防洪护岸、河道治理、供水、生态保护、航道整治、国家重要基础设施以外的项目。禁止在《全国重要江河湖泊水功能区划》划定的河段及湖泊保护区、保留区内投资建设不利于水资源及自然生态保护的项目。</w:t>
            </w:r>
          </w:p>
        </w:tc>
        <w:tc>
          <w:tcPr>
            <w:tcW w:w="1376" w:type="pct"/>
            <w:tcBorders>
              <w:top w:val="single" w:color="auto" w:sz="4" w:space="0"/>
              <w:left w:val="nil"/>
              <w:bottom w:val="single" w:color="auto" w:sz="4" w:space="0"/>
              <w:right w:val="single" w:color="auto" w:sz="4" w:space="0"/>
            </w:tcBorders>
            <w:vAlign w:val="center"/>
          </w:tcPr>
          <w:p w14:paraId="7AC9F269">
            <w:pPr>
              <w:pStyle w:val="31"/>
            </w:pPr>
            <w:r>
              <w:rPr>
                <w:rFonts w:hint="eastAsia"/>
              </w:rPr>
              <w:t>本项目建设符合《长江岸线保护和开发利用总体规划》，未违法利用、占用长江流域河湖岸线。</w:t>
            </w:r>
          </w:p>
        </w:tc>
        <w:tc>
          <w:tcPr>
            <w:tcW w:w="532" w:type="pct"/>
            <w:tcBorders>
              <w:top w:val="single" w:color="auto" w:sz="4" w:space="0"/>
              <w:left w:val="nil"/>
              <w:bottom w:val="single" w:color="auto" w:sz="4" w:space="0"/>
              <w:right w:val="single" w:color="auto" w:sz="4" w:space="0"/>
            </w:tcBorders>
            <w:vAlign w:val="center"/>
          </w:tcPr>
          <w:p w14:paraId="30659AF6">
            <w:pPr>
              <w:pStyle w:val="31"/>
            </w:pPr>
            <w:r>
              <w:rPr>
                <w:rFonts w:hint="eastAsia"/>
              </w:rPr>
              <w:t>符合</w:t>
            </w:r>
          </w:p>
        </w:tc>
      </w:tr>
      <w:tr w14:paraId="0939C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410EDE3E">
            <w:pPr>
              <w:pStyle w:val="31"/>
            </w:pPr>
            <w:r>
              <w:t>6</w:t>
            </w:r>
          </w:p>
        </w:tc>
        <w:tc>
          <w:tcPr>
            <w:tcW w:w="2713" w:type="pct"/>
            <w:tcBorders>
              <w:top w:val="single" w:color="auto" w:sz="4" w:space="0"/>
              <w:left w:val="nil"/>
              <w:bottom w:val="single" w:color="auto" w:sz="4" w:space="0"/>
              <w:right w:val="single" w:color="auto" w:sz="4" w:space="0"/>
            </w:tcBorders>
            <w:vAlign w:val="center"/>
          </w:tcPr>
          <w:p w14:paraId="7270CE68">
            <w:pPr>
              <w:pStyle w:val="31"/>
            </w:pPr>
            <w:r>
              <w:rPr>
                <w:rFonts w:hint="eastAsia"/>
              </w:rPr>
              <w:t>禁止未经许可在长江干支流及湖泊新设、改设或扩大排污口。</w:t>
            </w:r>
          </w:p>
        </w:tc>
        <w:tc>
          <w:tcPr>
            <w:tcW w:w="1376" w:type="pct"/>
            <w:tcBorders>
              <w:top w:val="single" w:color="auto" w:sz="4" w:space="0"/>
              <w:left w:val="nil"/>
              <w:bottom w:val="single" w:color="auto" w:sz="4" w:space="0"/>
              <w:right w:val="single" w:color="auto" w:sz="4" w:space="0"/>
            </w:tcBorders>
            <w:vAlign w:val="center"/>
          </w:tcPr>
          <w:p w14:paraId="6CAB5C79">
            <w:pPr>
              <w:pStyle w:val="31"/>
            </w:pPr>
            <w:r>
              <w:rPr>
                <w:rFonts w:hint="eastAsia"/>
              </w:rPr>
              <w:t>本项目不涉及排污口建设。</w:t>
            </w:r>
          </w:p>
        </w:tc>
        <w:tc>
          <w:tcPr>
            <w:tcW w:w="532" w:type="pct"/>
            <w:tcBorders>
              <w:top w:val="single" w:color="auto" w:sz="4" w:space="0"/>
              <w:left w:val="nil"/>
              <w:bottom w:val="single" w:color="auto" w:sz="4" w:space="0"/>
              <w:right w:val="single" w:color="auto" w:sz="4" w:space="0"/>
            </w:tcBorders>
            <w:vAlign w:val="center"/>
          </w:tcPr>
          <w:p w14:paraId="05076EFE">
            <w:pPr>
              <w:pStyle w:val="31"/>
            </w:pPr>
            <w:r>
              <w:rPr>
                <w:rFonts w:hint="eastAsia"/>
              </w:rPr>
              <w:t>符合</w:t>
            </w:r>
          </w:p>
        </w:tc>
      </w:tr>
      <w:tr w14:paraId="1B0C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07E53D6C">
            <w:pPr>
              <w:pStyle w:val="31"/>
            </w:pPr>
            <w:r>
              <w:t>7</w:t>
            </w:r>
          </w:p>
        </w:tc>
        <w:tc>
          <w:tcPr>
            <w:tcW w:w="2713" w:type="pct"/>
            <w:tcBorders>
              <w:top w:val="single" w:color="auto" w:sz="4" w:space="0"/>
              <w:left w:val="nil"/>
              <w:bottom w:val="single" w:color="auto" w:sz="4" w:space="0"/>
              <w:right w:val="single" w:color="auto" w:sz="4" w:space="0"/>
            </w:tcBorders>
            <w:vAlign w:val="center"/>
          </w:tcPr>
          <w:p w14:paraId="00721FF2">
            <w:pPr>
              <w:pStyle w:val="31"/>
            </w:pPr>
            <w:r>
              <w:rPr>
                <w:rFonts w:hint="eastAsia"/>
              </w:rPr>
              <w:t>禁止在“一江一口两湖七河”和322个水生生物保护区开展生产性捕捞。</w:t>
            </w:r>
          </w:p>
        </w:tc>
        <w:tc>
          <w:tcPr>
            <w:tcW w:w="1376" w:type="pct"/>
            <w:tcBorders>
              <w:top w:val="single" w:color="auto" w:sz="4" w:space="0"/>
              <w:left w:val="nil"/>
              <w:bottom w:val="single" w:color="auto" w:sz="4" w:space="0"/>
              <w:right w:val="single" w:color="auto" w:sz="4" w:space="0"/>
            </w:tcBorders>
            <w:vAlign w:val="center"/>
          </w:tcPr>
          <w:p w14:paraId="354033DF">
            <w:pPr>
              <w:pStyle w:val="31"/>
            </w:pPr>
            <w:r>
              <w:rPr>
                <w:rFonts w:hint="eastAsia"/>
              </w:rPr>
              <w:t>本项目不涉及生产性捕捞。</w:t>
            </w:r>
          </w:p>
        </w:tc>
        <w:tc>
          <w:tcPr>
            <w:tcW w:w="532" w:type="pct"/>
            <w:tcBorders>
              <w:top w:val="single" w:color="auto" w:sz="4" w:space="0"/>
              <w:left w:val="nil"/>
              <w:bottom w:val="single" w:color="auto" w:sz="4" w:space="0"/>
              <w:right w:val="single" w:color="auto" w:sz="4" w:space="0"/>
            </w:tcBorders>
            <w:vAlign w:val="center"/>
          </w:tcPr>
          <w:p w14:paraId="7B12CB40">
            <w:pPr>
              <w:pStyle w:val="31"/>
            </w:pPr>
            <w:r>
              <w:rPr>
                <w:rFonts w:hint="eastAsia"/>
              </w:rPr>
              <w:t>符合</w:t>
            </w:r>
          </w:p>
        </w:tc>
      </w:tr>
      <w:tr w14:paraId="2A879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41427A19">
            <w:pPr>
              <w:pStyle w:val="31"/>
            </w:pPr>
            <w:r>
              <w:t>8</w:t>
            </w:r>
          </w:p>
        </w:tc>
        <w:tc>
          <w:tcPr>
            <w:tcW w:w="2713" w:type="pct"/>
            <w:tcBorders>
              <w:top w:val="single" w:color="auto" w:sz="4" w:space="0"/>
              <w:left w:val="nil"/>
              <w:bottom w:val="single" w:color="auto" w:sz="4" w:space="0"/>
              <w:right w:val="single" w:color="auto" w:sz="4" w:space="0"/>
            </w:tcBorders>
            <w:vAlign w:val="center"/>
          </w:tcPr>
          <w:p w14:paraId="2E52F364">
            <w:pPr>
              <w:pStyle w:val="31"/>
            </w:pPr>
            <w:r>
              <w:rPr>
                <w:rFonts w:hint="eastAsia"/>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376" w:type="pct"/>
            <w:tcBorders>
              <w:top w:val="single" w:color="auto" w:sz="4" w:space="0"/>
              <w:left w:val="nil"/>
              <w:bottom w:val="single" w:color="auto" w:sz="4" w:space="0"/>
              <w:right w:val="single" w:color="auto" w:sz="4" w:space="0"/>
            </w:tcBorders>
            <w:vAlign w:val="center"/>
          </w:tcPr>
          <w:p w14:paraId="3F5002CB">
            <w:pPr>
              <w:pStyle w:val="31"/>
            </w:pPr>
            <w:r>
              <w:rPr>
                <w:rFonts w:hint="eastAsia"/>
              </w:rPr>
              <w:t>本项目不属于化工项目，不涉及新改扩建尾矿库、冶炼渣库和磷石膏库。</w:t>
            </w:r>
          </w:p>
        </w:tc>
        <w:tc>
          <w:tcPr>
            <w:tcW w:w="532" w:type="pct"/>
            <w:tcBorders>
              <w:top w:val="single" w:color="auto" w:sz="4" w:space="0"/>
              <w:left w:val="nil"/>
              <w:bottom w:val="single" w:color="auto" w:sz="4" w:space="0"/>
              <w:right w:val="single" w:color="auto" w:sz="4" w:space="0"/>
            </w:tcBorders>
            <w:vAlign w:val="center"/>
          </w:tcPr>
          <w:p w14:paraId="7B87F9D0">
            <w:pPr>
              <w:pStyle w:val="31"/>
            </w:pPr>
            <w:r>
              <w:rPr>
                <w:rFonts w:hint="eastAsia"/>
              </w:rPr>
              <w:t>符合</w:t>
            </w:r>
          </w:p>
        </w:tc>
      </w:tr>
      <w:tr w14:paraId="0E15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2F0A1E24">
            <w:pPr>
              <w:pStyle w:val="31"/>
            </w:pPr>
            <w:r>
              <w:t>9</w:t>
            </w:r>
          </w:p>
        </w:tc>
        <w:tc>
          <w:tcPr>
            <w:tcW w:w="2713" w:type="pct"/>
            <w:tcBorders>
              <w:top w:val="single" w:color="auto" w:sz="4" w:space="0"/>
              <w:left w:val="nil"/>
              <w:bottom w:val="single" w:color="auto" w:sz="4" w:space="0"/>
              <w:right w:val="single" w:color="auto" w:sz="4" w:space="0"/>
            </w:tcBorders>
            <w:vAlign w:val="center"/>
          </w:tcPr>
          <w:p w14:paraId="323329CA">
            <w:pPr>
              <w:pStyle w:val="31"/>
            </w:pPr>
            <w:r>
              <w:rPr>
                <w:rFonts w:hint="eastAsia"/>
              </w:rPr>
              <w:t>禁止在合规园区外新建、扩建钢铁、石化、化工、焦化、建材、有色、制浆造纸等高污染项目。</w:t>
            </w:r>
          </w:p>
        </w:tc>
        <w:tc>
          <w:tcPr>
            <w:tcW w:w="1376" w:type="pct"/>
            <w:tcBorders>
              <w:top w:val="single" w:color="auto" w:sz="4" w:space="0"/>
              <w:left w:val="nil"/>
              <w:bottom w:val="single" w:color="auto" w:sz="4" w:space="0"/>
              <w:right w:val="single" w:color="auto" w:sz="4" w:space="0"/>
            </w:tcBorders>
            <w:vAlign w:val="center"/>
          </w:tcPr>
          <w:p w14:paraId="6FD6F4A2">
            <w:pPr>
              <w:pStyle w:val="31"/>
            </w:pPr>
            <w:r>
              <w:rPr>
                <w:rFonts w:hint="eastAsia"/>
              </w:rPr>
              <w:t>本项目不属于高污染项目。</w:t>
            </w:r>
          </w:p>
        </w:tc>
        <w:tc>
          <w:tcPr>
            <w:tcW w:w="532" w:type="pct"/>
            <w:tcBorders>
              <w:top w:val="single" w:color="auto" w:sz="4" w:space="0"/>
              <w:left w:val="nil"/>
              <w:bottom w:val="single" w:color="auto" w:sz="4" w:space="0"/>
              <w:right w:val="single" w:color="auto" w:sz="4" w:space="0"/>
            </w:tcBorders>
            <w:vAlign w:val="center"/>
          </w:tcPr>
          <w:p w14:paraId="2473EB48">
            <w:pPr>
              <w:pStyle w:val="31"/>
            </w:pPr>
            <w:r>
              <w:rPr>
                <w:rFonts w:hint="eastAsia"/>
              </w:rPr>
              <w:t>符合</w:t>
            </w:r>
          </w:p>
        </w:tc>
      </w:tr>
      <w:tr w14:paraId="20B78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79AC6E47">
            <w:pPr>
              <w:pStyle w:val="31"/>
            </w:pPr>
            <w:r>
              <w:t>10</w:t>
            </w:r>
          </w:p>
        </w:tc>
        <w:tc>
          <w:tcPr>
            <w:tcW w:w="2713" w:type="pct"/>
            <w:tcBorders>
              <w:top w:val="single" w:color="auto" w:sz="4" w:space="0"/>
              <w:left w:val="nil"/>
              <w:bottom w:val="single" w:color="auto" w:sz="4" w:space="0"/>
              <w:right w:val="single" w:color="auto" w:sz="4" w:space="0"/>
            </w:tcBorders>
            <w:vAlign w:val="center"/>
          </w:tcPr>
          <w:p w14:paraId="670F8743">
            <w:pPr>
              <w:pStyle w:val="31"/>
            </w:pPr>
            <w:r>
              <w:rPr>
                <w:rFonts w:hint="eastAsia"/>
              </w:rPr>
              <w:t>禁止新建、扩建不符合国家石化、现代煤化工等产业布局规划的项目。</w:t>
            </w:r>
          </w:p>
        </w:tc>
        <w:tc>
          <w:tcPr>
            <w:tcW w:w="1376" w:type="pct"/>
            <w:tcBorders>
              <w:top w:val="single" w:color="auto" w:sz="4" w:space="0"/>
              <w:left w:val="nil"/>
              <w:bottom w:val="single" w:color="auto" w:sz="4" w:space="0"/>
              <w:right w:val="single" w:color="auto" w:sz="4" w:space="0"/>
            </w:tcBorders>
            <w:vAlign w:val="center"/>
          </w:tcPr>
          <w:p w14:paraId="59C4FDB7">
            <w:pPr>
              <w:pStyle w:val="31"/>
            </w:pPr>
            <w:r>
              <w:rPr>
                <w:rFonts w:hint="eastAsia"/>
              </w:rPr>
              <w:t>本项目不属于石化、现代煤化工等项目。</w:t>
            </w:r>
          </w:p>
        </w:tc>
        <w:tc>
          <w:tcPr>
            <w:tcW w:w="532" w:type="pct"/>
            <w:tcBorders>
              <w:top w:val="single" w:color="auto" w:sz="4" w:space="0"/>
              <w:left w:val="nil"/>
              <w:bottom w:val="single" w:color="auto" w:sz="4" w:space="0"/>
              <w:right w:val="single" w:color="auto" w:sz="4" w:space="0"/>
            </w:tcBorders>
            <w:vAlign w:val="center"/>
          </w:tcPr>
          <w:p w14:paraId="7546304A">
            <w:pPr>
              <w:pStyle w:val="31"/>
            </w:pPr>
            <w:r>
              <w:rPr>
                <w:rFonts w:hint="eastAsia"/>
              </w:rPr>
              <w:t>符合</w:t>
            </w:r>
          </w:p>
        </w:tc>
      </w:tr>
      <w:tr w14:paraId="5A6BC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 w:type="pct"/>
            <w:tcBorders>
              <w:top w:val="single" w:color="auto" w:sz="4" w:space="0"/>
              <w:left w:val="single" w:color="auto" w:sz="4" w:space="0"/>
              <w:bottom w:val="single" w:color="auto" w:sz="4" w:space="0"/>
              <w:right w:val="single" w:color="auto" w:sz="4" w:space="0"/>
            </w:tcBorders>
            <w:vAlign w:val="center"/>
          </w:tcPr>
          <w:p w14:paraId="3CA09EE9">
            <w:pPr>
              <w:pStyle w:val="31"/>
            </w:pPr>
            <w:r>
              <w:t>11</w:t>
            </w:r>
          </w:p>
        </w:tc>
        <w:tc>
          <w:tcPr>
            <w:tcW w:w="2713" w:type="pct"/>
            <w:tcBorders>
              <w:top w:val="single" w:color="auto" w:sz="4" w:space="0"/>
              <w:left w:val="nil"/>
              <w:bottom w:val="single" w:color="auto" w:sz="4" w:space="0"/>
              <w:right w:val="single" w:color="auto" w:sz="4" w:space="0"/>
            </w:tcBorders>
            <w:vAlign w:val="center"/>
          </w:tcPr>
          <w:p w14:paraId="78FD2AB5">
            <w:pPr>
              <w:pStyle w:val="31"/>
            </w:pPr>
            <w:r>
              <w:rPr>
                <w:rFonts w:hint="eastAsia"/>
              </w:rPr>
              <w:t>禁止新建、扩建法律法规和相关政策明令禁止的落后产能项目。禁止新建、扩建不符合国家产能置换要求的严重过剩产能行业的项目。禁止新建、扩建不符合要求的高耗能高排放项目。</w:t>
            </w:r>
          </w:p>
        </w:tc>
        <w:tc>
          <w:tcPr>
            <w:tcW w:w="1376" w:type="pct"/>
            <w:tcBorders>
              <w:top w:val="single" w:color="auto" w:sz="4" w:space="0"/>
              <w:left w:val="nil"/>
              <w:bottom w:val="single" w:color="auto" w:sz="4" w:space="0"/>
              <w:right w:val="single" w:color="auto" w:sz="4" w:space="0"/>
            </w:tcBorders>
            <w:vAlign w:val="center"/>
          </w:tcPr>
          <w:p w14:paraId="235C4855">
            <w:pPr>
              <w:pStyle w:val="31"/>
            </w:pPr>
            <w:r>
              <w:rPr>
                <w:rFonts w:hint="eastAsia"/>
              </w:rPr>
              <w:t>本项目不属于明令禁止的落后产能项目，也不属于产能严重过剩项目，不属于高能耗高排放项目。</w:t>
            </w:r>
          </w:p>
        </w:tc>
        <w:tc>
          <w:tcPr>
            <w:tcW w:w="532" w:type="pct"/>
            <w:tcBorders>
              <w:top w:val="single" w:color="auto" w:sz="4" w:space="0"/>
              <w:left w:val="nil"/>
              <w:bottom w:val="single" w:color="auto" w:sz="4" w:space="0"/>
              <w:right w:val="single" w:color="auto" w:sz="4" w:space="0"/>
            </w:tcBorders>
            <w:vAlign w:val="center"/>
          </w:tcPr>
          <w:p w14:paraId="264FB1FB">
            <w:pPr>
              <w:pStyle w:val="31"/>
            </w:pPr>
            <w:r>
              <w:rPr>
                <w:rFonts w:hint="eastAsia"/>
              </w:rPr>
              <w:t>符合</w:t>
            </w:r>
          </w:p>
        </w:tc>
      </w:tr>
    </w:tbl>
    <w:p w14:paraId="3FFB2030">
      <w:pPr>
        <w:pStyle w:val="21"/>
        <w:ind w:firstLine="480"/>
        <w:rPr>
          <w:rFonts w:hint="eastAsia"/>
        </w:rPr>
      </w:pPr>
      <w:r>
        <w:rPr>
          <w:rFonts w:hint="eastAsia"/>
        </w:rPr>
        <w:t>综上所述，本项目符合《长江经济带发展负面清单指南（试行，2022年版）》相关要求。</w:t>
      </w:r>
    </w:p>
    <w:p w14:paraId="1637EA55">
      <w:pPr>
        <w:pStyle w:val="21"/>
        <w:ind w:firstLine="480"/>
        <w:rPr>
          <w:rFonts w:hint="eastAsia"/>
        </w:rPr>
      </w:pPr>
    </w:p>
    <w:p w14:paraId="52D14DF7">
      <w:pPr>
        <w:pStyle w:val="21"/>
        <w:ind w:firstLine="480"/>
        <w:rPr>
          <w:rFonts w:hint="eastAsia"/>
        </w:rPr>
      </w:pPr>
    </w:p>
    <w:p w14:paraId="6F0B0DBC">
      <w:pPr>
        <w:pStyle w:val="21"/>
        <w:ind w:firstLine="480"/>
        <w:rPr>
          <w:rFonts w:hint="eastAsia"/>
        </w:rPr>
      </w:pPr>
    </w:p>
    <w:p w14:paraId="7BEE0E64">
      <w:pPr>
        <w:pStyle w:val="21"/>
        <w:ind w:firstLine="480"/>
        <w:rPr>
          <w:rFonts w:hint="eastAsia"/>
        </w:rPr>
      </w:pPr>
    </w:p>
    <w:p w14:paraId="289257E7">
      <w:pPr>
        <w:pStyle w:val="33"/>
      </w:pPr>
      <w:bookmarkStart w:id="10" w:name="_Toc12699"/>
      <w:bookmarkStart w:id="11" w:name="_Toc15226"/>
      <w:r>
        <w:rPr>
          <w:rFonts w:hint="eastAsia"/>
        </w:rPr>
        <w:t>1.4.4与《湖南省长江经济带发展负面清单实施细则（试行，2022年版）》相符性分析</w:t>
      </w:r>
      <w:bookmarkEnd w:id="10"/>
      <w:bookmarkEnd w:id="11"/>
    </w:p>
    <w:p w14:paraId="795E73E8">
      <w:pPr>
        <w:pStyle w:val="23"/>
      </w:pPr>
      <w:r>
        <w:rPr>
          <w:rFonts w:hint="eastAsia"/>
        </w:rPr>
        <w:t>表1-3  与《湖南省长江经济带发展负面清单实施细则（试行，2022年版）》符合性分析</w:t>
      </w:r>
    </w:p>
    <w:tbl>
      <w:tblPr>
        <w:tblStyle w:val="15"/>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5194"/>
        <w:gridCol w:w="1951"/>
        <w:gridCol w:w="901"/>
      </w:tblGrid>
      <w:tr w14:paraId="191E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7917D79">
            <w:pPr>
              <w:pStyle w:val="31"/>
            </w:pPr>
            <w:r>
              <w:rPr>
                <w:rFonts w:hint="eastAsia"/>
              </w:rPr>
              <w:t>序号</w:t>
            </w:r>
          </w:p>
        </w:tc>
        <w:tc>
          <w:tcPr>
            <w:tcW w:w="5205" w:type="dxa"/>
            <w:tcBorders>
              <w:top w:val="single" w:color="auto" w:sz="4" w:space="0"/>
              <w:left w:val="nil"/>
              <w:bottom w:val="single" w:color="auto" w:sz="4" w:space="0"/>
              <w:right w:val="single" w:color="auto" w:sz="4" w:space="0"/>
            </w:tcBorders>
            <w:vAlign w:val="center"/>
          </w:tcPr>
          <w:p w14:paraId="63875DE7">
            <w:pPr>
              <w:pStyle w:val="31"/>
            </w:pPr>
            <w:r>
              <w:rPr>
                <w:rFonts w:hint="eastAsia"/>
              </w:rPr>
              <w:t>相关要求</w:t>
            </w:r>
          </w:p>
        </w:tc>
        <w:tc>
          <w:tcPr>
            <w:tcW w:w="1950" w:type="dxa"/>
            <w:tcBorders>
              <w:top w:val="single" w:color="auto" w:sz="4" w:space="0"/>
              <w:left w:val="nil"/>
              <w:bottom w:val="single" w:color="auto" w:sz="4" w:space="0"/>
              <w:right w:val="single" w:color="auto" w:sz="4" w:space="0"/>
            </w:tcBorders>
            <w:vAlign w:val="center"/>
          </w:tcPr>
          <w:p w14:paraId="5B2A43AE">
            <w:pPr>
              <w:pStyle w:val="31"/>
            </w:pPr>
            <w:r>
              <w:rPr>
                <w:rFonts w:hint="eastAsia"/>
              </w:rPr>
              <w:t>项目情况</w:t>
            </w:r>
          </w:p>
        </w:tc>
        <w:tc>
          <w:tcPr>
            <w:tcW w:w="897" w:type="dxa"/>
            <w:tcBorders>
              <w:top w:val="single" w:color="auto" w:sz="4" w:space="0"/>
              <w:left w:val="nil"/>
              <w:bottom w:val="single" w:color="auto" w:sz="4" w:space="0"/>
              <w:right w:val="single" w:color="auto" w:sz="4" w:space="0"/>
            </w:tcBorders>
            <w:vAlign w:val="center"/>
          </w:tcPr>
          <w:p w14:paraId="7F733F1A">
            <w:pPr>
              <w:pStyle w:val="31"/>
            </w:pPr>
            <w:r>
              <w:rPr>
                <w:rFonts w:hint="eastAsia"/>
              </w:rPr>
              <w:t>是否</w:t>
            </w:r>
          </w:p>
          <w:p w14:paraId="0348C0EF">
            <w:pPr>
              <w:pStyle w:val="31"/>
            </w:pPr>
            <w:r>
              <w:rPr>
                <w:rFonts w:hint="eastAsia"/>
              </w:rPr>
              <w:t>符合</w:t>
            </w:r>
          </w:p>
        </w:tc>
      </w:tr>
      <w:tr w14:paraId="165E5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9A20A79">
            <w:pPr>
              <w:pStyle w:val="31"/>
            </w:pPr>
            <w:r>
              <w:t>1</w:t>
            </w:r>
          </w:p>
        </w:tc>
        <w:tc>
          <w:tcPr>
            <w:tcW w:w="5205" w:type="dxa"/>
            <w:tcBorders>
              <w:top w:val="single" w:color="auto" w:sz="4" w:space="0"/>
              <w:left w:val="nil"/>
              <w:bottom w:val="single" w:color="auto" w:sz="4" w:space="0"/>
              <w:right w:val="single" w:color="auto" w:sz="4" w:space="0"/>
            </w:tcBorders>
            <w:vAlign w:val="center"/>
          </w:tcPr>
          <w:p w14:paraId="1878A8F7">
            <w:pPr>
              <w:pStyle w:val="31"/>
            </w:pPr>
            <w:r>
              <w:rPr>
                <w:rFonts w:hint="eastAsia"/>
              </w:rPr>
              <w:t>禁止建设不符合全国和省级港口布局规划以及港口总体规划的码头项目。对不符合港口总体规划的新建、改建和扩建的码头工程（含舾装码头工程）及其同时建设的配套设施、防波堤、锚地、护岸等工程，投资主管部门不得审批或核准。码头工程建设项目需要使用港口岸线的，项目单位应当按照国省港口岸线使用的管理规定办理港口岸线使用手续。未取得岸线使用批准文件或岸线使用意见的，不得开工建设。禁止建设不符合《长江干线过江通道布局规划》的过长江通道项目。</w:t>
            </w:r>
          </w:p>
        </w:tc>
        <w:tc>
          <w:tcPr>
            <w:tcW w:w="1950" w:type="dxa"/>
            <w:tcBorders>
              <w:top w:val="single" w:color="auto" w:sz="4" w:space="0"/>
              <w:left w:val="nil"/>
              <w:bottom w:val="single" w:color="auto" w:sz="4" w:space="0"/>
              <w:right w:val="single" w:color="auto" w:sz="4" w:space="0"/>
            </w:tcBorders>
            <w:vAlign w:val="center"/>
          </w:tcPr>
          <w:p w14:paraId="67F6B982">
            <w:pPr>
              <w:pStyle w:val="31"/>
            </w:pPr>
            <w:r>
              <w:rPr>
                <w:rFonts w:hint="eastAsia"/>
              </w:rPr>
              <w:t>本项目在现有厂区内进行船舶拆解、维修作业，地块已取得用地手续，属于工业用地，不涉及码头建设和长江通道建设。</w:t>
            </w:r>
          </w:p>
        </w:tc>
        <w:tc>
          <w:tcPr>
            <w:tcW w:w="897" w:type="dxa"/>
            <w:tcBorders>
              <w:top w:val="single" w:color="auto" w:sz="4" w:space="0"/>
              <w:left w:val="nil"/>
              <w:bottom w:val="single" w:color="auto" w:sz="4" w:space="0"/>
              <w:right w:val="single" w:color="auto" w:sz="4" w:space="0"/>
            </w:tcBorders>
            <w:vAlign w:val="center"/>
          </w:tcPr>
          <w:p w14:paraId="7F37AFC0">
            <w:pPr>
              <w:pStyle w:val="31"/>
            </w:pPr>
            <w:r>
              <w:rPr>
                <w:rFonts w:hint="eastAsia"/>
              </w:rPr>
              <w:t>符合</w:t>
            </w:r>
          </w:p>
        </w:tc>
      </w:tr>
      <w:tr w14:paraId="6EB5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D67904D">
            <w:pPr>
              <w:pStyle w:val="31"/>
            </w:pPr>
            <w:r>
              <w:t>2</w:t>
            </w:r>
          </w:p>
        </w:tc>
        <w:tc>
          <w:tcPr>
            <w:tcW w:w="5205" w:type="dxa"/>
            <w:tcBorders>
              <w:top w:val="single" w:color="auto" w:sz="4" w:space="0"/>
              <w:left w:val="nil"/>
              <w:bottom w:val="single" w:color="auto" w:sz="4" w:space="0"/>
              <w:right w:val="single" w:color="auto" w:sz="4" w:space="0"/>
            </w:tcBorders>
            <w:vAlign w:val="center"/>
          </w:tcPr>
          <w:p w14:paraId="4917ABCB">
            <w:pPr>
              <w:pStyle w:val="31"/>
            </w:pPr>
            <w:r>
              <w:rPr>
                <w:rFonts w:hint="eastAsia"/>
              </w:rPr>
              <w:t>第四条禁止在自然保护区核心区、缓冲区的岸线和河段范围内投资建设以下项目：</w:t>
            </w:r>
          </w:p>
          <w:p w14:paraId="2C267213">
            <w:pPr>
              <w:pStyle w:val="31"/>
            </w:pPr>
            <w:r>
              <w:rPr>
                <w:rFonts w:hint="eastAsia"/>
              </w:rPr>
              <w:t>（一）高尔夫球场开发、房地产开发、索道建设、会所建设等项目；</w:t>
            </w:r>
          </w:p>
          <w:p w14:paraId="59F308E2">
            <w:pPr>
              <w:pStyle w:val="31"/>
            </w:pPr>
            <w:r>
              <w:rPr>
                <w:rFonts w:hint="eastAsia"/>
              </w:rPr>
              <w:t>（二）光伏发电、风力发电、火力发电建设项目；</w:t>
            </w:r>
          </w:p>
          <w:p w14:paraId="5BA8B8F7">
            <w:pPr>
              <w:pStyle w:val="31"/>
            </w:pPr>
            <w:r>
              <w:rPr>
                <w:rFonts w:hint="eastAsia"/>
              </w:rPr>
              <w:t>（三）社会资金进行商业性探矿勘查，以及不属于国家紧缺矿种资源的基础地质调查和矿产远景调查等公益性工作的设施建设；</w:t>
            </w:r>
          </w:p>
          <w:p w14:paraId="72CCC706">
            <w:pPr>
              <w:pStyle w:val="31"/>
            </w:pPr>
            <w:r>
              <w:rPr>
                <w:rFonts w:hint="eastAsia"/>
              </w:rPr>
              <w:t>（四）野生动物驯养繁殖、展览基地建设项目；</w:t>
            </w:r>
          </w:p>
          <w:p w14:paraId="34FC3594">
            <w:pPr>
              <w:pStyle w:val="31"/>
            </w:pPr>
            <w:r>
              <w:rPr>
                <w:rFonts w:hint="eastAsia"/>
              </w:rPr>
              <w:t>（五）污染环境、破坏自然资源或自然景观的建设设施；</w:t>
            </w:r>
          </w:p>
          <w:p w14:paraId="4AA0471B">
            <w:pPr>
              <w:pStyle w:val="31"/>
            </w:pPr>
            <w:r>
              <w:rPr>
                <w:rFonts w:hint="eastAsia"/>
              </w:rPr>
              <w:t>（六）对自然保护区主要保护对象产生重大影响、改变自然生态系统完整性、原真性、破坏自然景观的设施；</w:t>
            </w:r>
          </w:p>
          <w:p w14:paraId="01D4B692">
            <w:pPr>
              <w:pStyle w:val="31"/>
            </w:pPr>
            <w:r>
              <w:rPr>
                <w:rFonts w:hint="eastAsia"/>
              </w:rPr>
              <w:t>（七）其他不符合自然保护区主体功能定位和国家禁止的设施。</w:t>
            </w:r>
          </w:p>
        </w:tc>
        <w:tc>
          <w:tcPr>
            <w:tcW w:w="1950" w:type="dxa"/>
            <w:tcBorders>
              <w:top w:val="single" w:color="auto" w:sz="4" w:space="0"/>
              <w:left w:val="nil"/>
              <w:bottom w:val="single" w:color="auto" w:sz="4" w:space="0"/>
              <w:right w:val="single" w:color="auto" w:sz="4" w:space="0"/>
            </w:tcBorders>
            <w:vAlign w:val="center"/>
          </w:tcPr>
          <w:p w14:paraId="586CB7C2">
            <w:pPr>
              <w:pStyle w:val="31"/>
            </w:pPr>
            <w:r>
              <w:rPr>
                <w:rFonts w:hint="eastAsia"/>
              </w:rPr>
              <w:t>本项目船舶拆解、维修作业在陆域开展，不涉及在自然保护区核心区、缓冲区的岸线和河段范围内进行建设</w:t>
            </w:r>
          </w:p>
        </w:tc>
        <w:tc>
          <w:tcPr>
            <w:tcW w:w="897" w:type="dxa"/>
            <w:tcBorders>
              <w:top w:val="single" w:color="auto" w:sz="4" w:space="0"/>
              <w:left w:val="nil"/>
              <w:bottom w:val="single" w:color="auto" w:sz="4" w:space="0"/>
              <w:right w:val="single" w:color="auto" w:sz="4" w:space="0"/>
            </w:tcBorders>
            <w:vAlign w:val="center"/>
          </w:tcPr>
          <w:p w14:paraId="5DD27A93">
            <w:pPr>
              <w:pStyle w:val="31"/>
            </w:pPr>
            <w:r>
              <w:rPr>
                <w:rFonts w:hint="eastAsia"/>
              </w:rPr>
              <w:t>符合</w:t>
            </w:r>
          </w:p>
        </w:tc>
      </w:tr>
      <w:tr w14:paraId="6829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8E03EAB">
            <w:pPr>
              <w:pStyle w:val="31"/>
            </w:pPr>
            <w:r>
              <w:t>3</w:t>
            </w:r>
          </w:p>
        </w:tc>
        <w:tc>
          <w:tcPr>
            <w:tcW w:w="5205" w:type="dxa"/>
            <w:tcBorders>
              <w:top w:val="single" w:color="auto" w:sz="4" w:space="0"/>
              <w:left w:val="nil"/>
              <w:bottom w:val="single" w:color="auto" w:sz="4" w:space="0"/>
              <w:right w:val="single" w:color="auto" w:sz="4" w:space="0"/>
            </w:tcBorders>
            <w:vAlign w:val="center"/>
          </w:tcPr>
          <w:p w14:paraId="0DD108CE">
            <w:pPr>
              <w:pStyle w:val="31"/>
            </w:pPr>
            <w:r>
              <w:rPr>
                <w:rFonts w:hint="eastAsia"/>
              </w:rPr>
              <w:t>第六条禁止违反风景名胜区规划，在风景名胜区内设立各类开发区和在核心景区内建设宾馆、招待所、培训中心、疗养院以及与风景名胜资源保护无关的其他建筑物；已经建设的，应当按照风景名胜区规划，逐步迁出。</w:t>
            </w:r>
          </w:p>
        </w:tc>
        <w:tc>
          <w:tcPr>
            <w:tcW w:w="1950" w:type="dxa"/>
            <w:tcBorders>
              <w:top w:val="single" w:color="auto" w:sz="4" w:space="0"/>
              <w:left w:val="nil"/>
              <w:bottom w:val="single" w:color="auto" w:sz="4" w:space="0"/>
              <w:right w:val="single" w:color="auto" w:sz="4" w:space="0"/>
            </w:tcBorders>
            <w:vAlign w:val="center"/>
          </w:tcPr>
          <w:p w14:paraId="274B82C8">
            <w:pPr>
              <w:pStyle w:val="31"/>
            </w:pPr>
            <w:r>
              <w:rPr>
                <w:rFonts w:hint="eastAsia"/>
              </w:rPr>
              <w:t>本项目所在位置不在风景名胜区内。</w:t>
            </w:r>
          </w:p>
        </w:tc>
        <w:tc>
          <w:tcPr>
            <w:tcW w:w="897" w:type="dxa"/>
            <w:tcBorders>
              <w:top w:val="single" w:color="auto" w:sz="4" w:space="0"/>
              <w:left w:val="nil"/>
              <w:bottom w:val="single" w:color="auto" w:sz="4" w:space="0"/>
              <w:right w:val="single" w:color="auto" w:sz="4" w:space="0"/>
            </w:tcBorders>
            <w:vAlign w:val="center"/>
          </w:tcPr>
          <w:p w14:paraId="16E4F220">
            <w:pPr>
              <w:pStyle w:val="31"/>
            </w:pPr>
            <w:r>
              <w:rPr>
                <w:rFonts w:hint="eastAsia"/>
              </w:rPr>
              <w:t>符合</w:t>
            </w:r>
          </w:p>
        </w:tc>
      </w:tr>
      <w:tr w14:paraId="77CE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16D48614">
            <w:pPr>
              <w:pStyle w:val="31"/>
            </w:pPr>
            <w:r>
              <w:t>4</w:t>
            </w:r>
          </w:p>
        </w:tc>
        <w:tc>
          <w:tcPr>
            <w:tcW w:w="5205" w:type="dxa"/>
            <w:tcBorders>
              <w:top w:val="single" w:color="auto" w:sz="4" w:space="0"/>
              <w:left w:val="nil"/>
              <w:bottom w:val="single" w:color="auto" w:sz="4" w:space="0"/>
              <w:right w:val="single" w:color="auto" w:sz="4" w:space="0"/>
            </w:tcBorders>
            <w:vAlign w:val="center"/>
          </w:tcPr>
          <w:p w14:paraId="72286AB4">
            <w:pPr>
              <w:pStyle w:val="31"/>
            </w:pPr>
            <w:r>
              <w:rPr>
                <w:rFonts w:hint="eastAsia"/>
              </w:rPr>
              <w:t>第七条饮用水水源一级保护区内禁止新建、改建、扩建与供水设施和保护水源无关的建设项目，以及网箱养殖、畜禽养殖、旅游等可能污染饮用水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1950" w:type="dxa"/>
            <w:tcBorders>
              <w:top w:val="single" w:color="auto" w:sz="4" w:space="0"/>
              <w:left w:val="nil"/>
              <w:bottom w:val="single" w:color="auto" w:sz="4" w:space="0"/>
              <w:right w:val="single" w:color="auto" w:sz="4" w:space="0"/>
            </w:tcBorders>
            <w:vAlign w:val="center"/>
          </w:tcPr>
          <w:p w14:paraId="1392797F">
            <w:pPr>
              <w:pStyle w:val="31"/>
            </w:pPr>
            <w:r>
              <w:rPr>
                <w:rFonts w:hint="eastAsia"/>
              </w:rPr>
              <w:t>本项目不涉及饮用水源保护区。</w:t>
            </w:r>
          </w:p>
        </w:tc>
        <w:tc>
          <w:tcPr>
            <w:tcW w:w="897" w:type="dxa"/>
            <w:tcBorders>
              <w:top w:val="single" w:color="auto" w:sz="4" w:space="0"/>
              <w:left w:val="nil"/>
              <w:bottom w:val="single" w:color="auto" w:sz="4" w:space="0"/>
              <w:right w:val="single" w:color="auto" w:sz="4" w:space="0"/>
            </w:tcBorders>
            <w:vAlign w:val="center"/>
          </w:tcPr>
          <w:p w14:paraId="754BCB95">
            <w:pPr>
              <w:pStyle w:val="31"/>
            </w:pPr>
            <w:r>
              <w:rPr>
                <w:rFonts w:hint="eastAsia"/>
              </w:rPr>
              <w:t>符合</w:t>
            </w:r>
          </w:p>
        </w:tc>
      </w:tr>
      <w:tr w14:paraId="2304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8CE09EF">
            <w:pPr>
              <w:pStyle w:val="31"/>
            </w:pPr>
            <w:r>
              <w:t>5</w:t>
            </w:r>
          </w:p>
        </w:tc>
        <w:tc>
          <w:tcPr>
            <w:tcW w:w="5205" w:type="dxa"/>
            <w:tcBorders>
              <w:top w:val="single" w:color="auto" w:sz="4" w:space="0"/>
              <w:left w:val="nil"/>
              <w:bottom w:val="single" w:color="auto" w:sz="4" w:space="0"/>
              <w:right w:val="single" w:color="auto" w:sz="4" w:space="0"/>
            </w:tcBorders>
            <w:vAlign w:val="center"/>
          </w:tcPr>
          <w:p w14:paraId="535FDF7A">
            <w:pPr>
              <w:pStyle w:val="31"/>
            </w:pPr>
            <w:r>
              <w:rPr>
                <w:rFonts w:hint="eastAsia"/>
              </w:rPr>
              <w:t>第八条饮用水水源二级保护区内禁止新建、改建、扩建向水体排放污染物的投资建设项目。原有排污口依法拆除或关闭。禁止设立装卸垃圾、粪便、油类和有毒物品的码头。</w:t>
            </w:r>
          </w:p>
        </w:tc>
        <w:tc>
          <w:tcPr>
            <w:tcW w:w="1950" w:type="dxa"/>
            <w:tcBorders>
              <w:top w:val="single" w:color="auto" w:sz="4" w:space="0"/>
              <w:left w:val="nil"/>
              <w:bottom w:val="single" w:color="auto" w:sz="4" w:space="0"/>
              <w:right w:val="single" w:color="auto" w:sz="4" w:space="0"/>
            </w:tcBorders>
            <w:vAlign w:val="center"/>
          </w:tcPr>
          <w:p w14:paraId="200D3A5E">
            <w:pPr>
              <w:pStyle w:val="31"/>
            </w:pPr>
            <w:r>
              <w:rPr>
                <w:rFonts w:hint="eastAsia"/>
              </w:rPr>
              <w:t>本项目不涉及饮用水源保护区。</w:t>
            </w:r>
          </w:p>
        </w:tc>
        <w:tc>
          <w:tcPr>
            <w:tcW w:w="897" w:type="dxa"/>
            <w:tcBorders>
              <w:top w:val="single" w:color="auto" w:sz="4" w:space="0"/>
              <w:left w:val="nil"/>
              <w:bottom w:val="single" w:color="auto" w:sz="4" w:space="0"/>
              <w:right w:val="single" w:color="auto" w:sz="4" w:space="0"/>
            </w:tcBorders>
            <w:vAlign w:val="center"/>
          </w:tcPr>
          <w:p w14:paraId="3684E2F8">
            <w:pPr>
              <w:pStyle w:val="31"/>
            </w:pPr>
            <w:r>
              <w:rPr>
                <w:rFonts w:hint="eastAsia"/>
              </w:rPr>
              <w:t>符合</w:t>
            </w:r>
          </w:p>
        </w:tc>
      </w:tr>
      <w:tr w14:paraId="05DF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6D9EA6C8">
            <w:pPr>
              <w:pStyle w:val="31"/>
            </w:pPr>
            <w:r>
              <w:t>6</w:t>
            </w:r>
          </w:p>
        </w:tc>
        <w:tc>
          <w:tcPr>
            <w:tcW w:w="5205" w:type="dxa"/>
            <w:tcBorders>
              <w:top w:val="single" w:color="auto" w:sz="4" w:space="0"/>
              <w:left w:val="nil"/>
              <w:bottom w:val="single" w:color="auto" w:sz="4" w:space="0"/>
              <w:right w:val="single" w:color="auto" w:sz="4" w:space="0"/>
            </w:tcBorders>
            <w:vAlign w:val="center"/>
          </w:tcPr>
          <w:p w14:paraId="7A713998">
            <w:pPr>
              <w:pStyle w:val="31"/>
            </w:pPr>
            <w:r>
              <w:rPr>
                <w:rFonts w:hint="eastAsia"/>
              </w:rPr>
              <w:t>第九条禁止在水产种质资源保护区的岸线和河段范围内新建排污口、实施非法围垦河道和围湖造田造地等投资建设项目。</w:t>
            </w:r>
          </w:p>
        </w:tc>
        <w:tc>
          <w:tcPr>
            <w:tcW w:w="1950" w:type="dxa"/>
            <w:tcBorders>
              <w:top w:val="single" w:color="auto" w:sz="4" w:space="0"/>
              <w:left w:val="nil"/>
              <w:bottom w:val="single" w:color="auto" w:sz="4" w:space="0"/>
              <w:right w:val="single" w:color="auto" w:sz="4" w:space="0"/>
            </w:tcBorders>
            <w:vAlign w:val="center"/>
          </w:tcPr>
          <w:p w14:paraId="64BB6EA2">
            <w:pPr>
              <w:pStyle w:val="31"/>
            </w:pPr>
            <w:r>
              <w:rPr>
                <w:rFonts w:hint="eastAsia"/>
              </w:rPr>
              <w:t>本项目不在水产种质资源保护区的岸线和河段范围内建设</w:t>
            </w:r>
          </w:p>
        </w:tc>
        <w:tc>
          <w:tcPr>
            <w:tcW w:w="897" w:type="dxa"/>
            <w:tcBorders>
              <w:top w:val="single" w:color="auto" w:sz="4" w:space="0"/>
              <w:left w:val="nil"/>
              <w:bottom w:val="single" w:color="auto" w:sz="4" w:space="0"/>
              <w:right w:val="single" w:color="auto" w:sz="4" w:space="0"/>
            </w:tcBorders>
            <w:vAlign w:val="center"/>
          </w:tcPr>
          <w:p w14:paraId="059024C8">
            <w:pPr>
              <w:pStyle w:val="31"/>
            </w:pPr>
            <w:r>
              <w:rPr>
                <w:rFonts w:hint="eastAsia"/>
              </w:rPr>
              <w:t>符合</w:t>
            </w:r>
          </w:p>
        </w:tc>
      </w:tr>
      <w:tr w14:paraId="29A39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737BCE4A">
            <w:pPr>
              <w:pStyle w:val="31"/>
            </w:pPr>
            <w:r>
              <w:t>7</w:t>
            </w:r>
          </w:p>
        </w:tc>
        <w:tc>
          <w:tcPr>
            <w:tcW w:w="5205" w:type="dxa"/>
            <w:tcBorders>
              <w:top w:val="single" w:color="auto" w:sz="4" w:space="0"/>
              <w:left w:val="nil"/>
              <w:bottom w:val="single" w:color="auto" w:sz="4" w:space="0"/>
              <w:right w:val="single" w:color="auto" w:sz="4" w:space="0"/>
            </w:tcBorders>
            <w:vAlign w:val="center"/>
          </w:tcPr>
          <w:p w14:paraId="6FA5DB2D">
            <w:pPr>
              <w:pStyle w:val="31"/>
            </w:pPr>
            <w:r>
              <w:rPr>
                <w:rFonts w:hint="eastAsia"/>
              </w:rPr>
              <w:t>第十条</w:t>
            </w:r>
            <w:r>
              <w:t xml:space="preserve"> </w:t>
            </w:r>
            <w:r>
              <w:rPr>
                <w:rFonts w:hint="eastAsia"/>
              </w:rPr>
              <w:t>除《中华人民共和国防洪法》规定的紧急防汛期的紧急措施外，禁止在国家湿地公园的岸线和河段范围内挖沙、采矿，以及以下不符合主题功能定位的行为和活动：</w:t>
            </w:r>
          </w:p>
          <w:p w14:paraId="48D63593">
            <w:pPr>
              <w:pStyle w:val="31"/>
            </w:pPr>
            <w:r>
              <w:rPr>
                <w:rFonts w:hint="eastAsia"/>
              </w:rPr>
              <w:t>（一）开（围）垦、填埋或者排干湿地。</w:t>
            </w:r>
          </w:p>
          <w:p w14:paraId="5CD2155A">
            <w:pPr>
              <w:pStyle w:val="31"/>
            </w:pPr>
            <w:r>
              <w:rPr>
                <w:rFonts w:hint="eastAsia"/>
              </w:rPr>
              <w:t>（二）截断湿地水源。</w:t>
            </w:r>
          </w:p>
          <w:p w14:paraId="028A0C72">
            <w:pPr>
              <w:pStyle w:val="31"/>
            </w:pPr>
            <w:r>
              <w:rPr>
                <w:rFonts w:hint="eastAsia"/>
              </w:rPr>
              <w:t>（三）倾倒有毒有害物质、废弃物、垃圾。</w:t>
            </w:r>
          </w:p>
          <w:p w14:paraId="050C105D">
            <w:pPr>
              <w:pStyle w:val="31"/>
            </w:pPr>
            <w:r>
              <w:rPr>
                <w:rFonts w:hint="eastAsia"/>
              </w:rPr>
              <w:t>（四）从事房地产、度假村、高尔夫球场、风力发电、光伏发电等任何不符合主题功能定位的建设项目和开发活动。</w:t>
            </w:r>
          </w:p>
          <w:p w14:paraId="3ADC73F0">
            <w:pPr>
              <w:pStyle w:val="31"/>
            </w:pPr>
            <w:r>
              <w:rPr>
                <w:rFonts w:hint="eastAsia"/>
              </w:rPr>
              <w:t>（五）破坏野生动物栖息地和迁徙通道、鱼类洄游通道，滥采滥捕野生动植物。</w:t>
            </w:r>
          </w:p>
          <w:p w14:paraId="365898D8">
            <w:pPr>
              <w:pStyle w:val="31"/>
            </w:pPr>
            <w:r>
              <w:rPr>
                <w:rFonts w:hint="eastAsia"/>
              </w:rPr>
              <w:t>（六）引入外来物种。</w:t>
            </w:r>
          </w:p>
          <w:p w14:paraId="7FEC58C7">
            <w:pPr>
              <w:pStyle w:val="31"/>
            </w:pPr>
            <w:r>
              <w:rPr>
                <w:rFonts w:hint="eastAsia"/>
              </w:rPr>
              <w:t>（七）擅自放牧、捕捞、取土、取水、排污、放生。</w:t>
            </w:r>
          </w:p>
          <w:p w14:paraId="2916C0FB">
            <w:pPr>
              <w:pStyle w:val="31"/>
            </w:pPr>
            <w:r>
              <w:rPr>
                <w:rFonts w:hint="eastAsia"/>
              </w:rPr>
              <w:t>（八）其他破坏湿地及其他生态功能的活动。</w:t>
            </w:r>
          </w:p>
        </w:tc>
        <w:tc>
          <w:tcPr>
            <w:tcW w:w="1950" w:type="dxa"/>
            <w:tcBorders>
              <w:top w:val="single" w:color="auto" w:sz="4" w:space="0"/>
              <w:left w:val="nil"/>
              <w:bottom w:val="single" w:color="auto" w:sz="4" w:space="0"/>
              <w:right w:val="single" w:color="auto" w:sz="4" w:space="0"/>
            </w:tcBorders>
            <w:vAlign w:val="center"/>
          </w:tcPr>
          <w:p w14:paraId="68F62C3B">
            <w:pPr>
              <w:pStyle w:val="31"/>
            </w:pPr>
            <w:r>
              <w:rPr>
                <w:rFonts w:hint="eastAsia"/>
              </w:rPr>
              <w:t>本项目不在国家湿地公园的岸线和河段范围内建设。</w:t>
            </w:r>
          </w:p>
        </w:tc>
        <w:tc>
          <w:tcPr>
            <w:tcW w:w="897" w:type="dxa"/>
            <w:tcBorders>
              <w:top w:val="single" w:color="auto" w:sz="4" w:space="0"/>
              <w:left w:val="nil"/>
              <w:bottom w:val="single" w:color="auto" w:sz="4" w:space="0"/>
              <w:right w:val="single" w:color="auto" w:sz="4" w:space="0"/>
            </w:tcBorders>
            <w:vAlign w:val="center"/>
          </w:tcPr>
          <w:p w14:paraId="470BC579">
            <w:pPr>
              <w:pStyle w:val="31"/>
            </w:pPr>
            <w:r>
              <w:rPr>
                <w:rFonts w:hint="eastAsia"/>
              </w:rPr>
              <w:t>符合</w:t>
            </w:r>
          </w:p>
        </w:tc>
      </w:tr>
      <w:tr w14:paraId="5625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04FDE186">
            <w:pPr>
              <w:pStyle w:val="31"/>
            </w:pPr>
            <w:r>
              <w:t>8</w:t>
            </w:r>
          </w:p>
        </w:tc>
        <w:tc>
          <w:tcPr>
            <w:tcW w:w="5205" w:type="dxa"/>
            <w:tcBorders>
              <w:top w:val="single" w:color="auto" w:sz="4" w:space="0"/>
              <w:left w:val="nil"/>
              <w:bottom w:val="single" w:color="auto" w:sz="4" w:space="0"/>
              <w:right w:val="single" w:color="auto" w:sz="4" w:space="0"/>
            </w:tcBorders>
            <w:vAlign w:val="center"/>
          </w:tcPr>
          <w:p w14:paraId="1AC17F77">
            <w:pPr>
              <w:pStyle w:val="31"/>
            </w:pPr>
            <w:r>
              <w:rPr>
                <w:rFonts w:hint="eastAsia"/>
              </w:rPr>
              <w:t>第十一条</w:t>
            </w:r>
            <w:r>
              <w:t xml:space="preserve"> </w:t>
            </w:r>
            <w:r>
              <w:rPr>
                <w:rFonts w:hint="eastAsia"/>
              </w:rPr>
              <w:t>禁止违法利用、占用长江流域河湖岸线，禁止在《长江岸线保护和开发利用总体规划》规定的岸线保护区和保留区内投资建设除事关公共安全及公众利益的防洪护岸、河道治理、供水、生态环境保护、航道整治、国家重要基础设施以外的项目。</w:t>
            </w:r>
          </w:p>
          <w:p w14:paraId="0C43AB09">
            <w:pPr>
              <w:pStyle w:val="31"/>
            </w:pPr>
            <w:r>
              <w:rPr>
                <w:rFonts w:hint="eastAsia"/>
              </w:rPr>
              <w:t>禁止填湖造地、围湖造田及非法围垦河道，禁止非法建设矮围网围、填埋湿地等侵占河湖水域或者违法利用、占用河湖岸线的行为。</w:t>
            </w:r>
          </w:p>
        </w:tc>
        <w:tc>
          <w:tcPr>
            <w:tcW w:w="1950" w:type="dxa"/>
            <w:tcBorders>
              <w:top w:val="single" w:color="auto" w:sz="4" w:space="0"/>
              <w:left w:val="nil"/>
              <w:bottom w:val="single" w:color="auto" w:sz="4" w:space="0"/>
              <w:right w:val="single" w:color="auto" w:sz="4" w:space="0"/>
            </w:tcBorders>
            <w:vAlign w:val="center"/>
          </w:tcPr>
          <w:p w14:paraId="1B053198">
            <w:pPr>
              <w:pStyle w:val="31"/>
            </w:pPr>
            <w:r>
              <w:rPr>
                <w:rFonts w:hint="eastAsia"/>
              </w:rPr>
              <w:t>本项目所在位置不涉及长江岸线保护区和保留区。</w:t>
            </w:r>
          </w:p>
        </w:tc>
        <w:tc>
          <w:tcPr>
            <w:tcW w:w="897" w:type="dxa"/>
            <w:tcBorders>
              <w:top w:val="single" w:color="auto" w:sz="4" w:space="0"/>
              <w:left w:val="nil"/>
              <w:bottom w:val="single" w:color="auto" w:sz="4" w:space="0"/>
              <w:right w:val="single" w:color="auto" w:sz="4" w:space="0"/>
            </w:tcBorders>
            <w:vAlign w:val="center"/>
          </w:tcPr>
          <w:p w14:paraId="314C45F9">
            <w:pPr>
              <w:pStyle w:val="31"/>
            </w:pPr>
            <w:r>
              <w:rPr>
                <w:rFonts w:hint="eastAsia"/>
              </w:rPr>
              <w:t>符合</w:t>
            </w:r>
          </w:p>
        </w:tc>
      </w:tr>
      <w:tr w14:paraId="6D69C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6B21BE25">
            <w:pPr>
              <w:pStyle w:val="31"/>
            </w:pPr>
            <w:r>
              <w:t>9</w:t>
            </w:r>
          </w:p>
        </w:tc>
        <w:tc>
          <w:tcPr>
            <w:tcW w:w="5205" w:type="dxa"/>
            <w:tcBorders>
              <w:top w:val="single" w:color="auto" w:sz="4" w:space="0"/>
              <w:left w:val="nil"/>
              <w:bottom w:val="single" w:color="auto" w:sz="4" w:space="0"/>
              <w:right w:val="single" w:color="auto" w:sz="4" w:space="0"/>
            </w:tcBorders>
            <w:vAlign w:val="center"/>
          </w:tcPr>
          <w:p w14:paraId="08887D6B">
            <w:pPr>
              <w:pStyle w:val="31"/>
            </w:pPr>
            <w:r>
              <w:rPr>
                <w:rFonts w:hint="eastAsia"/>
              </w:rPr>
              <w:t>第十三条</w:t>
            </w:r>
            <w:r>
              <w:t xml:space="preserve"> </w:t>
            </w:r>
            <w:r>
              <w:rPr>
                <w:rFonts w:hint="eastAsia"/>
              </w:rPr>
              <w:t>禁止未经许可在长江干支流及湖泊新设、改设或扩大排污口。</w:t>
            </w:r>
          </w:p>
        </w:tc>
        <w:tc>
          <w:tcPr>
            <w:tcW w:w="1950" w:type="dxa"/>
            <w:tcBorders>
              <w:top w:val="single" w:color="auto" w:sz="4" w:space="0"/>
              <w:left w:val="nil"/>
              <w:bottom w:val="single" w:color="auto" w:sz="4" w:space="0"/>
              <w:right w:val="single" w:color="auto" w:sz="4" w:space="0"/>
            </w:tcBorders>
            <w:vAlign w:val="center"/>
          </w:tcPr>
          <w:p w14:paraId="77401B9A">
            <w:pPr>
              <w:pStyle w:val="31"/>
            </w:pPr>
            <w:r>
              <w:rPr>
                <w:rFonts w:hint="eastAsia"/>
              </w:rPr>
              <w:t>本项目不涉及排污口建设</w:t>
            </w:r>
          </w:p>
        </w:tc>
        <w:tc>
          <w:tcPr>
            <w:tcW w:w="897" w:type="dxa"/>
            <w:tcBorders>
              <w:top w:val="single" w:color="auto" w:sz="4" w:space="0"/>
              <w:left w:val="nil"/>
              <w:bottom w:val="single" w:color="auto" w:sz="4" w:space="0"/>
              <w:right w:val="single" w:color="auto" w:sz="4" w:space="0"/>
            </w:tcBorders>
            <w:vAlign w:val="center"/>
          </w:tcPr>
          <w:p w14:paraId="716FE9D0">
            <w:pPr>
              <w:pStyle w:val="31"/>
            </w:pPr>
            <w:r>
              <w:rPr>
                <w:rFonts w:hint="eastAsia"/>
              </w:rPr>
              <w:t>符合</w:t>
            </w:r>
          </w:p>
        </w:tc>
      </w:tr>
      <w:tr w14:paraId="4731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0F35C40F">
            <w:pPr>
              <w:pStyle w:val="31"/>
            </w:pPr>
            <w:r>
              <w:t>10</w:t>
            </w:r>
          </w:p>
        </w:tc>
        <w:tc>
          <w:tcPr>
            <w:tcW w:w="5205" w:type="dxa"/>
            <w:tcBorders>
              <w:top w:val="single" w:color="auto" w:sz="4" w:space="0"/>
              <w:left w:val="nil"/>
              <w:bottom w:val="single" w:color="auto" w:sz="4" w:space="0"/>
              <w:right w:val="single" w:color="auto" w:sz="4" w:space="0"/>
            </w:tcBorders>
            <w:vAlign w:val="center"/>
          </w:tcPr>
          <w:p w14:paraId="1CAF1D56">
            <w:pPr>
              <w:pStyle w:val="31"/>
            </w:pPr>
            <w:r>
              <w:rPr>
                <w:rFonts w:hint="eastAsia"/>
              </w:rPr>
              <w:t>第十四条</w:t>
            </w:r>
            <w:r>
              <w:t xml:space="preserve"> </w:t>
            </w:r>
            <w:r>
              <w:rPr>
                <w:rFonts w:hint="eastAsia"/>
              </w:rPr>
              <w:t>禁止在洞庭湖、湘江、资江、沅江、澧水干流和45个水生生物保护区开展生产性捕捞。在相关自然保护区域和禁猎（渔）区、禁猎（渔）期内，禁止猎捕以及其他妨碍野生动物生息繁衍的活动，但法律法规另有规定的除外。</w:t>
            </w:r>
          </w:p>
        </w:tc>
        <w:tc>
          <w:tcPr>
            <w:tcW w:w="1950" w:type="dxa"/>
            <w:tcBorders>
              <w:top w:val="single" w:color="auto" w:sz="4" w:space="0"/>
              <w:left w:val="nil"/>
              <w:bottom w:val="single" w:color="auto" w:sz="4" w:space="0"/>
              <w:right w:val="single" w:color="auto" w:sz="4" w:space="0"/>
            </w:tcBorders>
            <w:vAlign w:val="center"/>
          </w:tcPr>
          <w:p w14:paraId="05053454">
            <w:pPr>
              <w:pStyle w:val="31"/>
            </w:pPr>
            <w:r>
              <w:rPr>
                <w:rFonts w:hint="eastAsia"/>
              </w:rPr>
              <w:t>本项目不涉及生产性捕捞。</w:t>
            </w:r>
          </w:p>
        </w:tc>
        <w:tc>
          <w:tcPr>
            <w:tcW w:w="897" w:type="dxa"/>
            <w:tcBorders>
              <w:top w:val="single" w:color="auto" w:sz="4" w:space="0"/>
              <w:left w:val="nil"/>
              <w:bottom w:val="single" w:color="auto" w:sz="4" w:space="0"/>
              <w:right w:val="single" w:color="auto" w:sz="4" w:space="0"/>
            </w:tcBorders>
            <w:vAlign w:val="center"/>
          </w:tcPr>
          <w:p w14:paraId="33B523F4">
            <w:pPr>
              <w:pStyle w:val="31"/>
            </w:pPr>
            <w:r>
              <w:rPr>
                <w:rFonts w:hint="eastAsia"/>
              </w:rPr>
              <w:t>符合</w:t>
            </w:r>
          </w:p>
        </w:tc>
      </w:tr>
      <w:tr w14:paraId="4DFF3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3FB0C1F4">
            <w:pPr>
              <w:pStyle w:val="31"/>
            </w:pPr>
            <w:r>
              <w:t>11</w:t>
            </w:r>
          </w:p>
        </w:tc>
        <w:tc>
          <w:tcPr>
            <w:tcW w:w="5205" w:type="dxa"/>
            <w:tcBorders>
              <w:top w:val="single" w:color="auto" w:sz="4" w:space="0"/>
              <w:left w:val="nil"/>
              <w:bottom w:val="single" w:color="auto" w:sz="4" w:space="0"/>
              <w:right w:val="single" w:color="auto" w:sz="4" w:space="0"/>
            </w:tcBorders>
            <w:vAlign w:val="center"/>
          </w:tcPr>
          <w:p w14:paraId="7B0D9663">
            <w:pPr>
              <w:pStyle w:val="31"/>
            </w:pPr>
            <w:r>
              <w:rPr>
                <w:rFonts w:hint="eastAsia"/>
              </w:rPr>
              <w:t>第十五条禁止在长江湖南段和洞庭湖、湘江、资江、沅江、澧水干流岸线一公里范围内新建、扩建化工园区和化工项目。禁止在长江湖南段三公里范围内和湘江、资江、沅江、澧水干流岸线一公里范围内新建、改建、扩建尾矿库、冶炼渣库和磷石膏库，以提升安全、生态环境保护水平为目的的改建除外。</w:t>
            </w:r>
          </w:p>
        </w:tc>
        <w:tc>
          <w:tcPr>
            <w:tcW w:w="1950" w:type="dxa"/>
            <w:tcBorders>
              <w:top w:val="single" w:color="auto" w:sz="4" w:space="0"/>
              <w:left w:val="nil"/>
              <w:bottom w:val="single" w:color="auto" w:sz="4" w:space="0"/>
              <w:right w:val="single" w:color="auto" w:sz="4" w:space="0"/>
            </w:tcBorders>
            <w:vAlign w:val="center"/>
          </w:tcPr>
          <w:p w14:paraId="534F519E">
            <w:pPr>
              <w:pStyle w:val="31"/>
            </w:pPr>
            <w:r>
              <w:rPr>
                <w:rFonts w:hint="eastAsia"/>
              </w:rPr>
              <w:t>本项目不属于新建、扩建化工园区和化工项目，不涉及尾矿库、冶炼渣库和磷石膏库建设。</w:t>
            </w:r>
          </w:p>
        </w:tc>
        <w:tc>
          <w:tcPr>
            <w:tcW w:w="897" w:type="dxa"/>
            <w:tcBorders>
              <w:top w:val="single" w:color="auto" w:sz="4" w:space="0"/>
              <w:left w:val="nil"/>
              <w:bottom w:val="single" w:color="auto" w:sz="4" w:space="0"/>
              <w:right w:val="single" w:color="auto" w:sz="4" w:space="0"/>
            </w:tcBorders>
            <w:vAlign w:val="center"/>
          </w:tcPr>
          <w:p w14:paraId="24FB0BC4">
            <w:pPr>
              <w:pStyle w:val="31"/>
            </w:pPr>
            <w:r>
              <w:rPr>
                <w:rFonts w:hint="eastAsia"/>
              </w:rPr>
              <w:t>符合</w:t>
            </w:r>
          </w:p>
        </w:tc>
      </w:tr>
      <w:tr w14:paraId="25EB2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52103B70">
            <w:pPr>
              <w:pStyle w:val="31"/>
            </w:pPr>
            <w:r>
              <w:t>12</w:t>
            </w:r>
          </w:p>
        </w:tc>
        <w:tc>
          <w:tcPr>
            <w:tcW w:w="5205" w:type="dxa"/>
            <w:tcBorders>
              <w:top w:val="single" w:color="auto" w:sz="4" w:space="0"/>
              <w:left w:val="nil"/>
              <w:bottom w:val="single" w:color="auto" w:sz="4" w:space="0"/>
              <w:right w:val="single" w:color="auto" w:sz="4" w:space="0"/>
            </w:tcBorders>
            <w:vAlign w:val="center"/>
          </w:tcPr>
          <w:p w14:paraId="53C50876">
            <w:pPr>
              <w:pStyle w:val="31"/>
            </w:pPr>
            <w:r>
              <w:rPr>
                <w:rFonts w:hint="eastAsia"/>
              </w:rPr>
              <w:t>第十六条</w:t>
            </w:r>
            <w:r>
              <w:t xml:space="preserve"> </w:t>
            </w:r>
            <w:r>
              <w:rPr>
                <w:rFonts w:hint="eastAsia"/>
              </w:rPr>
              <w:t>禁止在合规园区外新建、扩建钢铁、石化、化工、焦化、建材、有色、制浆造纸等高污染项目。高污染项目严格按照生态环境部《环境保护综合名录（2021年版）》有关要求执行。</w:t>
            </w:r>
          </w:p>
        </w:tc>
        <w:tc>
          <w:tcPr>
            <w:tcW w:w="1950" w:type="dxa"/>
            <w:tcBorders>
              <w:top w:val="single" w:color="auto" w:sz="4" w:space="0"/>
              <w:left w:val="nil"/>
              <w:bottom w:val="single" w:color="auto" w:sz="4" w:space="0"/>
              <w:right w:val="single" w:color="auto" w:sz="4" w:space="0"/>
            </w:tcBorders>
            <w:vAlign w:val="center"/>
          </w:tcPr>
          <w:p w14:paraId="48E2695D">
            <w:pPr>
              <w:pStyle w:val="31"/>
            </w:pPr>
            <w:r>
              <w:rPr>
                <w:rFonts w:hint="eastAsia"/>
              </w:rPr>
              <w:t>本项目不属于钢铁、石化、化工、焦化、建材、有色等高污染项目。</w:t>
            </w:r>
          </w:p>
        </w:tc>
        <w:tc>
          <w:tcPr>
            <w:tcW w:w="897" w:type="dxa"/>
            <w:tcBorders>
              <w:top w:val="single" w:color="auto" w:sz="4" w:space="0"/>
              <w:left w:val="nil"/>
              <w:bottom w:val="single" w:color="auto" w:sz="4" w:space="0"/>
              <w:right w:val="single" w:color="auto" w:sz="4" w:space="0"/>
            </w:tcBorders>
            <w:vAlign w:val="center"/>
          </w:tcPr>
          <w:p w14:paraId="30F0EE1A">
            <w:pPr>
              <w:pStyle w:val="31"/>
            </w:pPr>
            <w:r>
              <w:rPr>
                <w:rFonts w:hint="eastAsia"/>
              </w:rPr>
              <w:t>符合</w:t>
            </w:r>
          </w:p>
        </w:tc>
      </w:tr>
      <w:tr w14:paraId="50CB1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489F2344">
            <w:pPr>
              <w:pStyle w:val="31"/>
            </w:pPr>
            <w:r>
              <w:rPr>
                <w:rFonts w:hint="eastAsia"/>
              </w:rPr>
              <w:t>13</w:t>
            </w:r>
          </w:p>
        </w:tc>
        <w:tc>
          <w:tcPr>
            <w:tcW w:w="5205" w:type="dxa"/>
            <w:tcBorders>
              <w:top w:val="single" w:color="auto" w:sz="4" w:space="0"/>
              <w:left w:val="nil"/>
              <w:bottom w:val="single" w:color="auto" w:sz="4" w:space="0"/>
              <w:right w:val="single" w:color="auto" w:sz="4" w:space="0"/>
            </w:tcBorders>
            <w:vAlign w:val="center"/>
          </w:tcPr>
          <w:p w14:paraId="1C18B34F">
            <w:pPr>
              <w:pStyle w:val="31"/>
            </w:pPr>
            <w:r>
              <w:rPr>
                <w:rFonts w:hint="eastAsia"/>
              </w:rPr>
              <w:t>第十七条</w:t>
            </w:r>
            <w:r>
              <w:t xml:space="preserve"> </w:t>
            </w:r>
            <w:r>
              <w:rPr>
                <w:rFonts w:hint="eastAsia"/>
              </w:rPr>
              <w:t>禁止新建、扩建不符合国家石化、现代煤化工等产业布局规划的项目。未通过认定的化工园区，不得新建、改扩建化工项目（安全、环保、节能和智能化改造项目除外）。</w:t>
            </w:r>
          </w:p>
        </w:tc>
        <w:tc>
          <w:tcPr>
            <w:tcW w:w="1950" w:type="dxa"/>
            <w:tcBorders>
              <w:top w:val="single" w:color="auto" w:sz="4" w:space="0"/>
              <w:left w:val="nil"/>
              <w:bottom w:val="single" w:color="auto" w:sz="4" w:space="0"/>
              <w:right w:val="single" w:color="auto" w:sz="4" w:space="0"/>
            </w:tcBorders>
            <w:vAlign w:val="center"/>
          </w:tcPr>
          <w:p w14:paraId="7AA39BBD">
            <w:pPr>
              <w:pStyle w:val="31"/>
            </w:pPr>
            <w:r>
              <w:rPr>
                <w:rFonts w:hint="eastAsia"/>
              </w:rPr>
              <w:t>本项目不属于化工项目。</w:t>
            </w:r>
          </w:p>
        </w:tc>
        <w:tc>
          <w:tcPr>
            <w:tcW w:w="897" w:type="dxa"/>
            <w:tcBorders>
              <w:top w:val="single" w:color="auto" w:sz="4" w:space="0"/>
              <w:left w:val="nil"/>
              <w:bottom w:val="single" w:color="auto" w:sz="4" w:space="0"/>
              <w:right w:val="single" w:color="auto" w:sz="4" w:space="0"/>
            </w:tcBorders>
            <w:vAlign w:val="center"/>
          </w:tcPr>
          <w:p w14:paraId="719A8AC8">
            <w:pPr>
              <w:pStyle w:val="31"/>
            </w:pPr>
            <w:r>
              <w:rPr>
                <w:rFonts w:hint="eastAsia"/>
              </w:rPr>
              <w:t>符合</w:t>
            </w:r>
          </w:p>
        </w:tc>
      </w:tr>
      <w:tr w14:paraId="55515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0" w:type="dxa"/>
            <w:tcBorders>
              <w:top w:val="single" w:color="auto" w:sz="4" w:space="0"/>
              <w:left w:val="single" w:color="auto" w:sz="4" w:space="0"/>
              <w:bottom w:val="single" w:color="auto" w:sz="4" w:space="0"/>
              <w:right w:val="single" w:color="auto" w:sz="4" w:space="0"/>
            </w:tcBorders>
            <w:vAlign w:val="center"/>
          </w:tcPr>
          <w:p w14:paraId="19EC4604">
            <w:pPr>
              <w:pStyle w:val="31"/>
            </w:pPr>
            <w:r>
              <w:rPr>
                <w:rFonts w:hint="eastAsia"/>
              </w:rPr>
              <w:t>14</w:t>
            </w:r>
          </w:p>
        </w:tc>
        <w:tc>
          <w:tcPr>
            <w:tcW w:w="5205" w:type="dxa"/>
            <w:tcBorders>
              <w:top w:val="single" w:color="auto" w:sz="4" w:space="0"/>
              <w:left w:val="nil"/>
              <w:bottom w:val="single" w:color="auto" w:sz="4" w:space="0"/>
              <w:right w:val="single" w:color="auto" w:sz="4" w:space="0"/>
            </w:tcBorders>
            <w:vAlign w:val="center"/>
          </w:tcPr>
          <w:p w14:paraId="1846D83B">
            <w:pPr>
              <w:pStyle w:val="31"/>
            </w:pPr>
            <w:r>
              <w:rPr>
                <w:rFonts w:hint="eastAsia"/>
              </w:rPr>
              <w:t>第十八条</w:t>
            </w:r>
            <w:r>
              <w:t xml:space="preserve"> </w:t>
            </w:r>
            <w:r>
              <w:rPr>
                <w:rFonts w:hint="eastAsia"/>
              </w:rPr>
              <w:t>禁止新建、扩建法律法规和相关政策明令禁止的落后产能项目；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去的高耗能高排放项目。</w:t>
            </w:r>
          </w:p>
        </w:tc>
        <w:tc>
          <w:tcPr>
            <w:tcW w:w="1950" w:type="dxa"/>
            <w:tcBorders>
              <w:top w:val="single" w:color="auto" w:sz="4" w:space="0"/>
              <w:left w:val="nil"/>
              <w:bottom w:val="single" w:color="auto" w:sz="4" w:space="0"/>
              <w:right w:val="single" w:color="auto" w:sz="4" w:space="0"/>
            </w:tcBorders>
            <w:vAlign w:val="center"/>
          </w:tcPr>
          <w:p w14:paraId="70E1FB90">
            <w:pPr>
              <w:pStyle w:val="31"/>
            </w:pPr>
            <w:r>
              <w:rPr>
                <w:rFonts w:hint="eastAsia"/>
              </w:rPr>
              <w:t>本项目不属于国家产能置换要求的严重过剩产能行业的项目，也不属于高污染项目。</w:t>
            </w:r>
          </w:p>
        </w:tc>
        <w:tc>
          <w:tcPr>
            <w:tcW w:w="897" w:type="dxa"/>
            <w:tcBorders>
              <w:top w:val="single" w:color="auto" w:sz="4" w:space="0"/>
              <w:left w:val="nil"/>
              <w:bottom w:val="single" w:color="auto" w:sz="4" w:space="0"/>
              <w:right w:val="single" w:color="auto" w:sz="4" w:space="0"/>
            </w:tcBorders>
            <w:vAlign w:val="center"/>
          </w:tcPr>
          <w:p w14:paraId="287CC2FE">
            <w:pPr>
              <w:pStyle w:val="31"/>
            </w:pPr>
            <w:r>
              <w:rPr>
                <w:rFonts w:hint="eastAsia"/>
              </w:rPr>
              <w:t>符合</w:t>
            </w:r>
          </w:p>
        </w:tc>
      </w:tr>
    </w:tbl>
    <w:p w14:paraId="7C01F06B">
      <w:pPr>
        <w:pStyle w:val="33"/>
        <w:bidi w:val="0"/>
        <w:rPr>
          <w:rFonts w:hint="eastAsia"/>
          <w:lang w:val="en-US" w:eastAsia="zh-CN"/>
        </w:rPr>
      </w:pPr>
      <w:bookmarkStart w:id="12" w:name="_Toc21771"/>
      <w:bookmarkStart w:id="13" w:name="_Toc17226"/>
      <w:r>
        <w:rPr>
          <w:rFonts w:hint="eastAsia"/>
          <w:lang w:val="en-US" w:eastAsia="zh-CN"/>
        </w:rPr>
        <w:t>1.4.5与《衡阳港总体规划（2035年）》符合性分析</w:t>
      </w:r>
      <w:bookmarkEnd w:id="12"/>
      <w:bookmarkEnd w:id="13"/>
    </w:p>
    <w:p w14:paraId="5187A9EF">
      <w:pPr>
        <w:pStyle w:val="21"/>
        <w:rPr>
          <w:rFonts w:hint="eastAsia"/>
          <w:u w:val="none"/>
          <w:lang w:val="en-US" w:eastAsia="zh-CN"/>
        </w:rPr>
      </w:pPr>
      <w:r>
        <w:rPr>
          <w:rFonts w:hint="eastAsia"/>
          <w:u w:val="none"/>
          <w:lang w:val="en-US" w:eastAsia="zh-CN"/>
        </w:rPr>
        <w:t>根据《衡阳港总体规划（2035年）》修造船岸线规划：衡阳市境内共规划 5 处修造船岸线，均属于湘江岸线，依次是常宁大堡修造船岸段、衡山永发修造船岸段、衡东顺天修造船岸段、衡东鑫泽修造船岸段和衡东兴泰修造船岸段。常宁大堡修造船岸段位于常宁市大堡乡，湘江右岸，规划 150 米岸线，其中已利用 150 米；衡山永发修造船岸段位于衡山县荆陂河口，湘江左岸，规划岸线 200 米，其中已利用200米；衡东顺天修造船岸段位于衡山湘江大桥上游约 400 米处，湘江右岸，规划岸线150米，其中已利用 150 米；衡东鑫泽修造船岸段位于衡东县三樟镇，湘江右岸，规划岸线 150 米，其中已利用 150 米；衡东兴泰修造船岸段位于衡东县三樟镇，湘江右岸，规划岸线 200 米，其中已利用 200 米。修造船岸线长度合计 850 米，其中已利用 850 米。</w:t>
      </w:r>
    </w:p>
    <w:p w14:paraId="64313992">
      <w:pPr>
        <w:pStyle w:val="21"/>
        <w:rPr>
          <w:rFonts w:hint="default"/>
          <w:u w:val="none"/>
          <w:lang w:val="en-US" w:eastAsia="zh-CN"/>
        </w:rPr>
      </w:pPr>
      <w:r>
        <w:rPr>
          <w:rFonts w:hint="eastAsia"/>
          <w:u w:val="none"/>
          <w:lang w:val="en-US" w:eastAsia="zh-CN"/>
        </w:rPr>
        <w:t>本项目为衡东兴泰修造船岸段属于规划内修造船岸线规划，岸线长度200m，因此本项目现有工程符合规划岸线使用功能，《衡阳港总体规划（2035年）》中未对船舶拆解进行规划，本项目建设单位在不扩大岸线利用规模的前提下，增加使用功能，以满足湘江衡阳段船舶拆解的需求，总体符合规划要求。</w:t>
      </w:r>
    </w:p>
    <w:p w14:paraId="743BF652">
      <w:pPr>
        <w:pStyle w:val="33"/>
      </w:pPr>
      <w:bookmarkStart w:id="14" w:name="_Toc8104"/>
      <w:bookmarkStart w:id="15" w:name="_Toc22922"/>
      <w:r>
        <w:rPr>
          <w:rFonts w:hint="eastAsia"/>
        </w:rPr>
        <w:t>1.4.</w:t>
      </w:r>
      <w:r>
        <w:rPr>
          <w:rFonts w:hint="eastAsia"/>
          <w:lang w:val="en-US" w:eastAsia="zh-CN"/>
        </w:rPr>
        <w:t>6生态环境分区管控要求</w:t>
      </w:r>
      <w:r>
        <w:rPr>
          <w:rFonts w:hint="eastAsia"/>
        </w:rPr>
        <w:t>符合性分析</w:t>
      </w:r>
      <w:bookmarkEnd w:id="14"/>
      <w:bookmarkEnd w:id="15"/>
    </w:p>
    <w:p w14:paraId="7D244B77">
      <w:pPr>
        <w:pStyle w:val="21"/>
        <w:ind w:firstLine="480"/>
        <w:rPr>
          <w:rFonts w:hint="eastAsia"/>
          <w:u w:val="none"/>
        </w:rPr>
      </w:pPr>
      <w:r>
        <w:rPr>
          <w:rFonts w:hint="eastAsia"/>
          <w:u w:val="none"/>
        </w:rPr>
        <w:t>根据《衡阳市</w:t>
      </w:r>
      <w:r>
        <w:rPr>
          <w:rFonts w:hint="eastAsia"/>
          <w:u w:val="none"/>
          <w:lang w:val="en-US" w:eastAsia="zh-CN"/>
        </w:rPr>
        <w:t>生态环境局</w:t>
      </w:r>
      <w:r>
        <w:rPr>
          <w:rFonts w:hint="eastAsia"/>
          <w:u w:val="none"/>
        </w:rPr>
        <w:t>关于</w:t>
      </w:r>
      <w:r>
        <w:rPr>
          <w:rFonts w:hint="eastAsia"/>
          <w:u w:val="none"/>
          <w:lang w:val="en-US" w:eastAsia="zh-CN"/>
        </w:rPr>
        <w:t>发布衡阳市生态环境分区管控更新成果（2023年版）的通知</w:t>
      </w:r>
      <w:r>
        <w:rPr>
          <w:u w:val="none"/>
        </w:rPr>
        <w:t>》</w:t>
      </w:r>
      <w:r>
        <w:rPr>
          <w:rFonts w:hint="eastAsia"/>
          <w:u w:val="none"/>
        </w:rPr>
        <w:t>（衡</w:t>
      </w:r>
      <w:r>
        <w:rPr>
          <w:rFonts w:hint="eastAsia"/>
          <w:u w:val="none"/>
          <w:lang w:val="en-US" w:eastAsia="zh-CN"/>
        </w:rPr>
        <w:t>环</w:t>
      </w:r>
      <w:r>
        <w:rPr>
          <w:rFonts w:hint="eastAsia"/>
          <w:u w:val="none"/>
        </w:rPr>
        <w:t>发〔</w:t>
      </w:r>
      <w:r>
        <w:rPr>
          <w:u w:val="none"/>
        </w:rPr>
        <w:t>202</w:t>
      </w:r>
      <w:r>
        <w:rPr>
          <w:rFonts w:hint="eastAsia"/>
          <w:u w:val="none"/>
          <w:lang w:val="en-US" w:eastAsia="zh-CN"/>
        </w:rPr>
        <w:t>4</w:t>
      </w:r>
      <w:r>
        <w:rPr>
          <w:u w:val="none"/>
        </w:rPr>
        <w:t>〕</w:t>
      </w:r>
      <w:r>
        <w:rPr>
          <w:rFonts w:hint="eastAsia"/>
          <w:u w:val="none"/>
          <w:lang w:val="en-US" w:eastAsia="zh-CN"/>
        </w:rPr>
        <w:t>194</w:t>
      </w:r>
      <w:r>
        <w:rPr>
          <w:u w:val="none"/>
        </w:rPr>
        <w:t>号）中明确，本</w:t>
      </w:r>
      <w:r>
        <w:rPr>
          <w:rFonts w:hint="eastAsia"/>
          <w:u w:val="none"/>
        </w:rPr>
        <w:t>次扩建</w:t>
      </w:r>
      <w:r>
        <w:rPr>
          <w:u w:val="none"/>
        </w:rPr>
        <w:t>项目位于衡东县三樟镇(ZH43042410002),</w:t>
      </w:r>
      <w:r>
        <w:rPr>
          <w:rFonts w:hint="eastAsia"/>
          <w:u w:val="none"/>
        </w:rPr>
        <w:t>其</w:t>
      </w:r>
      <w:r>
        <w:rPr>
          <w:u w:val="none"/>
        </w:rPr>
        <w:t>管控要求对比分析</w:t>
      </w:r>
      <w:r>
        <w:rPr>
          <w:rFonts w:hint="eastAsia"/>
          <w:u w:val="none"/>
        </w:rPr>
        <w:t>情况详见</w:t>
      </w:r>
      <w:r>
        <w:rPr>
          <w:u w:val="none"/>
        </w:rPr>
        <w:t>下表</w:t>
      </w:r>
      <w:r>
        <w:rPr>
          <w:rFonts w:hint="eastAsia"/>
          <w:u w:val="none"/>
        </w:rPr>
        <w:t>。</w:t>
      </w:r>
    </w:p>
    <w:p w14:paraId="5FB9D151">
      <w:pPr>
        <w:pStyle w:val="21"/>
        <w:ind w:firstLine="480"/>
        <w:rPr>
          <w:rFonts w:hint="eastAsia"/>
          <w:u w:val="none"/>
        </w:rPr>
      </w:pPr>
    </w:p>
    <w:p w14:paraId="38A10A5B">
      <w:pPr>
        <w:pStyle w:val="23"/>
        <w:bidi w:val="0"/>
      </w:pPr>
      <w:r>
        <w:rPr>
          <w:rFonts w:hint="eastAsia"/>
        </w:rPr>
        <w:t>表1-4  与“三线一单”生态环境管控要求相符性分析一览表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8"/>
        <w:gridCol w:w="723"/>
        <w:gridCol w:w="4776"/>
        <w:gridCol w:w="2149"/>
        <w:gridCol w:w="436"/>
      </w:tblGrid>
      <w:tr w14:paraId="32754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47D269A2">
            <w:pPr>
              <w:pStyle w:val="31"/>
              <w:rPr>
                <w:u w:val="none"/>
              </w:rPr>
            </w:pPr>
            <w:r>
              <w:rPr>
                <w:u w:val="none"/>
              </w:rPr>
              <w:t>序号</w:t>
            </w:r>
          </w:p>
        </w:tc>
        <w:tc>
          <w:tcPr>
            <w:tcW w:w="3226" w:type="pct"/>
            <w:gridSpan w:val="2"/>
            <w:vAlign w:val="center"/>
          </w:tcPr>
          <w:p w14:paraId="6E2B5247">
            <w:pPr>
              <w:pStyle w:val="31"/>
              <w:rPr>
                <w:u w:val="none"/>
              </w:rPr>
            </w:pPr>
            <w:r>
              <w:rPr>
                <w:u w:val="none"/>
              </w:rPr>
              <w:t>区域要求</w:t>
            </w:r>
          </w:p>
        </w:tc>
        <w:tc>
          <w:tcPr>
            <w:tcW w:w="1261" w:type="pct"/>
            <w:vAlign w:val="center"/>
          </w:tcPr>
          <w:p w14:paraId="0F005340">
            <w:pPr>
              <w:pStyle w:val="31"/>
              <w:rPr>
                <w:u w:val="none"/>
              </w:rPr>
            </w:pPr>
            <w:r>
              <w:rPr>
                <w:color w:val="000000" w:themeColor="text1"/>
                <w:u w:val="none"/>
                <w14:textFill>
                  <w14:solidFill>
                    <w14:schemeClr w14:val="tx1"/>
                  </w14:solidFill>
                </w14:textFill>
              </w:rPr>
              <w:t>项目情况</w:t>
            </w:r>
          </w:p>
        </w:tc>
        <w:tc>
          <w:tcPr>
            <w:tcW w:w="257" w:type="pct"/>
            <w:vAlign w:val="center"/>
          </w:tcPr>
          <w:p w14:paraId="1A866FA1">
            <w:pPr>
              <w:pStyle w:val="31"/>
              <w:rPr>
                <w:u w:val="none"/>
              </w:rPr>
            </w:pPr>
            <w:r>
              <w:rPr>
                <w:u w:val="none"/>
              </w:rPr>
              <w:t>符合性</w:t>
            </w:r>
          </w:p>
        </w:tc>
      </w:tr>
      <w:tr w14:paraId="1FA93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576C94F9">
            <w:pPr>
              <w:pStyle w:val="31"/>
              <w:rPr>
                <w:u w:val="none"/>
              </w:rPr>
            </w:pPr>
            <w:r>
              <w:rPr>
                <w:rFonts w:hint="eastAsia"/>
                <w:u w:val="none"/>
              </w:rPr>
              <w:t>1</w:t>
            </w:r>
          </w:p>
        </w:tc>
        <w:tc>
          <w:tcPr>
            <w:tcW w:w="424" w:type="pct"/>
            <w:vAlign w:val="center"/>
          </w:tcPr>
          <w:p w14:paraId="7B9BFE8D">
            <w:pPr>
              <w:pStyle w:val="31"/>
              <w:rPr>
                <w:u w:val="none"/>
              </w:rPr>
            </w:pPr>
            <w:r>
              <w:rPr>
                <w:rFonts w:hint="eastAsia"/>
                <w:u w:val="none"/>
              </w:rPr>
              <w:t>主要属性</w:t>
            </w:r>
          </w:p>
        </w:tc>
        <w:tc>
          <w:tcPr>
            <w:tcW w:w="2802" w:type="pct"/>
            <w:vAlign w:val="center"/>
          </w:tcPr>
          <w:p w14:paraId="7C3423F2">
            <w:pPr>
              <w:pStyle w:val="31"/>
              <w:jc w:val="left"/>
              <w:rPr>
                <w:rFonts w:hint="eastAsia"/>
                <w:u w:val="none"/>
              </w:rPr>
            </w:pPr>
            <w:r>
              <w:rPr>
                <w:rFonts w:hint="eastAsia"/>
                <w:u w:val="none"/>
              </w:rPr>
              <w:t>三樟镇</w:t>
            </w:r>
          </w:p>
          <w:p w14:paraId="657C2173">
            <w:pPr>
              <w:pStyle w:val="31"/>
              <w:jc w:val="left"/>
              <w:rPr>
                <w:rFonts w:hint="eastAsia"/>
                <w:u w:val="none"/>
              </w:rPr>
            </w:pPr>
            <w:r>
              <w:rPr>
                <w:rFonts w:hint="eastAsia"/>
                <w:u w:val="none"/>
              </w:rPr>
              <w:t>▉红线/一般生态空间</w:t>
            </w:r>
            <w:r>
              <w:rPr>
                <w:rFonts w:hint="eastAsia"/>
                <w:u w:val="none"/>
              </w:rPr>
              <w:tab/>
            </w:r>
            <w:r>
              <w:rPr>
                <w:rFonts w:hint="eastAsia"/>
                <w:u w:val="none"/>
              </w:rPr>
              <w:t>生物多样性保护功能重要区/石漠化敏感区/水土流失敏感区/水源涵养重要区</w:t>
            </w:r>
            <w:r>
              <w:rPr>
                <w:rFonts w:hint="eastAsia"/>
                <w:u w:val="none"/>
              </w:rPr>
              <w:tab/>
            </w:r>
          </w:p>
          <w:p w14:paraId="2535B489">
            <w:pPr>
              <w:pStyle w:val="31"/>
              <w:jc w:val="left"/>
              <w:rPr>
                <w:u w:val="none"/>
              </w:rPr>
            </w:pPr>
            <w:r>
              <w:rPr>
                <w:rFonts w:hint="eastAsia"/>
                <w:u w:val="none"/>
              </w:rPr>
              <w:t>▉农用地优先保护区</w:t>
            </w:r>
          </w:p>
        </w:tc>
        <w:tc>
          <w:tcPr>
            <w:tcW w:w="1261" w:type="pct"/>
            <w:vAlign w:val="center"/>
          </w:tcPr>
          <w:p w14:paraId="56F404EF">
            <w:pPr>
              <w:pStyle w:val="31"/>
              <w:rPr>
                <w:rFonts w:hint="eastAsia" w:eastAsia="宋体"/>
                <w:u w:val="none"/>
                <w:lang w:val="en-US" w:eastAsia="zh-CN"/>
              </w:rPr>
            </w:pPr>
            <w:r>
              <w:rPr>
                <w:rFonts w:hint="eastAsia"/>
                <w:u w:val="none"/>
                <w:lang w:val="en-US" w:eastAsia="zh-CN"/>
              </w:rPr>
              <w:t>/</w:t>
            </w:r>
          </w:p>
        </w:tc>
        <w:tc>
          <w:tcPr>
            <w:tcW w:w="257" w:type="pct"/>
            <w:vAlign w:val="center"/>
          </w:tcPr>
          <w:p w14:paraId="6A6E2C5F">
            <w:pPr>
              <w:pStyle w:val="31"/>
              <w:rPr>
                <w:u w:val="none"/>
              </w:rPr>
            </w:pPr>
            <w:r>
              <w:rPr>
                <w:u w:val="none"/>
              </w:rPr>
              <w:t>符合</w:t>
            </w:r>
          </w:p>
        </w:tc>
      </w:tr>
      <w:tr w14:paraId="47A3C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3A19D458">
            <w:pPr>
              <w:pStyle w:val="31"/>
              <w:rPr>
                <w:u w:val="none"/>
              </w:rPr>
            </w:pPr>
            <w:r>
              <w:rPr>
                <w:rFonts w:hint="eastAsia"/>
                <w:u w:val="none"/>
              </w:rPr>
              <w:t>2</w:t>
            </w:r>
          </w:p>
        </w:tc>
        <w:tc>
          <w:tcPr>
            <w:tcW w:w="424" w:type="pct"/>
            <w:vAlign w:val="center"/>
          </w:tcPr>
          <w:p w14:paraId="0BF3FA08">
            <w:pPr>
              <w:pStyle w:val="31"/>
              <w:rPr>
                <w:u w:val="none"/>
              </w:rPr>
            </w:pPr>
            <w:r>
              <w:rPr>
                <w:rFonts w:hint="eastAsia"/>
                <w:u w:val="none"/>
              </w:rPr>
              <w:t>主要环境问题和重要敏感目标</w:t>
            </w:r>
          </w:p>
        </w:tc>
        <w:tc>
          <w:tcPr>
            <w:tcW w:w="2802" w:type="pct"/>
            <w:vAlign w:val="center"/>
          </w:tcPr>
          <w:p w14:paraId="194A945F">
            <w:pPr>
              <w:pStyle w:val="31"/>
              <w:jc w:val="both"/>
              <w:rPr>
                <w:rFonts w:hint="eastAsia"/>
                <w:u w:val="none"/>
              </w:rPr>
            </w:pPr>
            <w:r>
              <w:rPr>
                <w:rFonts w:hint="eastAsia"/>
                <w:u w:val="none"/>
              </w:rPr>
              <w:t>1、乡镇生活污水管网建设不完善；</w:t>
            </w:r>
          </w:p>
          <w:p w14:paraId="0B63BAF0">
            <w:pPr>
              <w:pStyle w:val="31"/>
              <w:jc w:val="both"/>
              <w:rPr>
                <w:u w:val="none"/>
              </w:rPr>
            </w:pPr>
            <w:r>
              <w:rPr>
                <w:rFonts w:hint="eastAsia"/>
                <w:u w:val="none"/>
                <w:lang w:val="en-US" w:eastAsia="zh-CN"/>
              </w:rPr>
              <w:t>2、</w:t>
            </w:r>
            <w:r>
              <w:rPr>
                <w:rFonts w:hint="eastAsia"/>
                <w:u w:val="none"/>
              </w:rPr>
              <w:t>三樟镇、石湾镇湘江饮用水水源保护区</w:t>
            </w:r>
          </w:p>
        </w:tc>
        <w:tc>
          <w:tcPr>
            <w:tcW w:w="1261" w:type="pct"/>
            <w:vAlign w:val="center"/>
          </w:tcPr>
          <w:p w14:paraId="06790445">
            <w:pPr>
              <w:pStyle w:val="31"/>
              <w:rPr>
                <w:rFonts w:hint="eastAsia" w:eastAsia="宋体"/>
                <w:u w:val="none"/>
                <w:lang w:val="en-US" w:eastAsia="zh-CN"/>
              </w:rPr>
            </w:pPr>
            <w:r>
              <w:rPr>
                <w:rFonts w:hint="eastAsia"/>
                <w:u w:val="none"/>
                <w:lang w:val="en-US" w:eastAsia="zh-CN"/>
              </w:rPr>
              <w:t>/</w:t>
            </w:r>
          </w:p>
        </w:tc>
        <w:tc>
          <w:tcPr>
            <w:tcW w:w="257" w:type="pct"/>
            <w:vAlign w:val="center"/>
          </w:tcPr>
          <w:p w14:paraId="6BA5831C">
            <w:pPr>
              <w:pStyle w:val="31"/>
              <w:rPr>
                <w:u w:val="none"/>
              </w:rPr>
            </w:pPr>
            <w:r>
              <w:rPr>
                <w:rFonts w:hint="eastAsia"/>
                <w:u w:val="none"/>
              </w:rPr>
              <w:t>符合</w:t>
            </w:r>
          </w:p>
        </w:tc>
      </w:tr>
      <w:tr w14:paraId="6DB0D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70ADC26A">
            <w:pPr>
              <w:pStyle w:val="31"/>
              <w:rPr>
                <w:u w:val="none"/>
              </w:rPr>
            </w:pPr>
            <w:r>
              <w:rPr>
                <w:u w:val="none"/>
              </w:rPr>
              <w:t>2</w:t>
            </w:r>
          </w:p>
        </w:tc>
        <w:tc>
          <w:tcPr>
            <w:tcW w:w="424" w:type="pct"/>
            <w:vAlign w:val="center"/>
          </w:tcPr>
          <w:p w14:paraId="5508488E">
            <w:pPr>
              <w:pStyle w:val="31"/>
              <w:rPr>
                <w:u w:val="none"/>
              </w:rPr>
            </w:pPr>
            <w:r>
              <w:rPr>
                <w:u w:val="none"/>
              </w:rPr>
              <w:t>空间布局约束</w:t>
            </w:r>
          </w:p>
        </w:tc>
        <w:tc>
          <w:tcPr>
            <w:tcW w:w="2802" w:type="pct"/>
            <w:vAlign w:val="center"/>
          </w:tcPr>
          <w:p w14:paraId="70BB08CA">
            <w:pPr>
              <w:pStyle w:val="31"/>
              <w:jc w:val="left"/>
              <w:rPr>
                <w:rFonts w:hint="eastAsia"/>
                <w:u w:val="none"/>
              </w:rPr>
            </w:pPr>
            <w:r>
              <w:rPr>
                <w:rFonts w:hint="eastAsia"/>
                <w:u w:val="none"/>
              </w:rPr>
              <w:t>（1.1）区域养殖业按划定的禁养区、限养区、适养区实施分类管理。</w:t>
            </w:r>
          </w:p>
          <w:p w14:paraId="74B0D8D3">
            <w:pPr>
              <w:pStyle w:val="31"/>
              <w:jc w:val="left"/>
              <w:rPr>
                <w:rFonts w:hint="eastAsia"/>
                <w:u w:val="none"/>
              </w:rPr>
            </w:pPr>
            <w:r>
              <w:rPr>
                <w:rFonts w:hint="eastAsia"/>
                <w:u w:val="none"/>
              </w:rPr>
              <w:t>（1.2）促进产业绿色转型升级，坚决遏制高耗能、高排放、低水平项目盲目发展，开展传统产业集群升级改造。</w:t>
            </w:r>
          </w:p>
          <w:p w14:paraId="39577E3E">
            <w:pPr>
              <w:pStyle w:val="31"/>
              <w:jc w:val="left"/>
              <w:rPr>
                <w:u w:val="none"/>
              </w:rPr>
            </w:pPr>
            <w:r>
              <w:rPr>
                <w:rFonts w:hint="eastAsia"/>
                <w:u w:val="none"/>
              </w:rPr>
              <w:t>（1.3）饮用水源保护区按《湖南省饮用水水源保护条例》等要求管理；</w:t>
            </w:r>
          </w:p>
        </w:tc>
        <w:tc>
          <w:tcPr>
            <w:tcW w:w="1261" w:type="pct"/>
            <w:vAlign w:val="center"/>
          </w:tcPr>
          <w:p w14:paraId="5F23C864">
            <w:pPr>
              <w:pStyle w:val="31"/>
              <w:jc w:val="both"/>
              <w:rPr>
                <w:rFonts w:hint="eastAsia"/>
                <w:u w:val="none"/>
                <w:lang w:val="en-US" w:eastAsia="zh-CN"/>
              </w:rPr>
            </w:pPr>
            <w:r>
              <w:rPr>
                <w:rFonts w:hint="eastAsia"/>
                <w:u w:val="none"/>
                <w:lang w:eastAsia="zh-CN"/>
              </w:rPr>
              <w:t>（</w:t>
            </w:r>
            <w:r>
              <w:rPr>
                <w:rFonts w:hint="eastAsia"/>
                <w:u w:val="none"/>
                <w:lang w:val="en-US" w:eastAsia="zh-CN"/>
              </w:rPr>
              <w:t>1.1</w:t>
            </w:r>
            <w:r>
              <w:rPr>
                <w:rFonts w:hint="eastAsia"/>
                <w:u w:val="none"/>
                <w:lang w:eastAsia="zh-CN"/>
              </w:rPr>
              <w:t>）</w:t>
            </w:r>
            <w:r>
              <w:rPr>
                <w:rFonts w:hint="eastAsia"/>
                <w:u w:val="none"/>
                <w:lang w:val="en-US" w:eastAsia="zh-CN"/>
              </w:rPr>
              <w:t>本项目不属于养殖业；</w:t>
            </w:r>
          </w:p>
          <w:p w14:paraId="6E8E450F">
            <w:pPr>
              <w:pStyle w:val="31"/>
              <w:jc w:val="both"/>
              <w:rPr>
                <w:rFonts w:hint="eastAsia"/>
                <w:u w:val="none"/>
                <w:lang w:val="en-US" w:eastAsia="zh-CN"/>
              </w:rPr>
            </w:pPr>
            <w:r>
              <w:rPr>
                <w:rFonts w:hint="eastAsia"/>
                <w:u w:val="none"/>
                <w:lang w:val="en-US" w:eastAsia="zh-CN"/>
              </w:rPr>
              <w:t>（1.2）本项目不属于高耗能、高排放、低水平项目；</w:t>
            </w:r>
          </w:p>
          <w:p w14:paraId="4644ACA2">
            <w:pPr>
              <w:pStyle w:val="31"/>
              <w:jc w:val="both"/>
              <w:rPr>
                <w:rFonts w:hint="default"/>
                <w:u w:val="none"/>
                <w:lang w:val="en-US" w:eastAsia="zh-CN"/>
              </w:rPr>
            </w:pPr>
            <w:r>
              <w:rPr>
                <w:rFonts w:hint="eastAsia"/>
                <w:u w:val="none"/>
                <w:lang w:val="en-US" w:eastAsia="zh-CN"/>
              </w:rPr>
              <w:t>（1.3）本项目所在河段不属于饮用水水源保护区；</w:t>
            </w:r>
          </w:p>
        </w:tc>
        <w:tc>
          <w:tcPr>
            <w:tcW w:w="257" w:type="pct"/>
            <w:vAlign w:val="center"/>
          </w:tcPr>
          <w:p w14:paraId="7ACB8B6D">
            <w:pPr>
              <w:pStyle w:val="31"/>
              <w:rPr>
                <w:u w:val="none"/>
              </w:rPr>
            </w:pPr>
            <w:r>
              <w:rPr>
                <w:u w:val="none"/>
              </w:rPr>
              <w:t>符合</w:t>
            </w:r>
          </w:p>
        </w:tc>
      </w:tr>
      <w:tr w14:paraId="33DED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3384925C">
            <w:pPr>
              <w:pStyle w:val="31"/>
              <w:rPr>
                <w:u w:val="none"/>
              </w:rPr>
            </w:pPr>
            <w:r>
              <w:rPr>
                <w:u w:val="none"/>
              </w:rPr>
              <w:t>3</w:t>
            </w:r>
          </w:p>
        </w:tc>
        <w:tc>
          <w:tcPr>
            <w:tcW w:w="424" w:type="pct"/>
            <w:vAlign w:val="center"/>
          </w:tcPr>
          <w:p w14:paraId="7FEF9E46">
            <w:pPr>
              <w:pStyle w:val="31"/>
              <w:rPr>
                <w:u w:val="none"/>
              </w:rPr>
            </w:pPr>
            <w:r>
              <w:rPr>
                <w:u w:val="none"/>
              </w:rPr>
              <w:t>污染物排放管控</w:t>
            </w:r>
          </w:p>
        </w:tc>
        <w:tc>
          <w:tcPr>
            <w:tcW w:w="2802" w:type="pct"/>
            <w:vAlign w:val="center"/>
          </w:tcPr>
          <w:p w14:paraId="0D05CBED">
            <w:pPr>
              <w:pStyle w:val="31"/>
              <w:jc w:val="left"/>
              <w:rPr>
                <w:rFonts w:hint="eastAsia"/>
                <w:u w:val="none"/>
              </w:rPr>
            </w:pPr>
            <w:r>
              <w:rPr>
                <w:rFonts w:hint="eastAsia"/>
                <w:u w:val="none"/>
              </w:rPr>
              <w:t>（2.1）扎实推进城镇污水垃圾处理和工业、农业面源、船舶交通、尾矿库等污染治理工程。推进污水收集管网排查整治，推进垃圾分类投放、收集、运输和处理系统建设。推进化肥农药减量增效，开展农业面源污染监测，推广应用生物防治等绿色防控技术。</w:t>
            </w:r>
          </w:p>
          <w:p w14:paraId="36DEB574">
            <w:pPr>
              <w:pStyle w:val="31"/>
              <w:jc w:val="left"/>
              <w:rPr>
                <w:rFonts w:hint="eastAsia"/>
                <w:u w:val="none"/>
              </w:rPr>
            </w:pPr>
            <w:r>
              <w:rPr>
                <w:rFonts w:hint="eastAsia"/>
                <w:u w:val="none"/>
              </w:rPr>
              <w:t>（2.2）加快推进含VOCs原辅材料源头替代，实施清洁能源替代，强化化工、工业涂装、包装印刷等重点行业及油品储运销VOCs深度治理，加大锅炉、移动源氮氧化物减排力度。严格落实建筑工地、餐饮油烟、秸秆焚烧等污染防治措施，继续实施特定区域烟花爆竹禁燃禁放，全力抓好任务措施实施及落地见效，有效削减各类大气污染物排放。</w:t>
            </w:r>
          </w:p>
          <w:p w14:paraId="73D80D18">
            <w:pPr>
              <w:pStyle w:val="31"/>
              <w:jc w:val="left"/>
              <w:rPr>
                <w:u w:val="none"/>
              </w:rPr>
            </w:pPr>
            <w:r>
              <w:rPr>
                <w:rFonts w:hint="eastAsia"/>
                <w:u w:val="none"/>
              </w:rPr>
              <w:t>（2.3）统筹推进农村生活垃圾分类收集、处置体系建设，强化日常监督和检查，提升运行管理水平；加快推进农村生活垃圾源头分类减量，减少垃圾出村量。</w:t>
            </w:r>
          </w:p>
        </w:tc>
        <w:tc>
          <w:tcPr>
            <w:tcW w:w="1261" w:type="pct"/>
            <w:vAlign w:val="center"/>
          </w:tcPr>
          <w:p w14:paraId="427B4961">
            <w:pPr>
              <w:pStyle w:val="31"/>
              <w:jc w:val="both"/>
              <w:rPr>
                <w:rFonts w:hint="eastAsia"/>
                <w:u w:val="none"/>
                <w:lang w:val="en-US" w:eastAsia="zh-CN"/>
              </w:rPr>
            </w:pPr>
            <w:r>
              <w:rPr>
                <w:rFonts w:hint="eastAsia"/>
                <w:u w:val="none"/>
                <w:lang w:eastAsia="zh-CN"/>
              </w:rPr>
              <w:t>（</w:t>
            </w:r>
            <w:r>
              <w:rPr>
                <w:rFonts w:hint="eastAsia"/>
                <w:u w:val="none"/>
                <w:lang w:val="en-US" w:eastAsia="zh-CN"/>
              </w:rPr>
              <w:t>2.1</w:t>
            </w:r>
            <w:r>
              <w:rPr>
                <w:rFonts w:hint="eastAsia"/>
                <w:u w:val="none"/>
                <w:lang w:eastAsia="zh-CN"/>
              </w:rPr>
              <w:t>）</w:t>
            </w:r>
            <w:r>
              <w:rPr>
                <w:rFonts w:hint="eastAsia"/>
                <w:u w:val="none"/>
                <w:lang w:val="en-US" w:eastAsia="zh-CN"/>
              </w:rPr>
              <w:t>本项目生产废水、初期雨水等经过处理后，部分回用，不能回用部分通过罐车运输至三樟镇污水处理厂深度处理，生活污水经化粪池处理后定期清掏用于周边农田施肥；</w:t>
            </w:r>
          </w:p>
          <w:p w14:paraId="3AB890D3">
            <w:pPr>
              <w:pStyle w:val="31"/>
              <w:jc w:val="both"/>
              <w:rPr>
                <w:rFonts w:hint="eastAsia"/>
                <w:u w:val="none"/>
                <w:lang w:val="en-US" w:eastAsia="zh-CN"/>
              </w:rPr>
            </w:pPr>
            <w:r>
              <w:rPr>
                <w:rFonts w:hint="eastAsia"/>
                <w:u w:val="none"/>
                <w:lang w:val="en-US" w:eastAsia="zh-CN"/>
              </w:rPr>
              <w:t>（2.2）本项目为船舶拆解项目，不涉及VOCs原料使用，抽油工序产生少量VOCs无组织排放；切割等粉尘通过移动式烟尘净化器降低无组织排放；</w:t>
            </w:r>
          </w:p>
          <w:p w14:paraId="0C8C0613">
            <w:pPr>
              <w:pStyle w:val="31"/>
              <w:jc w:val="both"/>
              <w:rPr>
                <w:rFonts w:hint="default"/>
                <w:u w:val="none"/>
                <w:lang w:val="en-US" w:eastAsia="zh-CN"/>
              </w:rPr>
            </w:pPr>
            <w:r>
              <w:rPr>
                <w:rFonts w:hint="eastAsia"/>
                <w:u w:val="none"/>
                <w:lang w:val="en-US" w:eastAsia="zh-CN"/>
              </w:rPr>
              <w:t>（2.3）本项目拆解产物分类收集贮存后，委托其他单位进行二次拆解利用，本项目不尽兴深度拆解；危险废物委托有资质单位处置；生活垃圾委托环卫部门处置。</w:t>
            </w:r>
          </w:p>
        </w:tc>
        <w:tc>
          <w:tcPr>
            <w:tcW w:w="257" w:type="pct"/>
            <w:vAlign w:val="center"/>
          </w:tcPr>
          <w:p w14:paraId="0EBAEB3A">
            <w:pPr>
              <w:pStyle w:val="31"/>
              <w:rPr>
                <w:u w:val="none"/>
              </w:rPr>
            </w:pPr>
            <w:r>
              <w:rPr>
                <w:u w:val="none"/>
              </w:rPr>
              <w:t>符合</w:t>
            </w:r>
          </w:p>
        </w:tc>
      </w:tr>
      <w:tr w14:paraId="7F9C2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0664E7FD">
            <w:pPr>
              <w:pStyle w:val="31"/>
              <w:rPr>
                <w:u w:val="none"/>
              </w:rPr>
            </w:pPr>
            <w:r>
              <w:rPr>
                <w:u w:val="none"/>
              </w:rPr>
              <w:t>4</w:t>
            </w:r>
          </w:p>
        </w:tc>
        <w:tc>
          <w:tcPr>
            <w:tcW w:w="424" w:type="pct"/>
            <w:vAlign w:val="center"/>
          </w:tcPr>
          <w:p w14:paraId="68248C81">
            <w:pPr>
              <w:pStyle w:val="31"/>
              <w:rPr>
                <w:u w:val="none"/>
              </w:rPr>
            </w:pPr>
            <w:r>
              <w:rPr>
                <w:u w:val="none"/>
              </w:rPr>
              <w:t>环境风险防控</w:t>
            </w:r>
          </w:p>
        </w:tc>
        <w:tc>
          <w:tcPr>
            <w:tcW w:w="2802" w:type="pct"/>
            <w:vAlign w:val="center"/>
          </w:tcPr>
          <w:p w14:paraId="2A1365FB">
            <w:pPr>
              <w:pStyle w:val="31"/>
              <w:jc w:val="left"/>
              <w:rPr>
                <w:rFonts w:hint="eastAsia"/>
                <w:u w:val="none"/>
              </w:rPr>
            </w:pPr>
            <w:r>
              <w:rPr>
                <w:rFonts w:hint="eastAsia"/>
                <w:u w:val="none"/>
              </w:rPr>
              <w:t>（3.1）对重点领域、重点行业、重点区域全面开展生态环境风险隐患排查，分类建立环境风险隐患清单；制定风险隐患问题整改措施，区分风险等级，实行台账管理，加强动态评估和监测预警。严格整改销号，全面消除环境风险隐患。</w:t>
            </w:r>
          </w:p>
          <w:p w14:paraId="75327996">
            <w:pPr>
              <w:pStyle w:val="31"/>
              <w:jc w:val="left"/>
              <w:rPr>
                <w:u w:val="none"/>
              </w:rPr>
            </w:pPr>
            <w:r>
              <w:rPr>
                <w:rFonts w:hint="eastAsia"/>
                <w:u w:val="none"/>
              </w:rPr>
              <w:t>（3.2）严格土壤污染重点监管单位和沿江化工企业搬迁腾退用地土壤污染风险管控。</w:t>
            </w:r>
          </w:p>
        </w:tc>
        <w:tc>
          <w:tcPr>
            <w:tcW w:w="1261" w:type="pct"/>
            <w:vAlign w:val="center"/>
          </w:tcPr>
          <w:p w14:paraId="2C6F78B0">
            <w:pPr>
              <w:pStyle w:val="31"/>
              <w:jc w:val="both"/>
              <w:rPr>
                <w:rFonts w:hint="default"/>
                <w:u w:val="none"/>
                <w:lang w:val="en-US" w:eastAsia="zh-CN"/>
              </w:rPr>
            </w:pPr>
            <w:r>
              <w:rPr>
                <w:rFonts w:hint="eastAsia"/>
                <w:u w:val="none"/>
                <w:lang w:eastAsia="zh-CN"/>
              </w:rPr>
              <w:t>（</w:t>
            </w:r>
            <w:r>
              <w:rPr>
                <w:rFonts w:hint="eastAsia"/>
                <w:u w:val="none"/>
                <w:lang w:val="en-US" w:eastAsia="zh-CN"/>
              </w:rPr>
              <w:t>3.1</w:t>
            </w:r>
            <w:r>
              <w:rPr>
                <w:rFonts w:hint="eastAsia"/>
                <w:u w:val="none"/>
                <w:lang w:eastAsia="zh-CN"/>
              </w:rPr>
              <w:t>）</w:t>
            </w:r>
            <w:r>
              <w:rPr>
                <w:rFonts w:hint="eastAsia"/>
                <w:u w:val="none"/>
                <w:lang w:val="en-US" w:eastAsia="zh-CN"/>
              </w:rPr>
              <w:t>本次环评提出了项目环境风险防范措施，并要求建设单位在正式投运前编制突发环境事件应急预案并备案。</w:t>
            </w:r>
          </w:p>
          <w:p w14:paraId="55F23FB2">
            <w:pPr>
              <w:pStyle w:val="31"/>
              <w:jc w:val="both"/>
              <w:rPr>
                <w:rFonts w:hint="default"/>
                <w:u w:val="none"/>
                <w:lang w:val="en-US" w:eastAsia="zh-CN"/>
              </w:rPr>
            </w:pPr>
            <w:r>
              <w:rPr>
                <w:rFonts w:hint="eastAsia"/>
                <w:u w:val="none"/>
                <w:lang w:eastAsia="zh-CN"/>
              </w:rPr>
              <w:t>（</w:t>
            </w:r>
            <w:r>
              <w:rPr>
                <w:rFonts w:hint="eastAsia"/>
                <w:u w:val="none"/>
                <w:lang w:val="en-US" w:eastAsia="zh-CN"/>
              </w:rPr>
              <w:t>3.2</w:t>
            </w:r>
            <w:r>
              <w:rPr>
                <w:rFonts w:hint="eastAsia"/>
                <w:u w:val="none"/>
                <w:lang w:eastAsia="zh-CN"/>
              </w:rPr>
              <w:t>）</w:t>
            </w:r>
            <w:r>
              <w:rPr>
                <w:rFonts w:hint="eastAsia"/>
                <w:u w:val="none"/>
                <w:lang w:val="en-US" w:eastAsia="zh-CN"/>
              </w:rPr>
              <w:t>本项目不属于化工项目，建设单位不属于土壤污染重点监管单位。</w:t>
            </w:r>
          </w:p>
        </w:tc>
        <w:tc>
          <w:tcPr>
            <w:tcW w:w="257" w:type="pct"/>
            <w:vAlign w:val="center"/>
          </w:tcPr>
          <w:p w14:paraId="4B75C1E4">
            <w:pPr>
              <w:pStyle w:val="31"/>
              <w:rPr>
                <w:u w:val="none"/>
              </w:rPr>
            </w:pPr>
            <w:r>
              <w:rPr>
                <w:u w:val="none"/>
              </w:rPr>
              <w:t>符合</w:t>
            </w:r>
          </w:p>
        </w:tc>
      </w:tr>
      <w:tr w14:paraId="6ECA9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Align w:val="center"/>
          </w:tcPr>
          <w:p w14:paraId="255F7C4D">
            <w:pPr>
              <w:pStyle w:val="31"/>
              <w:rPr>
                <w:u w:val="none"/>
              </w:rPr>
            </w:pPr>
            <w:r>
              <w:rPr>
                <w:u w:val="none"/>
              </w:rPr>
              <w:t>5</w:t>
            </w:r>
          </w:p>
        </w:tc>
        <w:tc>
          <w:tcPr>
            <w:tcW w:w="424" w:type="pct"/>
            <w:vAlign w:val="center"/>
          </w:tcPr>
          <w:p w14:paraId="5B306193">
            <w:pPr>
              <w:pStyle w:val="31"/>
              <w:rPr>
                <w:u w:val="none"/>
              </w:rPr>
            </w:pPr>
            <w:r>
              <w:rPr>
                <w:u w:val="none"/>
              </w:rPr>
              <w:t>资源开发效率要求</w:t>
            </w:r>
          </w:p>
        </w:tc>
        <w:tc>
          <w:tcPr>
            <w:tcW w:w="2802" w:type="pct"/>
            <w:vAlign w:val="center"/>
          </w:tcPr>
          <w:p w14:paraId="392165B0">
            <w:pPr>
              <w:pStyle w:val="31"/>
              <w:jc w:val="left"/>
              <w:rPr>
                <w:rFonts w:hint="eastAsia"/>
                <w:u w:val="none"/>
              </w:rPr>
            </w:pPr>
            <w:r>
              <w:rPr>
                <w:rFonts w:hint="eastAsia"/>
                <w:u w:val="none"/>
              </w:rPr>
              <w:t>（4.1）能源：鼓励企业使用清洁能源，营造全社会节能减排和保护环境的良好氛围。激发用户侧可再生能源电力需求，鼓励用户绿色出行。</w:t>
            </w:r>
          </w:p>
          <w:p w14:paraId="55564FF6">
            <w:pPr>
              <w:pStyle w:val="31"/>
              <w:jc w:val="left"/>
              <w:rPr>
                <w:u w:val="none"/>
              </w:rPr>
            </w:pPr>
            <w:r>
              <w:rPr>
                <w:rFonts w:hint="eastAsia"/>
                <w:u w:val="none"/>
              </w:rPr>
              <w:t>（4.2）水资源：落实水资源消耗总量和强度双控行动，推动经济社会发展布局与水资源承载能力相适应。</w:t>
            </w:r>
          </w:p>
        </w:tc>
        <w:tc>
          <w:tcPr>
            <w:tcW w:w="1261" w:type="pct"/>
            <w:vAlign w:val="center"/>
          </w:tcPr>
          <w:p w14:paraId="6B466422">
            <w:pPr>
              <w:pStyle w:val="31"/>
              <w:jc w:val="both"/>
              <w:rPr>
                <w:rFonts w:hint="eastAsia"/>
                <w:u w:val="none"/>
                <w:lang w:val="en-US" w:eastAsia="zh-CN"/>
              </w:rPr>
            </w:pPr>
            <w:r>
              <w:rPr>
                <w:rFonts w:hint="eastAsia"/>
                <w:u w:val="none"/>
                <w:lang w:eastAsia="zh-CN"/>
              </w:rPr>
              <w:t>（</w:t>
            </w:r>
            <w:r>
              <w:rPr>
                <w:rFonts w:hint="eastAsia"/>
                <w:u w:val="none"/>
                <w:lang w:val="en-US" w:eastAsia="zh-CN"/>
              </w:rPr>
              <w:t>4.1</w:t>
            </w:r>
            <w:r>
              <w:rPr>
                <w:rFonts w:hint="eastAsia"/>
                <w:u w:val="none"/>
                <w:lang w:eastAsia="zh-CN"/>
              </w:rPr>
              <w:t>）</w:t>
            </w:r>
            <w:r>
              <w:rPr>
                <w:rFonts w:hint="eastAsia"/>
                <w:u w:val="none"/>
                <w:lang w:val="en-US" w:eastAsia="zh-CN"/>
              </w:rPr>
              <w:t>本项目主要使用电能，属于清洁能源；</w:t>
            </w:r>
          </w:p>
          <w:p w14:paraId="23991FB9">
            <w:pPr>
              <w:pStyle w:val="31"/>
              <w:jc w:val="both"/>
              <w:rPr>
                <w:rFonts w:hint="default"/>
                <w:u w:val="none"/>
                <w:lang w:val="en-US" w:eastAsia="zh-CN"/>
              </w:rPr>
            </w:pPr>
            <w:r>
              <w:rPr>
                <w:rFonts w:hint="eastAsia"/>
                <w:u w:val="none"/>
                <w:lang w:val="en-US" w:eastAsia="zh-CN"/>
              </w:rPr>
              <w:t>（4.2）本项目用水量较少，且废水经处理后循环使用。</w:t>
            </w:r>
          </w:p>
        </w:tc>
        <w:tc>
          <w:tcPr>
            <w:tcW w:w="257" w:type="pct"/>
            <w:vAlign w:val="center"/>
          </w:tcPr>
          <w:p w14:paraId="067C6F68">
            <w:pPr>
              <w:pStyle w:val="31"/>
              <w:rPr>
                <w:u w:val="none"/>
              </w:rPr>
            </w:pPr>
            <w:r>
              <w:rPr>
                <w:u w:val="none"/>
              </w:rPr>
              <w:t>符合</w:t>
            </w:r>
          </w:p>
        </w:tc>
      </w:tr>
    </w:tbl>
    <w:p w14:paraId="6778F58C">
      <w:pPr>
        <w:pStyle w:val="33"/>
      </w:pPr>
      <w:bookmarkStart w:id="16" w:name="_Toc13629"/>
      <w:bookmarkStart w:id="17" w:name="_Toc16999"/>
      <w:r>
        <w:rPr>
          <w:rFonts w:hint="eastAsia"/>
        </w:rPr>
        <w:t>1.4.</w:t>
      </w:r>
      <w:r>
        <w:rPr>
          <w:rFonts w:hint="eastAsia"/>
          <w:lang w:val="en-US" w:eastAsia="zh-CN"/>
        </w:rPr>
        <w:t>7</w:t>
      </w:r>
      <w:r>
        <w:rPr>
          <w:rFonts w:hint="eastAsia"/>
        </w:rPr>
        <w:t>与《湖南省大气污染防治“守护蓝天”攻坚行动计划（2023—2025 年）》（湘政办发[2023]34号）相符性分析</w:t>
      </w:r>
      <w:bookmarkEnd w:id="16"/>
      <w:bookmarkEnd w:id="17"/>
    </w:p>
    <w:p w14:paraId="7A664B91">
      <w:pPr>
        <w:pStyle w:val="21"/>
        <w:bidi w:val="0"/>
        <w:rPr>
          <w:rFonts w:hint="eastAsia" w:cs="Times New Roman"/>
          <w:bCs/>
        </w:rPr>
      </w:pPr>
      <w:r>
        <w:rPr>
          <w:rFonts w:hint="eastAsia" w:cs="Times New Roman"/>
          <w:bCs/>
        </w:rPr>
        <w:t>本项目与</w:t>
      </w:r>
      <w:r>
        <w:rPr>
          <w:rFonts w:cs="Times New Roman"/>
          <w:bCs/>
        </w:rPr>
        <w:t>《湖南省大气污染防治</w:t>
      </w:r>
      <w:r>
        <w:rPr>
          <w:rFonts w:ascii="Times New Roman" w:hAnsi="Times New Roman" w:cs="Times New Roman"/>
          <w:bCs/>
        </w:rPr>
        <w:t>“</w:t>
      </w:r>
      <w:r>
        <w:rPr>
          <w:rFonts w:cs="Times New Roman"/>
          <w:bCs/>
        </w:rPr>
        <w:t>守护蓝天</w:t>
      </w:r>
      <w:r>
        <w:rPr>
          <w:rFonts w:ascii="Times New Roman" w:hAnsi="Times New Roman" w:cs="Times New Roman"/>
          <w:bCs/>
        </w:rPr>
        <w:t>”</w:t>
      </w:r>
      <w:r>
        <w:rPr>
          <w:rFonts w:cs="Times New Roman"/>
          <w:bCs/>
        </w:rPr>
        <w:t>攻坚行动计划（</w:t>
      </w:r>
      <w:r>
        <w:rPr>
          <w:rFonts w:ascii="Times New Roman" w:hAnsi="Times New Roman" w:cs="Times New Roman"/>
          <w:bCs/>
        </w:rPr>
        <w:t xml:space="preserve">2023—2025 </w:t>
      </w:r>
      <w:r>
        <w:rPr>
          <w:rFonts w:cs="Times New Roman"/>
          <w:bCs/>
        </w:rPr>
        <w:t>年）》</w:t>
      </w:r>
      <w:r>
        <w:rPr>
          <w:rFonts w:hint="eastAsia" w:cs="Times New Roman"/>
          <w:bCs/>
        </w:rPr>
        <w:t>中相关要求符合性分析见下表。</w:t>
      </w:r>
    </w:p>
    <w:p w14:paraId="76520C4A">
      <w:pPr>
        <w:pStyle w:val="23"/>
        <w:rPr>
          <w:kern w:val="0"/>
        </w:rPr>
      </w:pPr>
      <w:r>
        <w:t>表</w:t>
      </w:r>
      <w:r>
        <w:rPr>
          <w:rFonts w:hint="eastAsia"/>
        </w:rPr>
        <w:t>1-5</w:t>
      </w:r>
      <w:r>
        <w:t xml:space="preserve"> 与《湖南省大气污染防治“守护蓝天”攻坚行动计划（2023—2025 年）》相符性分析一览表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1024"/>
        <w:gridCol w:w="3948"/>
        <w:gridCol w:w="1917"/>
        <w:gridCol w:w="947"/>
      </w:tblGrid>
      <w:tr w14:paraId="2C19F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44AE5FAE">
            <w:pPr>
              <w:pStyle w:val="31"/>
            </w:pPr>
            <w:r>
              <w:t>序号</w:t>
            </w:r>
          </w:p>
        </w:tc>
        <w:tc>
          <w:tcPr>
            <w:tcW w:w="2918" w:type="pct"/>
            <w:gridSpan w:val="2"/>
            <w:tcBorders>
              <w:tl2br w:val="nil"/>
              <w:tr2bl w:val="nil"/>
            </w:tcBorders>
            <w:vAlign w:val="center"/>
          </w:tcPr>
          <w:p w14:paraId="70996628">
            <w:pPr>
              <w:pStyle w:val="31"/>
            </w:pPr>
            <w:r>
              <w:t>相关要求</w:t>
            </w:r>
          </w:p>
        </w:tc>
        <w:tc>
          <w:tcPr>
            <w:tcW w:w="1125" w:type="pct"/>
            <w:tcBorders>
              <w:tl2br w:val="nil"/>
              <w:tr2bl w:val="nil"/>
            </w:tcBorders>
            <w:vAlign w:val="center"/>
          </w:tcPr>
          <w:p w14:paraId="47F10577">
            <w:pPr>
              <w:pStyle w:val="31"/>
            </w:pPr>
            <w:r>
              <w:t>本项目情况</w:t>
            </w:r>
          </w:p>
        </w:tc>
        <w:tc>
          <w:tcPr>
            <w:tcW w:w="556" w:type="pct"/>
            <w:tcBorders>
              <w:tl2br w:val="nil"/>
              <w:tr2bl w:val="nil"/>
            </w:tcBorders>
            <w:vAlign w:val="center"/>
          </w:tcPr>
          <w:p w14:paraId="046B86AB">
            <w:pPr>
              <w:pStyle w:val="31"/>
            </w:pPr>
            <w:r>
              <w:t>符合性</w:t>
            </w:r>
          </w:p>
        </w:tc>
      </w:tr>
      <w:tr w14:paraId="6F79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7B6BCB62">
            <w:pPr>
              <w:pStyle w:val="31"/>
            </w:pPr>
            <w:r>
              <w:t>1</w:t>
            </w:r>
          </w:p>
        </w:tc>
        <w:tc>
          <w:tcPr>
            <w:tcW w:w="601" w:type="pct"/>
            <w:vMerge w:val="restart"/>
            <w:tcBorders>
              <w:tl2br w:val="nil"/>
              <w:tr2bl w:val="nil"/>
            </w:tcBorders>
            <w:vAlign w:val="center"/>
          </w:tcPr>
          <w:p w14:paraId="71665DCB">
            <w:pPr>
              <w:pStyle w:val="31"/>
            </w:pPr>
            <w:r>
              <w:t>工业和信息化领域</w:t>
            </w:r>
          </w:p>
        </w:tc>
        <w:tc>
          <w:tcPr>
            <w:tcW w:w="2317" w:type="pct"/>
            <w:tcBorders>
              <w:tl2br w:val="nil"/>
              <w:tr2bl w:val="nil"/>
            </w:tcBorders>
            <w:vAlign w:val="center"/>
          </w:tcPr>
          <w:p w14:paraId="7F2923DC">
            <w:pPr>
              <w:pStyle w:val="31"/>
            </w:pPr>
            <w:r>
              <w:rPr>
                <w:rStyle w:val="52"/>
                <w:rFonts w:eastAsia="Times New Roman"/>
                <w:b w:val="0"/>
                <w:color w:val="333333"/>
                <w:shd w:val="clear" w:color="auto" w:fill="FFFFFF"/>
              </w:rPr>
              <w:t>1</w:t>
            </w:r>
            <w:r>
              <w:rPr>
                <w:rStyle w:val="52"/>
                <w:rFonts w:hint="eastAsia" w:ascii="宋体" w:hAnsi="宋体" w:cs="宋体"/>
                <w:b w:val="0"/>
                <w:color w:val="333333"/>
                <w:shd w:val="clear" w:color="auto" w:fill="FFFFFF"/>
              </w:rPr>
              <w:t>．优化产业结构和布局。</w:t>
            </w:r>
            <w:r>
              <w:rPr>
                <w:color w:val="333333"/>
                <w:shd w:val="clear" w:color="auto" w:fill="FFFFFF"/>
              </w:rPr>
              <w:t>严格项目准入，遏制“两高一低”项目盲目发展。落实产业规划及产业政策，严格执行重点行业产能置换办法，依法依规淘汰落后产能。优化产业链布局，开展传统产业集群排查整治，推进重点涉气企业入区入园。到2025年，按照相关政策和环保标准整合关停环境绩效水平低的砖瓦企业。</w:t>
            </w:r>
          </w:p>
        </w:tc>
        <w:tc>
          <w:tcPr>
            <w:tcW w:w="1125" w:type="pct"/>
            <w:tcBorders>
              <w:tl2br w:val="nil"/>
              <w:tr2bl w:val="nil"/>
            </w:tcBorders>
            <w:vAlign w:val="center"/>
          </w:tcPr>
          <w:p w14:paraId="6851BD82">
            <w:pPr>
              <w:pStyle w:val="31"/>
            </w:pPr>
            <w:r>
              <w:t>本项目</w:t>
            </w:r>
            <w:r>
              <w:rPr>
                <w:rFonts w:hint="eastAsia"/>
              </w:rPr>
              <w:t>不属于</w:t>
            </w:r>
            <w:r>
              <w:rPr>
                <w:color w:val="333333"/>
                <w:shd w:val="clear" w:color="auto" w:fill="FFFFFF"/>
              </w:rPr>
              <w:t>“两高一低”项目</w:t>
            </w:r>
            <w:r>
              <w:rPr>
                <w:rFonts w:hint="eastAsia"/>
                <w:color w:val="333333"/>
                <w:shd w:val="clear" w:color="auto" w:fill="FFFFFF"/>
              </w:rPr>
              <w:t>，不属于重点涉气企业，不属于砖瓦企业</w:t>
            </w:r>
          </w:p>
          <w:p w14:paraId="22E0178B">
            <w:pPr>
              <w:pStyle w:val="31"/>
            </w:pPr>
          </w:p>
        </w:tc>
        <w:tc>
          <w:tcPr>
            <w:tcW w:w="556" w:type="pct"/>
            <w:tcBorders>
              <w:tl2br w:val="nil"/>
              <w:tr2bl w:val="nil"/>
            </w:tcBorders>
            <w:vAlign w:val="center"/>
          </w:tcPr>
          <w:p w14:paraId="09F3F7E1">
            <w:pPr>
              <w:pStyle w:val="31"/>
            </w:pPr>
            <w:r>
              <w:t>符合</w:t>
            </w:r>
          </w:p>
        </w:tc>
      </w:tr>
      <w:tr w14:paraId="1992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1867FEE0">
            <w:pPr>
              <w:pStyle w:val="31"/>
            </w:pPr>
            <w:r>
              <w:t>2</w:t>
            </w:r>
          </w:p>
        </w:tc>
        <w:tc>
          <w:tcPr>
            <w:tcW w:w="0" w:type="auto"/>
            <w:vMerge w:val="continue"/>
            <w:tcBorders>
              <w:tl2br w:val="nil"/>
              <w:tr2bl w:val="nil"/>
            </w:tcBorders>
            <w:vAlign w:val="center"/>
          </w:tcPr>
          <w:p w14:paraId="68A99B08">
            <w:pPr>
              <w:pStyle w:val="31"/>
            </w:pPr>
          </w:p>
        </w:tc>
        <w:tc>
          <w:tcPr>
            <w:tcW w:w="2317" w:type="pct"/>
            <w:tcBorders>
              <w:tl2br w:val="nil"/>
              <w:tr2bl w:val="nil"/>
            </w:tcBorders>
            <w:vAlign w:val="center"/>
          </w:tcPr>
          <w:p w14:paraId="4DAD82EF">
            <w:pPr>
              <w:pStyle w:val="31"/>
            </w:pPr>
            <w:r>
              <w:rPr>
                <w:rStyle w:val="52"/>
                <w:rFonts w:eastAsia="Times New Roman"/>
                <w:b w:val="0"/>
                <w:color w:val="333333"/>
                <w:shd w:val="clear" w:color="auto" w:fill="FFFFFF"/>
              </w:rPr>
              <w:t>2</w:t>
            </w:r>
            <w:r>
              <w:rPr>
                <w:rStyle w:val="52"/>
                <w:rFonts w:hint="eastAsia" w:ascii="宋体" w:hAnsi="宋体" w:cs="宋体"/>
                <w:b w:val="0"/>
                <w:color w:val="333333"/>
                <w:shd w:val="clear" w:color="auto" w:fill="FFFFFF"/>
              </w:rPr>
              <w:t>．推动产业绿色低碳发展。</w:t>
            </w:r>
            <w:r>
              <w:rPr>
                <w:color w:val="333333"/>
                <w:shd w:val="clear" w:color="auto" w:fill="FFFFFF"/>
              </w:rPr>
              <w:t>健全节能标准体系，深入开展重点行业强制性清洁生产审核。大力推行绿色制造，推进绿色工厂、绿色园区建设。到2025年，规模以上工业单位增加值能耗降低14%，重点行业主要污染物排放强度降低10%；建成50家省级及以上绿色园区、500家绿色工厂，各市州重点行业企业全面完成一轮清洁生产审核、全省自愿性清洁生产审核通过企业1500家以上。</w:t>
            </w:r>
          </w:p>
        </w:tc>
        <w:tc>
          <w:tcPr>
            <w:tcW w:w="1125" w:type="pct"/>
            <w:tcBorders>
              <w:tl2br w:val="nil"/>
              <w:tr2bl w:val="nil"/>
            </w:tcBorders>
            <w:vAlign w:val="center"/>
          </w:tcPr>
          <w:p w14:paraId="1484DC6D">
            <w:pPr>
              <w:pStyle w:val="31"/>
            </w:pPr>
            <w:r>
              <w:t>本项目</w:t>
            </w:r>
            <w:r>
              <w:rPr>
                <w:rFonts w:hint="eastAsia"/>
              </w:rPr>
              <w:t>不属于重点行业，各污染物经收集处理后达标排放</w:t>
            </w:r>
          </w:p>
        </w:tc>
        <w:tc>
          <w:tcPr>
            <w:tcW w:w="556" w:type="pct"/>
            <w:tcBorders>
              <w:tl2br w:val="nil"/>
              <w:tr2bl w:val="nil"/>
            </w:tcBorders>
            <w:vAlign w:val="center"/>
          </w:tcPr>
          <w:p w14:paraId="4808EDA8">
            <w:pPr>
              <w:pStyle w:val="31"/>
            </w:pPr>
            <w:r>
              <w:t>符合</w:t>
            </w:r>
          </w:p>
        </w:tc>
      </w:tr>
      <w:tr w14:paraId="13C02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14BE0C9E">
            <w:pPr>
              <w:pStyle w:val="31"/>
            </w:pPr>
            <w:r>
              <w:t>3</w:t>
            </w:r>
          </w:p>
        </w:tc>
        <w:tc>
          <w:tcPr>
            <w:tcW w:w="0" w:type="auto"/>
            <w:vMerge w:val="continue"/>
            <w:tcBorders>
              <w:tl2br w:val="nil"/>
              <w:tr2bl w:val="nil"/>
            </w:tcBorders>
            <w:vAlign w:val="center"/>
          </w:tcPr>
          <w:p w14:paraId="59F6D8E5">
            <w:pPr>
              <w:pStyle w:val="31"/>
            </w:pPr>
          </w:p>
        </w:tc>
        <w:tc>
          <w:tcPr>
            <w:tcW w:w="2317" w:type="pct"/>
            <w:tcBorders>
              <w:tl2br w:val="nil"/>
              <w:tr2bl w:val="nil"/>
            </w:tcBorders>
            <w:vAlign w:val="center"/>
          </w:tcPr>
          <w:p w14:paraId="6DEBBEAD">
            <w:pPr>
              <w:pStyle w:val="31"/>
            </w:pPr>
            <w:r>
              <w:rPr>
                <w:rStyle w:val="52"/>
                <w:rFonts w:eastAsia="Times New Roman"/>
                <w:b w:val="0"/>
                <w:color w:val="333333"/>
                <w:shd w:val="clear" w:color="auto" w:fill="FFFFFF"/>
              </w:rPr>
              <w:t>3</w:t>
            </w:r>
            <w:r>
              <w:rPr>
                <w:rStyle w:val="52"/>
                <w:rFonts w:hint="eastAsia" w:ascii="宋体" w:hAnsi="宋体" w:cs="宋体"/>
                <w:b w:val="0"/>
                <w:color w:val="333333"/>
                <w:shd w:val="clear" w:color="auto" w:fill="FFFFFF"/>
              </w:rPr>
              <w:t>．加大低</w:t>
            </w:r>
            <w:r>
              <w:rPr>
                <w:rStyle w:val="52"/>
                <w:rFonts w:eastAsia="Times New Roman"/>
                <w:b w:val="0"/>
                <w:color w:val="333333"/>
                <w:shd w:val="clear" w:color="auto" w:fill="FFFFFF"/>
              </w:rPr>
              <w:t>VOCs</w:t>
            </w:r>
            <w:r>
              <w:rPr>
                <w:rStyle w:val="52"/>
                <w:rFonts w:hint="eastAsia" w:ascii="宋体" w:hAnsi="宋体" w:cs="宋体"/>
                <w:b w:val="0"/>
                <w:color w:val="333333"/>
                <w:shd w:val="clear" w:color="auto" w:fill="FFFFFF"/>
              </w:rPr>
              <w:t>原辅材料替代力度。</w:t>
            </w:r>
            <w:r>
              <w:rPr>
                <w:color w:val="333333"/>
                <w:shd w:val="clear" w:color="auto" w:fill="FFFFFF"/>
              </w:rPr>
              <w:t>建立多部门联合执法机制，加大监督检查力度，确保生产、销售、使用符合VOCs含量限值标准的产品。以工业涂装、包装印刷和胶粘剂使用等为重点，在企业清洁生产审核中明确提出低VOCs原辅材料替代要求。</w:t>
            </w:r>
          </w:p>
        </w:tc>
        <w:tc>
          <w:tcPr>
            <w:tcW w:w="1125" w:type="pct"/>
            <w:tcBorders>
              <w:tl2br w:val="nil"/>
              <w:tr2bl w:val="nil"/>
            </w:tcBorders>
            <w:vAlign w:val="center"/>
          </w:tcPr>
          <w:p w14:paraId="07FEEBDC">
            <w:pPr>
              <w:pStyle w:val="31"/>
            </w:pPr>
            <w:r>
              <w:t>本项目</w:t>
            </w:r>
            <w:r>
              <w:rPr>
                <w:rFonts w:hint="eastAsia"/>
              </w:rPr>
              <w:t>油性漆属于符合要求的低</w:t>
            </w:r>
            <w:r>
              <w:rPr>
                <w:color w:val="333333"/>
                <w:shd w:val="clear" w:color="auto" w:fill="FFFFFF"/>
              </w:rPr>
              <w:t>VOCs原辅材料</w:t>
            </w:r>
          </w:p>
        </w:tc>
        <w:tc>
          <w:tcPr>
            <w:tcW w:w="556" w:type="pct"/>
            <w:tcBorders>
              <w:tl2br w:val="nil"/>
              <w:tr2bl w:val="nil"/>
            </w:tcBorders>
            <w:vAlign w:val="center"/>
          </w:tcPr>
          <w:p w14:paraId="59AB17E2">
            <w:pPr>
              <w:pStyle w:val="31"/>
            </w:pPr>
            <w:r>
              <w:rPr>
                <w:rFonts w:hint="eastAsia"/>
              </w:rPr>
              <w:t>符合</w:t>
            </w:r>
          </w:p>
        </w:tc>
      </w:tr>
      <w:tr w14:paraId="4D331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4D697947">
            <w:pPr>
              <w:pStyle w:val="31"/>
            </w:pPr>
            <w:r>
              <w:t>4</w:t>
            </w:r>
          </w:p>
        </w:tc>
        <w:tc>
          <w:tcPr>
            <w:tcW w:w="601" w:type="pct"/>
            <w:vMerge w:val="restart"/>
            <w:tcBorders>
              <w:tl2br w:val="nil"/>
              <w:tr2bl w:val="nil"/>
            </w:tcBorders>
            <w:vAlign w:val="center"/>
          </w:tcPr>
          <w:p w14:paraId="625E8417">
            <w:pPr>
              <w:pStyle w:val="31"/>
            </w:pPr>
            <w:r>
              <w:rPr>
                <w:color w:val="333333"/>
                <w:shd w:val="clear" w:color="auto" w:fill="FFFFFF"/>
              </w:rPr>
              <w:t>工业治理领域</w:t>
            </w:r>
          </w:p>
        </w:tc>
        <w:tc>
          <w:tcPr>
            <w:tcW w:w="2317" w:type="pct"/>
            <w:tcBorders>
              <w:tl2br w:val="nil"/>
              <w:tr2bl w:val="nil"/>
            </w:tcBorders>
            <w:vAlign w:val="center"/>
          </w:tcPr>
          <w:p w14:paraId="5EFE4464">
            <w:pPr>
              <w:pStyle w:val="31"/>
            </w:pPr>
            <w:r>
              <w:rPr>
                <w:rStyle w:val="52"/>
                <w:rFonts w:eastAsia="Times New Roman"/>
                <w:b w:val="0"/>
                <w:color w:val="333333"/>
                <w:shd w:val="clear" w:color="auto" w:fill="FFFFFF"/>
              </w:rPr>
              <w:t>1</w:t>
            </w:r>
            <w:r>
              <w:rPr>
                <w:rStyle w:val="52"/>
                <w:rFonts w:hint="eastAsia" w:ascii="宋体" w:hAnsi="宋体" w:cs="宋体"/>
                <w:b w:val="0"/>
                <w:color w:val="333333"/>
                <w:shd w:val="clear" w:color="auto" w:fill="FFFFFF"/>
              </w:rPr>
              <w:t>．推进锅窑炉超低排放与深度治理。</w:t>
            </w:r>
            <w:r>
              <w:rPr>
                <w:color w:val="333333"/>
                <w:shd w:val="clear" w:color="auto" w:fill="FFFFFF"/>
              </w:rPr>
              <w:t>全面开展钢铁、水泥行业超低排放改造，深入开展锅炉窑炉深度治理和简易低效处理设施排查，对高排放重点行业开展专项整治。生物质锅炉使用专用炉具和成型燃料并配套高效治理设施，推动城市建成区生物质锅炉安装烟气在线监测设施。到2025年，全面完成钢铁和重点城市水泥企业超低排放改造。</w:t>
            </w:r>
          </w:p>
        </w:tc>
        <w:tc>
          <w:tcPr>
            <w:tcW w:w="1125" w:type="pct"/>
            <w:tcBorders>
              <w:tl2br w:val="nil"/>
              <w:tr2bl w:val="nil"/>
            </w:tcBorders>
            <w:vAlign w:val="center"/>
          </w:tcPr>
          <w:p w14:paraId="5B928898">
            <w:pPr>
              <w:pStyle w:val="31"/>
            </w:pPr>
            <w:r>
              <w:t>本项目不涉及窑炉</w:t>
            </w:r>
            <w:r>
              <w:rPr>
                <w:rFonts w:hint="eastAsia"/>
              </w:rPr>
              <w:t>和锅炉，不属于</w:t>
            </w:r>
            <w:r>
              <w:rPr>
                <w:color w:val="333333"/>
                <w:shd w:val="clear" w:color="auto" w:fill="FFFFFF"/>
              </w:rPr>
              <w:t>钢铁、水泥行业</w:t>
            </w:r>
          </w:p>
        </w:tc>
        <w:tc>
          <w:tcPr>
            <w:tcW w:w="556" w:type="pct"/>
            <w:tcBorders>
              <w:tl2br w:val="nil"/>
              <w:tr2bl w:val="nil"/>
            </w:tcBorders>
            <w:vAlign w:val="center"/>
          </w:tcPr>
          <w:p w14:paraId="1F8F0803">
            <w:pPr>
              <w:pStyle w:val="31"/>
            </w:pPr>
            <w:r>
              <w:t>不涉及</w:t>
            </w:r>
          </w:p>
        </w:tc>
      </w:tr>
      <w:tr w14:paraId="681C1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3C29F22F">
            <w:pPr>
              <w:pStyle w:val="31"/>
            </w:pPr>
            <w:r>
              <w:t>5</w:t>
            </w:r>
          </w:p>
        </w:tc>
        <w:tc>
          <w:tcPr>
            <w:tcW w:w="0" w:type="auto"/>
            <w:vMerge w:val="continue"/>
            <w:tcBorders>
              <w:tl2br w:val="nil"/>
              <w:tr2bl w:val="nil"/>
            </w:tcBorders>
            <w:vAlign w:val="center"/>
          </w:tcPr>
          <w:p w14:paraId="303CBE0E">
            <w:pPr>
              <w:pStyle w:val="31"/>
            </w:pPr>
          </w:p>
        </w:tc>
        <w:tc>
          <w:tcPr>
            <w:tcW w:w="2317" w:type="pct"/>
            <w:tcBorders>
              <w:tl2br w:val="nil"/>
              <w:tr2bl w:val="nil"/>
            </w:tcBorders>
            <w:vAlign w:val="center"/>
          </w:tcPr>
          <w:p w14:paraId="2553F5C8">
            <w:pPr>
              <w:pStyle w:val="31"/>
              <w:rPr>
                <w:rStyle w:val="52"/>
                <w:rFonts w:eastAsia="Times New Roman"/>
                <w:b w:val="0"/>
                <w:color w:val="333333"/>
                <w:shd w:val="clear" w:color="auto" w:fill="FFFFFF"/>
              </w:rPr>
            </w:pPr>
            <w:r>
              <w:rPr>
                <w:rStyle w:val="52"/>
                <w:rFonts w:eastAsia="Times New Roman"/>
                <w:b w:val="0"/>
                <w:color w:val="333333"/>
                <w:shd w:val="clear" w:color="auto" w:fill="FFFFFF"/>
              </w:rPr>
              <w:t>2</w:t>
            </w:r>
            <w:r>
              <w:rPr>
                <w:rStyle w:val="52"/>
                <w:rFonts w:hint="eastAsia" w:ascii="宋体" w:hAnsi="宋体" w:cs="宋体"/>
                <w:b w:val="0"/>
                <w:color w:val="333333"/>
                <w:shd w:val="clear" w:color="auto" w:fill="FFFFFF"/>
              </w:rPr>
              <w:t>．开展涉</w:t>
            </w:r>
            <w:r>
              <w:rPr>
                <w:rStyle w:val="52"/>
                <w:rFonts w:eastAsia="Times New Roman"/>
                <w:b w:val="0"/>
                <w:color w:val="333333"/>
                <w:shd w:val="clear" w:color="auto" w:fill="FFFFFF"/>
              </w:rPr>
              <w:t>VOCs</w:t>
            </w:r>
            <w:r>
              <w:rPr>
                <w:rStyle w:val="52"/>
                <w:rFonts w:hint="eastAsia" w:ascii="宋体" w:hAnsi="宋体" w:cs="宋体"/>
                <w:b w:val="0"/>
                <w:color w:val="333333"/>
                <w:shd w:val="clear" w:color="auto" w:fill="FFFFFF"/>
              </w:rPr>
              <w:t>重点行业全流程整治。</w:t>
            </w:r>
            <w:r>
              <w:rPr>
                <w:color w:val="333333"/>
                <w:shd w:val="clear" w:color="auto" w:fill="FFFFFF"/>
              </w:rPr>
              <w:t>持续开展VOCs治理突出问题排查，清理整顿简易低效、不合规定治理设施，强化无组织和非正常工况废气排放管控。规范开展泄漏检测与修复。推动各市州分别新建1—3个涉VOCs“绿岛”项目。</w:t>
            </w:r>
          </w:p>
        </w:tc>
        <w:tc>
          <w:tcPr>
            <w:tcW w:w="1125" w:type="pct"/>
            <w:tcBorders>
              <w:tl2br w:val="nil"/>
              <w:tr2bl w:val="nil"/>
            </w:tcBorders>
            <w:vAlign w:val="center"/>
          </w:tcPr>
          <w:p w14:paraId="2108B334">
            <w:pPr>
              <w:pStyle w:val="31"/>
            </w:pPr>
            <w:r>
              <w:t>本项目</w:t>
            </w:r>
            <w:r>
              <w:rPr>
                <w:rFonts w:hint="eastAsia"/>
              </w:rPr>
              <w:t>不属于</w:t>
            </w:r>
            <w:r>
              <w:rPr>
                <w:rStyle w:val="52"/>
                <w:rFonts w:hint="eastAsia" w:ascii="宋体" w:hAnsi="宋体" w:cs="宋体"/>
                <w:b w:val="0"/>
                <w:bCs w:val="0"/>
                <w:color w:val="333333"/>
                <w:shd w:val="clear" w:color="auto" w:fill="FFFFFF"/>
              </w:rPr>
              <w:t>涉</w:t>
            </w:r>
            <w:r>
              <w:rPr>
                <w:rStyle w:val="52"/>
                <w:rFonts w:eastAsia="Times New Roman"/>
                <w:b w:val="0"/>
                <w:bCs w:val="0"/>
                <w:color w:val="333333"/>
                <w:shd w:val="clear" w:color="auto" w:fill="FFFFFF"/>
              </w:rPr>
              <w:t>VOCs</w:t>
            </w:r>
            <w:r>
              <w:rPr>
                <w:rStyle w:val="52"/>
                <w:rFonts w:hint="eastAsia" w:ascii="宋体" w:hAnsi="宋体" w:cs="宋体"/>
                <w:b w:val="0"/>
                <w:bCs w:val="0"/>
                <w:color w:val="333333"/>
                <w:shd w:val="clear" w:color="auto" w:fill="FFFFFF"/>
              </w:rPr>
              <w:t>重点行业</w:t>
            </w:r>
          </w:p>
        </w:tc>
        <w:tc>
          <w:tcPr>
            <w:tcW w:w="556" w:type="pct"/>
            <w:tcBorders>
              <w:tl2br w:val="nil"/>
              <w:tr2bl w:val="nil"/>
            </w:tcBorders>
            <w:vAlign w:val="center"/>
          </w:tcPr>
          <w:p w14:paraId="65CF988C">
            <w:pPr>
              <w:pStyle w:val="31"/>
            </w:pPr>
            <w:r>
              <w:rPr>
                <w:rFonts w:hint="eastAsia"/>
              </w:rPr>
              <w:t>符合</w:t>
            </w:r>
          </w:p>
        </w:tc>
      </w:tr>
      <w:tr w14:paraId="0ACB0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 w:type="pct"/>
            <w:tcBorders>
              <w:tl2br w:val="nil"/>
              <w:tr2bl w:val="nil"/>
            </w:tcBorders>
            <w:vAlign w:val="center"/>
          </w:tcPr>
          <w:p w14:paraId="18C68DB1">
            <w:pPr>
              <w:pStyle w:val="31"/>
            </w:pPr>
            <w:r>
              <w:t>6</w:t>
            </w:r>
          </w:p>
        </w:tc>
        <w:tc>
          <w:tcPr>
            <w:tcW w:w="0" w:type="auto"/>
            <w:vMerge w:val="continue"/>
            <w:tcBorders>
              <w:tl2br w:val="nil"/>
              <w:tr2bl w:val="nil"/>
            </w:tcBorders>
            <w:vAlign w:val="center"/>
          </w:tcPr>
          <w:p w14:paraId="14367A59">
            <w:pPr>
              <w:pStyle w:val="31"/>
            </w:pPr>
          </w:p>
        </w:tc>
        <w:tc>
          <w:tcPr>
            <w:tcW w:w="2317" w:type="pct"/>
            <w:tcBorders>
              <w:tl2br w:val="nil"/>
              <w:tr2bl w:val="nil"/>
            </w:tcBorders>
            <w:vAlign w:val="center"/>
          </w:tcPr>
          <w:p w14:paraId="090060E8">
            <w:pPr>
              <w:pStyle w:val="31"/>
              <w:rPr>
                <w:rStyle w:val="52"/>
                <w:rFonts w:eastAsia="Times New Roman"/>
                <w:b w:val="0"/>
                <w:color w:val="333333"/>
                <w:shd w:val="clear" w:color="auto" w:fill="FFFFFF"/>
              </w:rPr>
            </w:pPr>
            <w:r>
              <w:rPr>
                <w:rStyle w:val="52"/>
                <w:rFonts w:eastAsia="Times New Roman"/>
                <w:b w:val="0"/>
                <w:color w:val="333333"/>
                <w:shd w:val="clear" w:color="auto" w:fill="FFFFFF"/>
              </w:rPr>
              <w:t>3</w:t>
            </w:r>
            <w:r>
              <w:rPr>
                <w:rStyle w:val="52"/>
                <w:rFonts w:hint="eastAsia" w:ascii="宋体" w:hAnsi="宋体" w:cs="宋体"/>
                <w:b w:val="0"/>
                <w:color w:val="333333"/>
                <w:shd w:val="clear" w:color="auto" w:fill="FFFFFF"/>
              </w:rPr>
              <w:t>．加强工业源重污染天气应对。</w:t>
            </w:r>
            <w:r>
              <w:rPr>
                <w:color w:val="333333"/>
                <w:shd w:val="clear" w:color="auto" w:fill="FFFFFF"/>
              </w:rPr>
              <w:t>完善应急减排清单，确保涉气企业全覆盖。将应急减排措施纳入排污许可证管理。严厉打击在线监控运维及手工监测报告弄虚作假、治理设施不正常运行和重污染应急减排措施未落实等违法行为。积极提升应急减排重点行业企业环境绩效水平。到2025年，全省非最低等级绩效水平企业占比力争达到10%，钢铁、水泥企业全部达到B（含B-）级及以上。</w:t>
            </w:r>
          </w:p>
        </w:tc>
        <w:tc>
          <w:tcPr>
            <w:tcW w:w="1125" w:type="pct"/>
            <w:tcBorders>
              <w:tl2br w:val="nil"/>
              <w:tr2bl w:val="nil"/>
            </w:tcBorders>
            <w:vAlign w:val="center"/>
          </w:tcPr>
          <w:p w14:paraId="6E925D13">
            <w:pPr>
              <w:pStyle w:val="31"/>
            </w:pPr>
            <w:r>
              <w:t>建设单位应按照重污染天气应对要求实施应急减排措施，并纳入排污许可证管理</w:t>
            </w:r>
          </w:p>
        </w:tc>
        <w:tc>
          <w:tcPr>
            <w:tcW w:w="556" w:type="pct"/>
            <w:tcBorders>
              <w:tl2br w:val="nil"/>
              <w:tr2bl w:val="nil"/>
            </w:tcBorders>
            <w:vAlign w:val="center"/>
          </w:tcPr>
          <w:p w14:paraId="000995F8">
            <w:pPr>
              <w:pStyle w:val="31"/>
            </w:pPr>
            <w:r>
              <w:t>符合</w:t>
            </w:r>
          </w:p>
        </w:tc>
      </w:tr>
    </w:tbl>
    <w:p w14:paraId="43DC5267">
      <w:pPr>
        <w:pStyle w:val="33"/>
      </w:pPr>
      <w:bookmarkStart w:id="18" w:name="_Toc9969"/>
      <w:bookmarkStart w:id="19" w:name="_Toc6048"/>
      <w:r>
        <w:rPr>
          <w:rFonts w:hint="eastAsia"/>
        </w:rPr>
        <w:t>1.4.</w:t>
      </w:r>
      <w:r>
        <w:rPr>
          <w:rFonts w:hint="eastAsia"/>
          <w:lang w:val="en-US" w:eastAsia="zh-CN"/>
        </w:rPr>
        <w:t>8</w:t>
      </w:r>
      <w:r>
        <w:t>是否属于“两高”项目</w:t>
      </w:r>
      <w:r>
        <w:rPr>
          <w:rFonts w:hint="eastAsia"/>
        </w:rPr>
        <w:t>判定</w:t>
      </w:r>
      <w:bookmarkEnd w:id="18"/>
      <w:bookmarkEnd w:id="19"/>
    </w:p>
    <w:p w14:paraId="0C2AF785">
      <w:pPr>
        <w:pStyle w:val="21"/>
        <w:bidi w:val="0"/>
      </w:pPr>
      <w:r>
        <w:t>根据湖南省发改委《关于印发&lt;湖南省“两高”项目管理目录&gt;的通知》（湘发改环资[2021]968号），湖南省“两高”项目包括石化、化工、煤化工、焦化等行业，其中石化行业中的原油加工及石油制品制造（2511）；化工行业的无机酸制造（2611）、无机碱制造（2612）、无机盐制造（2613）行业（涉及的主要产品及工序为：烧碱、纯碱、工业硫酸、黄磷、合成氨、尿素、磷铵、电石、聚氯乙烯、聚丙烯、精对苯二甲酸、对二甲苯、苯乙烯、乙酸乙烯酯、二苯基甲烷二异氰酸酯、1，4-丁二醇）；煤化工行业的煤制合成气生产（2522）、煤制液体燃料生产（2523）等属于“两高”项目，同时涉煤及煤制品、石油焦、渣油、重油等高污染物燃料使用的工业炉窑、锅炉项目也属于“两高”项目。本项目在现有厂区范围内进行船舶拆解、修理作业，不涉及该目录中的产品和工序，在生产过程中也不涉及工业炉窑和锅炉，因此本项目不属于“两高”项目。</w:t>
      </w:r>
    </w:p>
    <w:p w14:paraId="5663A21B">
      <w:pPr>
        <w:pStyle w:val="33"/>
        <w:rPr>
          <w:rFonts w:cs="Times New Roman"/>
          <w:color w:val="000000"/>
          <w:szCs w:val="24"/>
        </w:rPr>
      </w:pPr>
      <w:bookmarkStart w:id="20" w:name="_Toc23935"/>
      <w:bookmarkStart w:id="21" w:name="_Toc21861"/>
      <w:r>
        <w:rPr>
          <w:rFonts w:hint="eastAsia"/>
        </w:rPr>
        <w:t>1.4.</w:t>
      </w:r>
      <w:r>
        <w:rPr>
          <w:rFonts w:hint="eastAsia"/>
          <w:lang w:val="en-US" w:eastAsia="zh-CN"/>
        </w:rPr>
        <w:t>9</w:t>
      </w:r>
      <w:r>
        <w:rPr>
          <w:rFonts w:cs="Times New Roman"/>
          <w:szCs w:val="24"/>
        </w:rPr>
        <w:t>项目与</w:t>
      </w:r>
      <w:r>
        <w:rPr>
          <w:rFonts w:cs="Times New Roman"/>
          <w:color w:val="000000"/>
          <w:szCs w:val="24"/>
        </w:rPr>
        <w:t>《防止拆船污染环境管理条例（2017）》相符性分析</w:t>
      </w:r>
      <w:bookmarkEnd w:id="20"/>
      <w:bookmarkEnd w:id="21"/>
    </w:p>
    <w:p w14:paraId="7C838A12">
      <w:pPr>
        <w:pStyle w:val="21"/>
        <w:bidi w:val="0"/>
      </w:pPr>
      <w:r>
        <w:t>项目与《防止拆船污染环境管理条例（2017）》的符合性分析见下表</w:t>
      </w:r>
    </w:p>
    <w:p w14:paraId="5D54C1DC">
      <w:pPr>
        <w:pStyle w:val="23"/>
      </w:pPr>
      <w:r>
        <w:t>表</w:t>
      </w:r>
      <w:r>
        <w:rPr>
          <w:rFonts w:hint="eastAsia"/>
        </w:rPr>
        <w:t>1-6</w:t>
      </w:r>
      <w:r>
        <w:t>与《防止拆船污染环境管理条例（2017）》的相符性分析表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1"/>
        <w:gridCol w:w="2897"/>
        <w:gridCol w:w="748"/>
      </w:tblGrid>
      <w:tr w14:paraId="37E6B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51" w:type="dxa"/>
            <w:vAlign w:val="center"/>
          </w:tcPr>
          <w:p w14:paraId="179DEF5D">
            <w:pPr>
              <w:pStyle w:val="31"/>
            </w:pPr>
            <w:r>
              <w:t>条例规定</w:t>
            </w:r>
          </w:p>
        </w:tc>
        <w:tc>
          <w:tcPr>
            <w:tcW w:w="2897" w:type="dxa"/>
            <w:vAlign w:val="center"/>
          </w:tcPr>
          <w:p w14:paraId="20F47F7B">
            <w:pPr>
              <w:pStyle w:val="31"/>
            </w:pPr>
            <w:r>
              <w:t>本项目建设内容</w:t>
            </w:r>
          </w:p>
        </w:tc>
        <w:tc>
          <w:tcPr>
            <w:tcW w:w="748" w:type="dxa"/>
            <w:vAlign w:val="center"/>
          </w:tcPr>
          <w:p w14:paraId="5ECB4A1A">
            <w:pPr>
              <w:pStyle w:val="31"/>
            </w:pPr>
            <w:r>
              <w:t>是否符合</w:t>
            </w:r>
          </w:p>
        </w:tc>
      </w:tr>
      <w:tr w14:paraId="7B905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2A3B6BDA">
            <w:pPr>
              <w:pStyle w:val="31"/>
            </w:pPr>
            <w:r>
              <w:rPr>
                <w:kern w:val="0"/>
              </w:rPr>
              <w:t>在饮用水源地、海水淡化取水点、盐场、重要的渔业水域、海水浴场、风景名胜区以及其他需要特殊保护的区域，不得设置拆船厂。</w:t>
            </w:r>
          </w:p>
        </w:tc>
        <w:tc>
          <w:tcPr>
            <w:tcW w:w="2897" w:type="dxa"/>
            <w:vAlign w:val="center"/>
          </w:tcPr>
          <w:p w14:paraId="44A54AC9">
            <w:pPr>
              <w:pStyle w:val="31"/>
            </w:pPr>
            <w:r>
              <w:rPr>
                <w:kern w:val="0"/>
              </w:rPr>
              <w:t>项目在现有厂区内进行船舶拆解，不涉及特殊保护区域。</w:t>
            </w:r>
          </w:p>
        </w:tc>
        <w:tc>
          <w:tcPr>
            <w:tcW w:w="748" w:type="dxa"/>
            <w:vAlign w:val="center"/>
          </w:tcPr>
          <w:p w14:paraId="1432CA87">
            <w:pPr>
              <w:pStyle w:val="31"/>
            </w:pPr>
            <w:r>
              <w:t>符合</w:t>
            </w:r>
          </w:p>
        </w:tc>
      </w:tr>
      <w:tr w14:paraId="4DE67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6B84A371">
            <w:pPr>
              <w:pStyle w:val="31"/>
            </w:pPr>
            <w:r>
              <w:t>拆船单位应当健全环境保护规章制度，认真组织实施。</w:t>
            </w:r>
          </w:p>
        </w:tc>
        <w:tc>
          <w:tcPr>
            <w:tcW w:w="2897" w:type="dxa"/>
            <w:vAlign w:val="center"/>
          </w:tcPr>
          <w:p w14:paraId="5A7F15C5">
            <w:pPr>
              <w:pStyle w:val="31"/>
            </w:pPr>
            <w:r>
              <w:rPr>
                <w:kern w:val="0"/>
              </w:rPr>
              <w:t>建设单位将制定环境保护规章制度，并按规实施</w:t>
            </w:r>
          </w:p>
        </w:tc>
        <w:tc>
          <w:tcPr>
            <w:tcW w:w="748" w:type="dxa"/>
            <w:vAlign w:val="center"/>
          </w:tcPr>
          <w:p w14:paraId="5872F9D0">
            <w:pPr>
              <w:pStyle w:val="31"/>
            </w:pPr>
            <w:r>
              <w:t>符合</w:t>
            </w:r>
          </w:p>
        </w:tc>
      </w:tr>
      <w:tr w14:paraId="7FA8B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1CD04027">
            <w:pPr>
              <w:pStyle w:val="31"/>
            </w:pPr>
            <w:r>
              <w:rPr>
                <w:kern w:val="0"/>
              </w:rPr>
              <w:t>拆船单位必须配备或者设置防止拆船污染必需的拦油装置、废油接收设备、含油污水接收处理设施或者设备、废弃物回收处置场等，并经批准环境影响报告书（表）的环境保护部门验收合格，发给验收合格证后，方可进船拆解。</w:t>
            </w:r>
          </w:p>
        </w:tc>
        <w:tc>
          <w:tcPr>
            <w:tcW w:w="2897" w:type="dxa"/>
            <w:vAlign w:val="center"/>
          </w:tcPr>
          <w:p w14:paraId="7C39EBC9">
            <w:pPr>
              <w:pStyle w:val="31"/>
            </w:pPr>
            <w:r>
              <w:rPr>
                <w:kern w:val="0"/>
              </w:rPr>
              <w:t>建设单位在厂区</w:t>
            </w:r>
            <w:r>
              <w:rPr>
                <w:rFonts w:hint="eastAsia"/>
                <w:kern w:val="0"/>
              </w:rPr>
              <w:t>配备</w:t>
            </w:r>
            <w:r>
              <w:rPr>
                <w:kern w:val="0"/>
              </w:rPr>
              <w:t>围油栏、防油布和接油槽以及污水</w:t>
            </w:r>
            <w:r>
              <w:rPr>
                <w:rFonts w:hint="eastAsia"/>
                <w:kern w:val="0"/>
              </w:rPr>
              <w:t>池</w:t>
            </w:r>
            <w:r>
              <w:rPr>
                <w:kern w:val="0"/>
              </w:rPr>
              <w:t>等防污设施，并配备一般固废暂存间和危废暂存间。</w:t>
            </w:r>
          </w:p>
        </w:tc>
        <w:tc>
          <w:tcPr>
            <w:tcW w:w="748" w:type="dxa"/>
            <w:vAlign w:val="center"/>
          </w:tcPr>
          <w:p w14:paraId="55177322">
            <w:pPr>
              <w:pStyle w:val="31"/>
            </w:pPr>
            <w:r>
              <w:t>符合</w:t>
            </w:r>
          </w:p>
        </w:tc>
      </w:tr>
      <w:tr w14:paraId="309AA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064B64AF">
            <w:pPr>
              <w:pStyle w:val="31"/>
            </w:pPr>
            <w:r>
              <w:rPr>
                <w:kern w:val="0"/>
              </w:rPr>
              <w:t>拆船单位在废船拆解前，必须清除易燃、易爆和有毒物质；关闭海底阀和封闭可能引起油污水外溢的管道。垃圾、残油、废油、油泥、含油污水和易燃易爆物品等废弃物必须送到岸上集中处理，并不得采用渗坑、渗井的处理方式。 废油船在拆解前，必须进行洗舱、排污、清舱、测爆等工作。</w:t>
            </w:r>
          </w:p>
        </w:tc>
        <w:tc>
          <w:tcPr>
            <w:tcW w:w="2897" w:type="dxa"/>
            <w:vAlign w:val="center"/>
          </w:tcPr>
          <w:p w14:paraId="156246BF">
            <w:pPr>
              <w:pStyle w:val="31"/>
            </w:pPr>
            <w:r>
              <w:rPr>
                <w:kern w:val="0"/>
              </w:rPr>
              <w:t>本项目拆船工序将按规范操作。</w:t>
            </w:r>
          </w:p>
        </w:tc>
        <w:tc>
          <w:tcPr>
            <w:tcW w:w="748" w:type="dxa"/>
            <w:vAlign w:val="center"/>
          </w:tcPr>
          <w:p w14:paraId="7640D790">
            <w:pPr>
              <w:pStyle w:val="31"/>
            </w:pPr>
            <w:r>
              <w:t>符合</w:t>
            </w:r>
          </w:p>
        </w:tc>
      </w:tr>
      <w:tr w14:paraId="4C7C4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38497857">
            <w:pPr>
              <w:pStyle w:val="31"/>
            </w:pPr>
            <w:r>
              <w:rPr>
                <w:kern w:val="0"/>
              </w:rPr>
              <w:t>排放洗舱水、压舱水和舱底水，必须符合国家和地方规定的排放标准；排放未经处理的洗舱水、压舱水和舱底水，还必须经过监督拆船污染的主管部门批准。监督拆船污染的主管部门接到拆船单位申请排放未经处理的洗舱水、压舱水和舱底水的报告后，应当抓紧办理，及时审批。</w:t>
            </w:r>
          </w:p>
        </w:tc>
        <w:tc>
          <w:tcPr>
            <w:tcW w:w="2897" w:type="dxa"/>
            <w:vAlign w:val="center"/>
          </w:tcPr>
          <w:p w14:paraId="759A7539">
            <w:pPr>
              <w:pStyle w:val="31"/>
            </w:pPr>
            <w:r>
              <w:rPr>
                <w:rFonts w:hint="eastAsia"/>
                <w:kern w:val="0"/>
              </w:rPr>
              <w:t>项目拆解船舶的机舱含油废水委托专业处理船舶含油废水单位接收处理</w:t>
            </w:r>
            <w:r>
              <w:rPr>
                <w:kern w:val="0"/>
              </w:rPr>
              <w:t>。</w:t>
            </w:r>
            <w:r>
              <w:rPr>
                <w:rFonts w:hint="eastAsia"/>
                <w:kern w:val="0"/>
              </w:rPr>
              <w:t>本项目拆解船舶属于内陆水域船舶，</w:t>
            </w:r>
            <w:r>
              <w:rPr>
                <w:kern w:val="0"/>
              </w:rPr>
              <w:t>不涉及压舱水的产生。</w:t>
            </w:r>
          </w:p>
        </w:tc>
        <w:tc>
          <w:tcPr>
            <w:tcW w:w="748" w:type="dxa"/>
            <w:vAlign w:val="center"/>
          </w:tcPr>
          <w:p w14:paraId="419000D2">
            <w:pPr>
              <w:pStyle w:val="31"/>
            </w:pPr>
            <w:r>
              <w:t>符合</w:t>
            </w:r>
          </w:p>
        </w:tc>
      </w:tr>
      <w:tr w14:paraId="1905A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6A7E8B08">
            <w:pPr>
              <w:pStyle w:val="31"/>
            </w:pPr>
            <w:r>
              <w:rPr>
                <w:kern w:val="0"/>
              </w:rPr>
              <w:t>拆下的船舶部件或者废弃物，不得投弃或者存放水中；带有污染物的船舶部件或者废弃物，严禁进入水体。未清洗干净的船底和油柜必须拖到岸上拆解。拆船作业产生的电石渣及其废水，必须收集处理，不得流入水中。船舶拆解完毕，拆船单位和个人应当及时清理拆船现场。</w:t>
            </w:r>
          </w:p>
        </w:tc>
        <w:tc>
          <w:tcPr>
            <w:tcW w:w="2897" w:type="dxa"/>
            <w:vAlign w:val="center"/>
          </w:tcPr>
          <w:p w14:paraId="13A89484">
            <w:pPr>
              <w:pStyle w:val="31"/>
            </w:pPr>
            <w:r>
              <w:rPr>
                <w:kern w:val="0"/>
              </w:rPr>
              <w:t>建设单位将拆下的固废均进行妥善处置，不排入水体。</w:t>
            </w:r>
            <w:r>
              <w:rPr>
                <w:rFonts w:hint="eastAsia"/>
                <w:kern w:val="0"/>
              </w:rPr>
              <w:t>船舶切割采用氧气和丙烷作为燃料，不使用电石；</w:t>
            </w:r>
            <w:r>
              <w:rPr>
                <w:kern w:val="0"/>
              </w:rPr>
              <w:t>船舶拆解完毕后将清理拆船现场。</w:t>
            </w:r>
          </w:p>
        </w:tc>
        <w:tc>
          <w:tcPr>
            <w:tcW w:w="748" w:type="dxa"/>
            <w:vAlign w:val="center"/>
          </w:tcPr>
          <w:p w14:paraId="455640ED">
            <w:pPr>
              <w:pStyle w:val="31"/>
            </w:pPr>
            <w:r>
              <w:t>符合</w:t>
            </w:r>
          </w:p>
        </w:tc>
      </w:tr>
      <w:tr w14:paraId="3E8D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1" w:type="dxa"/>
            <w:vAlign w:val="center"/>
          </w:tcPr>
          <w:p w14:paraId="440AACCE">
            <w:pPr>
              <w:pStyle w:val="31"/>
              <w:rPr>
                <w:kern w:val="0"/>
              </w:rPr>
            </w:pPr>
            <w:r>
              <w:rPr>
                <w:kern w:val="0"/>
              </w:rPr>
              <w:t>发生拆船污染损害事故时，拆船单位或者个人必须立即采取消除或者控制污染的措施，并迅速报告监督拆船污染的主管部门。</w:t>
            </w:r>
          </w:p>
        </w:tc>
        <w:tc>
          <w:tcPr>
            <w:tcW w:w="2897" w:type="dxa"/>
            <w:vAlign w:val="center"/>
          </w:tcPr>
          <w:p w14:paraId="68942CE1">
            <w:pPr>
              <w:pStyle w:val="31"/>
            </w:pPr>
            <w:r>
              <w:rPr>
                <w:kern w:val="0"/>
              </w:rPr>
              <w:t>项目设置</w:t>
            </w:r>
            <w:r>
              <w:rPr>
                <w:rFonts w:hint="eastAsia"/>
                <w:kern w:val="0"/>
              </w:rPr>
              <w:t>初期雨水收集池兼</w:t>
            </w:r>
            <w:r>
              <w:rPr>
                <w:kern w:val="0"/>
              </w:rPr>
              <w:t>事故水池、围油栏等风险防控设施，并制定合理的应急预案。</w:t>
            </w:r>
          </w:p>
        </w:tc>
        <w:tc>
          <w:tcPr>
            <w:tcW w:w="748" w:type="dxa"/>
            <w:vAlign w:val="center"/>
          </w:tcPr>
          <w:p w14:paraId="178AAFF9">
            <w:pPr>
              <w:pStyle w:val="31"/>
            </w:pPr>
            <w:r>
              <w:t>符合</w:t>
            </w:r>
          </w:p>
        </w:tc>
      </w:tr>
    </w:tbl>
    <w:p w14:paraId="365F086D">
      <w:pPr>
        <w:pStyle w:val="33"/>
      </w:pPr>
      <w:bookmarkStart w:id="22" w:name="_Toc380"/>
      <w:bookmarkStart w:id="23" w:name="_Toc18820"/>
      <w:r>
        <w:rPr>
          <w:rFonts w:hint="eastAsia"/>
        </w:rPr>
        <w:t>1.4.</w:t>
      </w:r>
      <w:r>
        <w:rPr>
          <w:rFonts w:hint="eastAsia"/>
          <w:lang w:val="en-US" w:eastAsia="zh-CN"/>
        </w:rPr>
        <w:t>10</w:t>
      </w:r>
      <w:r>
        <w:t>与《水污染防治行动计划》（国发[2015]17号）相符性分析</w:t>
      </w:r>
      <w:bookmarkEnd w:id="22"/>
      <w:bookmarkEnd w:id="23"/>
    </w:p>
    <w:p w14:paraId="23DEE1F3">
      <w:pPr>
        <w:pStyle w:val="21"/>
        <w:bidi w:val="0"/>
      </w:pPr>
      <w:r>
        <w:t>本项目与《水污染防治行动计划》（国发[2015]17号）相符性分析见下表。</w:t>
      </w:r>
    </w:p>
    <w:p w14:paraId="388EEF0F">
      <w:pPr>
        <w:pStyle w:val="23"/>
      </w:pPr>
      <w:r>
        <w:t>表</w:t>
      </w:r>
      <w:r>
        <w:rPr>
          <w:rFonts w:hint="eastAsia"/>
        </w:rPr>
        <w:t>1-7</w:t>
      </w:r>
      <w:r>
        <w:t xml:space="preserve"> 项目与《水污染防治行动计划》相符性分析表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4710"/>
        <w:gridCol w:w="2310"/>
        <w:gridCol w:w="787"/>
      </w:tblGrid>
      <w:tr w14:paraId="1BDC8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5" w:type="dxa"/>
            <w:gridSpan w:val="2"/>
            <w:vAlign w:val="center"/>
          </w:tcPr>
          <w:p w14:paraId="5E75ECBC">
            <w:pPr>
              <w:pStyle w:val="31"/>
              <w:rPr>
                <w:rFonts w:cs="Times New Roman"/>
                <w:kern w:val="0"/>
              </w:rPr>
            </w:pPr>
            <w:r>
              <w:rPr>
                <w:rFonts w:cs="Times New Roman"/>
                <w:kern w:val="0"/>
              </w:rPr>
              <w:t>文件相关要求</w:t>
            </w:r>
          </w:p>
        </w:tc>
        <w:tc>
          <w:tcPr>
            <w:tcW w:w="2310" w:type="dxa"/>
            <w:vAlign w:val="center"/>
          </w:tcPr>
          <w:p w14:paraId="6D07E3C7">
            <w:pPr>
              <w:pStyle w:val="31"/>
              <w:rPr>
                <w:rFonts w:cs="Times New Roman"/>
                <w:kern w:val="0"/>
              </w:rPr>
            </w:pPr>
            <w:r>
              <w:rPr>
                <w:rFonts w:cs="Times New Roman"/>
                <w:kern w:val="0"/>
              </w:rPr>
              <w:t>本项目建设内容</w:t>
            </w:r>
          </w:p>
        </w:tc>
        <w:tc>
          <w:tcPr>
            <w:tcW w:w="787" w:type="dxa"/>
            <w:vAlign w:val="center"/>
          </w:tcPr>
          <w:p w14:paraId="62BA3051">
            <w:pPr>
              <w:pStyle w:val="31"/>
              <w:rPr>
                <w:rFonts w:cs="Times New Roman"/>
                <w:kern w:val="0"/>
              </w:rPr>
            </w:pPr>
            <w:r>
              <w:rPr>
                <w:rFonts w:cs="Times New Roman"/>
                <w:kern w:val="0"/>
              </w:rPr>
              <w:t>是否相符</w:t>
            </w:r>
          </w:p>
        </w:tc>
      </w:tr>
      <w:tr w14:paraId="6E7AE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76B3E932">
            <w:pPr>
              <w:pStyle w:val="31"/>
              <w:rPr>
                <w:rFonts w:cs="Times New Roman"/>
                <w:kern w:val="0"/>
              </w:rPr>
            </w:pPr>
            <w:r>
              <w:rPr>
                <w:rFonts w:cs="Times New Roman"/>
                <w:color w:val="000000"/>
                <w:kern w:val="0"/>
                <w:lang w:bidi="ar"/>
              </w:rPr>
              <w:t>全面控制污染物排放</w:t>
            </w:r>
          </w:p>
          <w:p w14:paraId="6F0608D7">
            <w:pPr>
              <w:pStyle w:val="31"/>
              <w:rPr>
                <w:rFonts w:cs="Times New Roman"/>
                <w:kern w:val="0"/>
              </w:rPr>
            </w:pPr>
          </w:p>
        </w:tc>
        <w:tc>
          <w:tcPr>
            <w:tcW w:w="4710" w:type="dxa"/>
            <w:vAlign w:val="center"/>
          </w:tcPr>
          <w:p w14:paraId="558E0CAD">
            <w:pPr>
              <w:pStyle w:val="31"/>
              <w:rPr>
                <w:rFonts w:cs="Times New Roman"/>
                <w:kern w:val="0"/>
              </w:rPr>
            </w:pPr>
            <w:r>
              <w:rPr>
                <w:rFonts w:cs="Times New Roman"/>
                <w:kern w:val="0"/>
              </w:rPr>
              <w:t>（四）加强船舶港口污染控制。积极治理船舶污染。依法强制报废超过使用年限的船舶。分类分级修订船舶及其设施、设备的相关环保标准。2018年起投入使用的沿海船舶、2021年起投入使用的内河船舶执行新的标准；其他船舶于2020年底前完成改造，经改造仍不能达到要求的，限期予以淘汰。航行于我国水域的国际航线船舶，要实施压载水交换或安装压载水灭活处理系统。规范拆船行为，禁止冲滩拆解。</w:t>
            </w:r>
          </w:p>
        </w:tc>
        <w:tc>
          <w:tcPr>
            <w:tcW w:w="2310" w:type="dxa"/>
            <w:vAlign w:val="center"/>
          </w:tcPr>
          <w:p w14:paraId="45892A54">
            <w:pPr>
              <w:pStyle w:val="31"/>
              <w:rPr>
                <w:rFonts w:cs="Times New Roman"/>
                <w:kern w:val="0"/>
              </w:rPr>
            </w:pPr>
            <w:r>
              <w:rPr>
                <w:rFonts w:hint="eastAsia" w:cs="Times New Roman"/>
                <w:kern w:val="0"/>
              </w:rPr>
              <w:t>本项目拆解依法强制报废的船舶，拆解方式为利用现有厂区</w:t>
            </w:r>
            <w:r>
              <w:rPr>
                <w:rFonts w:hint="eastAsia" w:cs="Times New Roman"/>
                <w:kern w:val="0"/>
                <w:lang w:val="en-US" w:eastAsia="zh-CN"/>
              </w:rPr>
              <w:t>船台</w:t>
            </w:r>
            <w:r>
              <w:rPr>
                <w:rFonts w:hint="eastAsia" w:cs="Times New Roman"/>
                <w:kern w:val="0"/>
              </w:rPr>
              <w:t>拆解，厂区已进行硬化，不涉及冲滩拆解。</w:t>
            </w:r>
          </w:p>
        </w:tc>
        <w:tc>
          <w:tcPr>
            <w:tcW w:w="787" w:type="dxa"/>
            <w:vAlign w:val="center"/>
          </w:tcPr>
          <w:p w14:paraId="3A29BE6B">
            <w:pPr>
              <w:pStyle w:val="31"/>
              <w:rPr>
                <w:rFonts w:cs="Times New Roman"/>
                <w:kern w:val="0"/>
              </w:rPr>
            </w:pPr>
            <w:r>
              <w:rPr>
                <w:rFonts w:hint="eastAsia" w:cs="Times New Roman"/>
                <w:kern w:val="0"/>
              </w:rPr>
              <w:t>符合</w:t>
            </w:r>
          </w:p>
        </w:tc>
      </w:tr>
      <w:tr w14:paraId="213D9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restart"/>
            <w:vAlign w:val="center"/>
          </w:tcPr>
          <w:p w14:paraId="7C6C5DB7">
            <w:pPr>
              <w:pStyle w:val="31"/>
              <w:rPr>
                <w:rFonts w:cs="Times New Roman"/>
                <w:kern w:val="0"/>
              </w:rPr>
            </w:pPr>
            <w:r>
              <w:rPr>
                <w:rFonts w:cs="Times New Roman"/>
                <w:color w:val="000000"/>
                <w:kern w:val="0"/>
                <w:lang w:bidi="ar"/>
              </w:rPr>
              <w:t>推动经济结构转型升级</w:t>
            </w:r>
          </w:p>
          <w:p w14:paraId="6454402C">
            <w:pPr>
              <w:pStyle w:val="31"/>
              <w:rPr>
                <w:rFonts w:cs="Times New Roman"/>
                <w:kern w:val="0"/>
              </w:rPr>
            </w:pPr>
          </w:p>
        </w:tc>
        <w:tc>
          <w:tcPr>
            <w:tcW w:w="4710" w:type="dxa"/>
            <w:vAlign w:val="center"/>
          </w:tcPr>
          <w:p w14:paraId="0F2EBA38">
            <w:pPr>
              <w:pStyle w:val="31"/>
              <w:rPr>
                <w:rFonts w:cs="Times New Roman"/>
                <w:kern w:val="0"/>
              </w:rPr>
            </w:pPr>
            <w:r>
              <w:rPr>
                <w:rFonts w:hint="eastAsia" w:cs="Times New Roman"/>
                <w:color w:val="000000"/>
                <w:kern w:val="0"/>
                <w:lang w:bidi="ar"/>
              </w:rPr>
              <w:t>（五）</w:t>
            </w:r>
            <w:r>
              <w:rPr>
                <w:rFonts w:cs="Times New Roman"/>
                <w:color w:val="000000"/>
                <w:kern w:val="0"/>
                <w:lang w:bidi="ar"/>
              </w:rPr>
              <w:t>调整产业结构。依法淘汰落后产能。自2015年起，各地要依据部分工业行业淘汰落后生产工艺装备和产品指导目录、产业结构调整指导目录及相关行业污染物排放标准，结合水质改善要求及产业发展情况，制定并实施分年度的落后产能淘汰方案，报工业和信息化部、环境保护部备案。未完成淘汰任务的地区，暂停审批和核准其相关行业新建项目。</w:t>
            </w:r>
          </w:p>
        </w:tc>
        <w:tc>
          <w:tcPr>
            <w:tcW w:w="2310" w:type="dxa"/>
            <w:vAlign w:val="center"/>
          </w:tcPr>
          <w:p w14:paraId="0EAAAED8">
            <w:pPr>
              <w:pStyle w:val="31"/>
              <w:rPr>
                <w:rFonts w:cs="Times New Roman"/>
                <w:kern w:val="0"/>
              </w:rPr>
            </w:pPr>
            <w:r>
              <w:rPr>
                <w:rFonts w:hint="eastAsia" w:cs="Times New Roman"/>
                <w:kern w:val="0"/>
              </w:rPr>
              <w:t>本项目为船舶拆解和修理项目，属于《产业结构调整指导目录（2024 年本）》中的允许类。</w:t>
            </w:r>
          </w:p>
          <w:p w14:paraId="4502464C">
            <w:pPr>
              <w:pStyle w:val="31"/>
              <w:rPr>
                <w:rFonts w:cs="Times New Roman"/>
                <w:kern w:val="0"/>
              </w:rPr>
            </w:pPr>
          </w:p>
        </w:tc>
        <w:tc>
          <w:tcPr>
            <w:tcW w:w="787" w:type="dxa"/>
            <w:vAlign w:val="center"/>
          </w:tcPr>
          <w:p w14:paraId="034FA36F">
            <w:pPr>
              <w:pStyle w:val="31"/>
              <w:rPr>
                <w:rFonts w:cs="Times New Roman"/>
                <w:kern w:val="0"/>
              </w:rPr>
            </w:pPr>
            <w:r>
              <w:rPr>
                <w:rFonts w:hint="eastAsia" w:cs="Times New Roman"/>
                <w:kern w:val="0"/>
              </w:rPr>
              <w:t>符合</w:t>
            </w:r>
          </w:p>
        </w:tc>
      </w:tr>
      <w:tr w14:paraId="5B7D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vAlign w:val="center"/>
          </w:tcPr>
          <w:p w14:paraId="5354CEDE">
            <w:pPr>
              <w:pStyle w:val="31"/>
              <w:rPr>
                <w:rFonts w:cs="Times New Roman"/>
                <w:kern w:val="0"/>
              </w:rPr>
            </w:pPr>
          </w:p>
        </w:tc>
        <w:tc>
          <w:tcPr>
            <w:tcW w:w="4710" w:type="dxa"/>
            <w:vAlign w:val="center"/>
          </w:tcPr>
          <w:p w14:paraId="7790FE26">
            <w:pPr>
              <w:pStyle w:val="31"/>
              <w:rPr>
                <w:rFonts w:cs="Times New Roman"/>
                <w:kern w:val="0"/>
              </w:rPr>
            </w:pPr>
            <w:r>
              <w:rPr>
                <w:rFonts w:hint="eastAsia" w:cs="Times New Roman"/>
                <w:color w:val="000000"/>
                <w:kern w:val="0"/>
                <w:lang w:bidi="ar"/>
              </w:rPr>
              <w:t>（六）</w:t>
            </w:r>
            <w:r>
              <w:rPr>
                <w:rFonts w:cs="Times New Roman"/>
                <w:color w:val="000000"/>
                <w:kern w:val="0"/>
                <w:lang w:bidi="ar"/>
              </w:rPr>
              <w:t xml:space="preserve">优化空间布局。合理确定发展布局、结构和规模。充分考虑水资源、水环境承载能力，以水定城、以水定地、以水定人、以水定产。重大项目原则上布局在优化开发区和重点开发区，并符合城乡规划和土地利用总体规划。鼓励发展节水高效现代农业、低耗水高新技术产业以及生态保护型旅游业，严格控制缺水地区、水污染严重地区和敏感区域高耗水、高污染行业发展，新建、改建、扩建重点行业建设项目实行主要污染物排 </w:t>
            </w:r>
          </w:p>
          <w:p w14:paraId="10730067">
            <w:pPr>
              <w:pStyle w:val="31"/>
              <w:rPr>
                <w:rFonts w:cs="Times New Roman"/>
                <w:kern w:val="0"/>
              </w:rPr>
            </w:pPr>
            <w:r>
              <w:rPr>
                <w:rFonts w:cs="Times New Roman"/>
                <w:color w:val="000000"/>
                <w:kern w:val="0"/>
                <w:lang w:bidi="ar"/>
              </w:rPr>
              <w:t>放减量置换。七大重点流域干流沿岸，要严格控制石油加工、化学原料和化学制品制造、医药制造、化学纤维制造、有色金属冶炼、纺织印染等项目环境风险，合理布局生产装置及危险化学品仓储等设施。</w:t>
            </w:r>
          </w:p>
        </w:tc>
        <w:tc>
          <w:tcPr>
            <w:tcW w:w="2310" w:type="dxa"/>
            <w:vAlign w:val="center"/>
          </w:tcPr>
          <w:p w14:paraId="26E327FE">
            <w:pPr>
              <w:pStyle w:val="31"/>
              <w:rPr>
                <w:rFonts w:cs="Times New Roman"/>
                <w:kern w:val="0"/>
              </w:rPr>
            </w:pPr>
            <w:r>
              <w:rPr>
                <w:rFonts w:hint="eastAsia" w:cs="Times New Roman"/>
                <w:kern w:val="0"/>
              </w:rPr>
              <w:t>本项目在现有厂区内进行船舶拆解和修理，不新增占地，所在地块已取得用地手续，为工业用地，符合土地利用总体规划。本项目不属于高耗水、高污染行业，不属于重点行业等。</w:t>
            </w:r>
          </w:p>
        </w:tc>
        <w:tc>
          <w:tcPr>
            <w:tcW w:w="787" w:type="dxa"/>
            <w:vAlign w:val="center"/>
          </w:tcPr>
          <w:p w14:paraId="7381F411">
            <w:pPr>
              <w:pStyle w:val="31"/>
              <w:rPr>
                <w:rFonts w:cs="Times New Roman"/>
                <w:kern w:val="0"/>
              </w:rPr>
            </w:pPr>
            <w:r>
              <w:rPr>
                <w:rFonts w:hint="eastAsia" w:cs="Times New Roman"/>
                <w:kern w:val="0"/>
              </w:rPr>
              <w:t>符合</w:t>
            </w:r>
          </w:p>
        </w:tc>
      </w:tr>
      <w:tr w14:paraId="09974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restart"/>
            <w:vAlign w:val="center"/>
          </w:tcPr>
          <w:p w14:paraId="6AE41FEF">
            <w:pPr>
              <w:pStyle w:val="31"/>
              <w:rPr>
                <w:rFonts w:cs="Times New Roman"/>
                <w:kern w:val="0"/>
              </w:rPr>
            </w:pPr>
            <w:r>
              <w:rPr>
                <w:rFonts w:cs="Times New Roman"/>
                <w:color w:val="000000"/>
                <w:kern w:val="0"/>
                <w:lang w:bidi="ar"/>
              </w:rPr>
              <w:t>切实加强水环境管理</w:t>
            </w:r>
          </w:p>
          <w:p w14:paraId="4CAA039E">
            <w:pPr>
              <w:pStyle w:val="31"/>
              <w:rPr>
                <w:rFonts w:cs="Times New Roman"/>
                <w:kern w:val="0"/>
              </w:rPr>
            </w:pPr>
          </w:p>
        </w:tc>
        <w:tc>
          <w:tcPr>
            <w:tcW w:w="4710" w:type="dxa"/>
            <w:vAlign w:val="center"/>
          </w:tcPr>
          <w:p w14:paraId="31599E8A">
            <w:pPr>
              <w:pStyle w:val="31"/>
              <w:rPr>
                <w:rFonts w:cs="Times New Roman"/>
                <w:kern w:val="0"/>
              </w:rPr>
            </w:pPr>
            <w:r>
              <w:rPr>
                <w:rFonts w:hint="eastAsia" w:cs="Times New Roman"/>
                <w:color w:val="000000"/>
                <w:kern w:val="0"/>
                <w:lang w:bidi="ar"/>
              </w:rPr>
              <w:t>（二十）</w:t>
            </w:r>
            <w:r>
              <w:rPr>
                <w:rFonts w:cs="Times New Roman"/>
                <w:color w:val="000000"/>
                <w:kern w:val="0"/>
                <w:lang w:bidi="ar"/>
              </w:rPr>
              <w:t>强化环境质量目标管理。明确各类水体水质保护目标，逐一排查达标状况。未达到水质目标要求的地区要制定达标方案，将治污任务逐一落实到汇水范围内的排污单位，明确防治措施及达标时限，方案报上一级人民政府备案，自2016年起，定期向社会公布。对水质不达标的区域实施挂牌督办，必要时采取区域限批等措施。</w:t>
            </w:r>
          </w:p>
        </w:tc>
        <w:tc>
          <w:tcPr>
            <w:tcW w:w="2310" w:type="dxa"/>
            <w:vAlign w:val="center"/>
          </w:tcPr>
          <w:p w14:paraId="5623DB50">
            <w:pPr>
              <w:pStyle w:val="31"/>
              <w:rPr>
                <w:rFonts w:cs="Times New Roman"/>
                <w:kern w:val="0"/>
              </w:rPr>
            </w:pPr>
            <w:r>
              <w:rPr>
                <w:rFonts w:hint="eastAsia" w:cs="Times New Roman"/>
                <w:kern w:val="0"/>
              </w:rPr>
              <w:t xml:space="preserve">根据本项目所在区域地表水常规监测断面水质监测数据可知，能满足《地表水环境质量标准》（GB3838 </w:t>
            </w:r>
          </w:p>
          <w:p w14:paraId="38A17B55">
            <w:pPr>
              <w:pStyle w:val="31"/>
              <w:rPr>
                <w:rFonts w:cs="Times New Roman"/>
                <w:kern w:val="0"/>
              </w:rPr>
            </w:pPr>
            <w:r>
              <w:rPr>
                <w:rFonts w:hint="eastAsia" w:cs="Times New Roman"/>
                <w:kern w:val="0"/>
              </w:rPr>
              <w:t>-2002）Ⅲ类标准，属于水环境达标区域。</w:t>
            </w:r>
          </w:p>
          <w:p w14:paraId="26053B9B">
            <w:pPr>
              <w:pStyle w:val="31"/>
              <w:rPr>
                <w:rFonts w:cs="Times New Roman"/>
                <w:kern w:val="0"/>
              </w:rPr>
            </w:pPr>
          </w:p>
        </w:tc>
        <w:tc>
          <w:tcPr>
            <w:tcW w:w="787" w:type="dxa"/>
            <w:vAlign w:val="center"/>
          </w:tcPr>
          <w:p w14:paraId="31CC66FA">
            <w:pPr>
              <w:pStyle w:val="31"/>
              <w:rPr>
                <w:rFonts w:cs="Times New Roman"/>
                <w:kern w:val="0"/>
              </w:rPr>
            </w:pPr>
            <w:r>
              <w:rPr>
                <w:rFonts w:hint="eastAsia" w:cs="Times New Roman"/>
                <w:kern w:val="0"/>
              </w:rPr>
              <w:t>符合</w:t>
            </w:r>
          </w:p>
        </w:tc>
      </w:tr>
      <w:tr w14:paraId="579E7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vAlign w:val="center"/>
          </w:tcPr>
          <w:p w14:paraId="0C290CD3">
            <w:pPr>
              <w:pStyle w:val="31"/>
              <w:rPr>
                <w:rFonts w:cs="Times New Roman"/>
                <w:kern w:val="0"/>
              </w:rPr>
            </w:pPr>
          </w:p>
        </w:tc>
        <w:tc>
          <w:tcPr>
            <w:tcW w:w="4710" w:type="dxa"/>
            <w:vAlign w:val="center"/>
          </w:tcPr>
          <w:p w14:paraId="1DDDAF1B">
            <w:pPr>
              <w:pStyle w:val="31"/>
              <w:rPr>
                <w:rFonts w:cs="Times New Roman"/>
                <w:kern w:val="0"/>
              </w:rPr>
            </w:pPr>
            <w:r>
              <w:rPr>
                <w:rFonts w:hint="eastAsia" w:cs="Times New Roman"/>
                <w:color w:val="000000"/>
                <w:kern w:val="0"/>
                <w:lang w:bidi="ar"/>
              </w:rPr>
              <w:t>（二十一）</w:t>
            </w:r>
            <w:r>
              <w:rPr>
                <w:rFonts w:cs="Times New Roman"/>
                <w:color w:val="000000"/>
                <w:kern w:val="0"/>
                <w:lang w:bidi="ar"/>
              </w:rPr>
              <w:t>深化污染物排放总量控制。完善污染物统计监测体系，将工业、城镇生活、农业、移动源等各类污染源纳入调查范围。选择对水环境质量有突出影响的总氮、总磷、重金属等污染物，研究纳入流域、区域污染物排放总量控制约束性指标体系。</w:t>
            </w:r>
          </w:p>
        </w:tc>
        <w:tc>
          <w:tcPr>
            <w:tcW w:w="2310" w:type="dxa"/>
            <w:vAlign w:val="center"/>
          </w:tcPr>
          <w:p w14:paraId="5C9357FA">
            <w:pPr>
              <w:pStyle w:val="31"/>
              <w:rPr>
                <w:rFonts w:cs="Times New Roman"/>
                <w:kern w:val="0"/>
              </w:rPr>
            </w:pPr>
            <w:r>
              <w:rPr>
                <w:rFonts w:hint="eastAsia" w:cs="Times New Roman"/>
                <w:kern w:val="0"/>
              </w:rPr>
              <w:t>本项目水污染物需申请总量控制指标为COD、氨氮和总磷</w:t>
            </w:r>
          </w:p>
        </w:tc>
        <w:tc>
          <w:tcPr>
            <w:tcW w:w="787" w:type="dxa"/>
            <w:vAlign w:val="center"/>
          </w:tcPr>
          <w:p w14:paraId="1BA3025D">
            <w:pPr>
              <w:pStyle w:val="31"/>
              <w:rPr>
                <w:rFonts w:cs="Times New Roman"/>
                <w:kern w:val="0"/>
              </w:rPr>
            </w:pPr>
            <w:r>
              <w:rPr>
                <w:rFonts w:hint="eastAsia" w:cs="Times New Roman"/>
                <w:kern w:val="0"/>
              </w:rPr>
              <w:t>符合</w:t>
            </w:r>
          </w:p>
        </w:tc>
      </w:tr>
      <w:tr w14:paraId="2560A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vAlign w:val="center"/>
          </w:tcPr>
          <w:p w14:paraId="7629AE6F">
            <w:pPr>
              <w:pStyle w:val="31"/>
              <w:rPr>
                <w:rFonts w:cs="Times New Roman"/>
                <w:kern w:val="0"/>
              </w:rPr>
            </w:pPr>
          </w:p>
        </w:tc>
        <w:tc>
          <w:tcPr>
            <w:tcW w:w="4710" w:type="dxa"/>
            <w:vAlign w:val="center"/>
          </w:tcPr>
          <w:p w14:paraId="3815CB57">
            <w:pPr>
              <w:pStyle w:val="31"/>
              <w:rPr>
                <w:rFonts w:cs="Times New Roman"/>
                <w:kern w:val="0"/>
              </w:rPr>
            </w:pPr>
            <w:r>
              <w:rPr>
                <w:rFonts w:hint="eastAsia" w:cs="Times New Roman"/>
                <w:color w:val="000000"/>
                <w:kern w:val="0"/>
                <w:lang w:bidi="ar"/>
              </w:rPr>
              <w:t>（二十二）</w:t>
            </w:r>
            <w:r>
              <w:rPr>
                <w:rFonts w:cs="Times New Roman"/>
                <w:color w:val="000000"/>
                <w:kern w:val="0"/>
                <w:lang w:bidi="ar"/>
              </w:rPr>
              <w:t>严格环境风险控制。防范环境风险。定期评估沿江河湖库工业企业、工业集聚区环境和健康风险，落实防控措施。评估现有化学物质环境和健康风险，2017年底前公布优先控制化学品名录，对高风险化学品生产、使用进行严格限制，并逐步淘汰替代。稳妥处置突发水环境污染事件。地方各级人民政府要制定和完善水污染事故处置应急预案，落实责任主体，明确预警预报与响应程序、应急处置及保障措施等内容，依法及时公布预警信息。</w:t>
            </w:r>
          </w:p>
        </w:tc>
        <w:tc>
          <w:tcPr>
            <w:tcW w:w="2310" w:type="dxa"/>
            <w:vAlign w:val="center"/>
          </w:tcPr>
          <w:p w14:paraId="37269B8D">
            <w:pPr>
              <w:pStyle w:val="31"/>
              <w:rPr>
                <w:rFonts w:cs="Times New Roman"/>
                <w:kern w:val="0"/>
              </w:rPr>
            </w:pPr>
            <w:r>
              <w:rPr>
                <w:rFonts w:cs="Times New Roman"/>
                <w:kern w:val="0"/>
              </w:rPr>
              <w:t>建设单位将按要求采取环境风险防范措施并制定环境风险应急预案</w:t>
            </w:r>
            <w:r>
              <w:rPr>
                <w:rFonts w:hint="eastAsia" w:cs="Times New Roman"/>
                <w:kern w:val="0"/>
              </w:rPr>
              <w:t>和备案</w:t>
            </w:r>
            <w:r>
              <w:rPr>
                <w:rFonts w:cs="Times New Roman"/>
                <w:kern w:val="0"/>
              </w:rPr>
              <w:t>。</w:t>
            </w:r>
          </w:p>
          <w:p w14:paraId="5F2A4CFB">
            <w:pPr>
              <w:pStyle w:val="31"/>
              <w:rPr>
                <w:rFonts w:cs="Times New Roman"/>
                <w:kern w:val="0"/>
              </w:rPr>
            </w:pPr>
          </w:p>
        </w:tc>
        <w:tc>
          <w:tcPr>
            <w:tcW w:w="787" w:type="dxa"/>
            <w:vAlign w:val="center"/>
          </w:tcPr>
          <w:p w14:paraId="74D83470">
            <w:pPr>
              <w:pStyle w:val="31"/>
              <w:rPr>
                <w:rFonts w:cs="Times New Roman"/>
                <w:kern w:val="0"/>
              </w:rPr>
            </w:pPr>
            <w:r>
              <w:rPr>
                <w:rFonts w:hint="eastAsia" w:cs="Times New Roman"/>
                <w:kern w:val="0"/>
              </w:rPr>
              <w:t>符合</w:t>
            </w:r>
          </w:p>
        </w:tc>
      </w:tr>
      <w:tr w14:paraId="3CA6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Merge w:val="continue"/>
            <w:vAlign w:val="center"/>
          </w:tcPr>
          <w:p w14:paraId="07AD65D3">
            <w:pPr>
              <w:pStyle w:val="31"/>
              <w:rPr>
                <w:rFonts w:cs="Times New Roman"/>
                <w:kern w:val="0"/>
              </w:rPr>
            </w:pPr>
          </w:p>
        </w:tc>
        <w:tc>
          <w:tcPr>
            <w:tcW w:w="4710" w:type="dxa"/>
            <w:vAlign w:val="center"/>
          </w:tcPr>
          <w:p w14:paraId="22280527">
            <w:pPr>
              <w:pStyle w:val="31"/>
              <w:rPr>
                <w:rFonts w:cs="Times New Roman"/>
                <w:kern w:val="0"/>
              </w:rPr>
            </w:pPr>
            <w:r>
              <w:rPr>
                <w:rFonts w:hint="eastAsia" w:cs="Times New Roman"/>
                <w:color w:val="000000"/>
                <w:kern w:val="0"/>
                <w:lang w:bidi="ar"/>
              </w:rPr>
              <w:t>（二十三）</w:t>
            </w:r>
            <w:r>
              <w:rPr>
                <w:rFonts w:cs="Times New Roman"/>
                <w:color w:val="000000"/>
                <w:kern w:val="0"/>
                <w:lang w:bidi="ar"/>
              </w:rPr>
              <w:t>全面推行排污许可。依法核发排污许可证。2015年底前，完成国控重点污染源及排污权有偿使用和交易试点地区污染源排污许可证的核发工作，其他污染源于2017年底前完成。加强许可证管理。以改善水质、防范环境风险为目标，将污染物排放种类、浓度、总量、排放去向等纳入许可证管理范围。禁止无证排污或不按许可证规定排污。强化海上排污监管，研究建立海上污染排放许可证制度。2017年底前，完成全国排污许可证管理信息平台建设。</w:t>
            </w:r>
          </w:p>
        </w:tc>
        <w:tc>
          <w:tcPr>
            <w:tcW w:w="2310" w:type="dxa"/>
            <w:vAlign w:val="center"/>
          </w:tcPr>
          <w:p w14:paraId="745A772A">
            <w:pPr>
              <w:pStyle w:val="31"/>
              <w:rPr>
                <w:rFonts w:cs="Times New Roman"/>
                <w:kern w:val="0"/>
              </w:rPr>
            </w:pPr>
            <w:r>
              <w:rPr>
                <w:rFonts w:cs="Times New Roman"/>
                <w:kern w:val="0"/>
              </w:rPr>
              <w:t>本项目在试运行前，</w:t>
            </w:r>
            <w:r>
              <w:rPr>
                <w:rFonts w:hint="eastAsia" w:cs="Times New Roman"/>
                <w:kern w:val="0"/>
              </w:rPr>
              <w:t>将</w:t>
            </w:r>
            <w:r>
              <w:rPr>
                <w:rFonts w:cs="Times New Roman"/>
                <w:kern w:val="0"/>
              </w:rPr>
              <w:t>按照《排污许可管理条例》（国务院令第736号）要求，</w:t>
            </w:r>
            <w:r>
              <w:rPr>
                <w:rFonts w:hint="eastAsia" w:cs="Times New Roman"/>
                <w:kern w:val="0"/>
              </w:rPr>
              <w:t>申请</w:t>
            </w:r>
            <w:r>
              <w:rPr>
                <w:rFonts w:cs="Times New Roman"/>
                <w:kern w:val="0"/>
              </w:rPr>
              <w:t>取得排污许可</w:t>
            </w:r>
            <w:r>
              <w:rPr>
                <w:rFonts w:hint="eastAsia" w:cs="Times New Roman"/>
                <w:kern w:val="0"/>
              </w:rPr>
              <w:t>证。</w:t>
            </w:r>
          </w:p>
        </w:tc>
        <w:tc>
          <w:tcPr>
            <w:tcW w:w="787" w:type="dxa"/>
            <w:vAlign w:val="center"/>
          </w:tcPr>
          <w:p w14:paraId="4D9A89D5">
            <w:pPr>
              <w:pStyle w:val="31"/>
              <w:rPr>
                <w:rFonts w:cs="Times New Roman"/>
                <w:kern w:val="0"/>
              </w:rPr>
            </w:pPr>
            <w:r>
              <w:rPr>
                <w:rFonts w:hint="eastAsia" w:cs="Times New Roman"/>
                <w:kern w:val="0"/>
              </w:rPr>
              <w:t>符合</w:t>
            </w:r>
          </w:p>
        </w:tc>
      </w:tr>
    </w:tbl>
    <w:p w14:paraId="6B009A06">
      <w:pPr>
        <w:pStyle w:val="33"/>
      </w:pPr>
      <w:bookmarkStart w:id="24" w:name="_Toc29601"/>
      <w:bookmarkStart w:id="25" w:name="_Toc16039"/>
      <w:r>
        <w:rPr>
          <w:rFonts w:hint="eastAsia"/>
        </w:rPr>
        <w:t>1.4.1</w:t>
      </w:r>
      <w:r>
        <w:rPr>
          <w:rFonts w:hint="eastAsia"/>
          <w:lang w:val="en-US" w:eastAsia="zh-CN"/>
        </w:rPr>
        <w:t>1</w:t>
      </w:r>
      <w:r>
        <w:rPr>
          <w:rFonts w:hint="eastAsia"/>
        </w:rPr>
        <w:t>与《湖南省湘江保护条例》符合性分析</w:t>
      </w:r>
      <w:bookmarkEnd w:id="24"/>
      <w:bookmarkEnd w:id="25"/>
    </w:p>
    <w:p w14:paraId="2CE153BD">
      <w:pPr>
        <w:pStyle w:val="21"/>
        <w:bidi w:val="0"/>
        <w:rPr>
          <w:rFonts w:hint="eastAsia"/>
        </w:rPr>
      </w:pPr>
      <w:r>
        <w:rPr>
          <w:rFonts w:hint="eastAsia"/>
        </w:rPr>
        <w:t>《条例》要求：</w:t>
      </w:r>
    </w:p>
    <w:p w14:paraId="5D104999">
      <w:pPr>
        <w:pStyle w:val="21"/>
        <w:bidi w:val="0"/>
        <w:rPr>
          <w:rFonts w:hint="eastAsia"/>
        </w:rPr>
      </w:pPr>
      <w:r>
        <w:rPr>
          <w:rFonts w:hint="eastAsia"/>
        </w:rPr>
        <w:t>湘江流域设区的市、县（市、区）人民政府应当组织水利、交通运输等部门，根据湘江岸线利用规划，依法划定本行政区域河道岸线，保护和合理开发利用湘江河道岸线资源。</w:t>
      </w:r>
    </w:p>
    <w:p w14:paraId="54E450C2">
      <w:pPr>
        <w:pStyle w:val="21"/>
        <w:bidi w:val="0"/>
        <w:rPr>
          <w:rFonts w:hint="eastAsia"/>
        </w:rPr>
      </w:pPr>
      <w:r>
        <w:rPr>
          <w:rFonts w:hint="eastAsia"/>
        </w:rPr>
        <w:t>湘江流域设区的市、县（市、区）人民政府应当加强湘江流域港口岸线资源保护和开发利用，优质港口岸线保证优先建设港口设施。</w:t>
      </w:r>
    </w:p>
    <w:p w14:paraId="175ED7E8">
      <w:pPr>
        <w:pStyle w:val="21"/>
        <w:bidi w:val="0"/>
        <w:rPr>
          <w:rFonts w:hint="eastAsia"/>
        </w:rPr>
      </w:pPr>
      <w:r>
        <w:rPr>
          <w:rFonts w:hint="eastAsia"/>
        </w:rPr>
        <w:t>在湘江流域河道管理范围内的建设项目，建设单位应当将工程建设方案报有管辖权的河道主管机关审查同意后，方可按照建设程序履行报批手续。</w:t>
      </w:r>
    </w:p>
    <w:p w14:paraId="20FE3F91">
      <w:pPr>
        <w:pStyle w:val="21"/>
        <w:bidi w:val="0"/>
        <w:rPr>
          <w:rFonts w:hint="eastAsia"/>
        </w:rPr>
      </w:pPr>
      <w:r>
        <w:rPr>
          <w:rFonts w:hint="eastAsia"/>
        </w:rPr>
        <w:t>符合性分析：项目主要服务禁止采砂区域的多余货船报废工作，属于合理开发优质港口岸线，现已报河道主管机关审查证件变更工作。</w:t>
      </w:r>
    </w:p>
    <w:p w14:paraId="386BD4BF">
      <w:pPr>
        <w:pStyle w:val="33"/>
      </w:pPr>
      <w:bookmarkStart w:id="26" w:name="_Toc11759"/>
      <w:bookmarkStart w:id="27" w:name="_Toc4876"/>
      <w:r>
        <w:rPr>
          <w:rFonts w:hint="eastAsia"/>
        </w:rPr>
        <w:t>1.4.1</w:t>
      </w:r>
      <w:r>
        <w:rPr>
          <w:rFonts w:hint="eastAsia"/>
          <w:lang w:val="en-US" w:eastAsia="zh-CN"/>
        </w:rPr>
        <w:t>2</w:t>
      </w:r>
      <w:r>
        <w:rPr>
          <w:rFonts w:hint="eastAsia"/>
        </w:rPr>
        <w:t>与《衡阳市“</w:t>
      </w:r>
      <w:r>
        <w:rPr>
          <w:rFonts w:hint="eastAsia"/>
          <w:lang w:eastAsia="zh-CN"/>
        </w:rPr>
        <w:t>““十四五””</w:t>
      </w:r>
      <w:r>
        <w:rPr>
          <w:rFonts w:hint="eastAsia"/>
        </w:rPr>
        <w:t>”生态环境保护规划》（衡政办发[</w:t>
      </w:r>
      <w:r>
        <w:t>2021]37</w:t>
      </w:r>
      <w:r>
        <w:rPr>
          <w:rFonts w:hint="eastAsia"/>
        </w:rPr>
        <w:t>号）符合性分析</w:t>
      </w:r>
      <w:bookmarkEnd w:id="26"/>
      <w:bookmarkEnd w:id="27"/>
    </w:p>
    <w:p w14:paraId="035BD396">
      <w:pPr>
        <w:pStyle w:val="21"/>
        <w:bidi w:val="0"/>
        <w:rPr>
          <w:rFonts w:hint="eastAsia"/>
        </w:rPr>
      </w:pPr>
      <w:r>
        <w:rPr>
          <w:rFonts w:hint="eastAsia"/>
        </w:rPr>
        <w:t>《规划》要求：</w:t>
      </w:r>
    </w:p>
    <w:p w14:paraId="4FCE5FAF">
      <w:pPr>
        <w:pStyle w:val="21"/>
        <w:ind w:firstLine="480"/>
      </w:pPr>
      <w:r>
        <w:t>(四)推进运输结构优化。</w:t>
      </w:r>
    </w:p>
    <w:p w14:paraId="315CD1E3">
      <w:pPr>
        <w:pStyle w:val="21"/>
        <w:ind w:firstLine="480"/>
      </w:pPr>
      <w:r>
        <w:rPr>
          <w:rFonts w:hint="eastAsia"/>
        </w:rPr>
        <w:t>构建绿色交通体系。大力发展多式联运，以提高铁路和水运分担率为重点，努力提高铁路集装箱运量及占比。按照宜铁则铁、宜公则公、宜水则水的原则，统筹多种运输方式，强化公路货运车辆超限超载治理，推进大宗货物及中长距离货物运输，公转铁，公转水</w:t>
      </w:r>
      <w:r>
        <w:t>。推动祁东衡缘物流、衡阳铁路口岸等具备多式联运功能的货运枢纽平台建设。完善集疏运体系，支持重大枢纽重要港口的对外通道建设，打通公铁联运、铁水联运等多种运输方式有效衔接的·最后一公里</w:t>
      </w:r>
      <w:r>
        <w:rPr>
          <w:rFonts w:hint="eastAsia"/>
        </w:rPr>
        <w:t>。</w:t>
      </w:r>
      <w:r>
        <w:t>到</w:t>
      </w:r>
      <w:r>
        <w:rPr>
          <w:rFonts w:hint="eastAsia"/>
          <w:lang w:eastAsia="zh-CN"/>
        </w:rPr>
        <w:t>““十四五””</w:t>
      </w:r>
      <w:r>
        <w:t>期末，货物运输结构明显优化，铁路、水路承担的大宗货物运输量显著提高</w:t>
      </w:r>
      <w:r>
        <w:rPr>
          <w:rFonts w:hint="eastAsia"/>
        </w:rPr>
        <w:t>。</w:t>
      </w:r>
    </w:p>
    <w:p w14:paraId="75EC843A">
      <w:pPr>
        <w:pStyle w:val="21"/>
        <w:bidi w:val="0"/>
      </w:pPr>
      <w:r>
        <w:rPr>
          <w:rFonts w:hint="eastAsia"/>
        </w:rPr>
        <w:t>符合性分析：企业原为船舶修理，随着水运航线拓展，维修服务和落后淘汰船舶拆解也会随之大量增加，本次扩建项目有助于运输结构优化。</w:t>
      </w:r>
    </w:p>
    <w:p w14:paraId="439F5FA3">
      <w:pPr>
        <w:pStyle w:val="33"/>
      </w:pPr>
      <w:bookmarkStart w:id="28" w:name="_Toc17712"/>
      <w:bookmarkStart w:id="29" w:name="_Toc2041"/>
      <w:r>
        <w:rPr>
          <w:rFonts w:hint="eastAsia"/>
        </w:rPr>
        <w:t>1.4.1</w:t>
      </w:r>
      <w:r>
        <w:rPr>
          <w:rFonts w:hint="eastAsia"/>
          <w:lang w:val="en-US" w:eastAsia="zh-CN"/>
        </w:rPr>
        <w:t>3</w:t>
      </w:r>
      <w:r>
        <w:rPr>
          <w:rFonts w:hint="eastAsia"/>
        </w:rPr>
        <w:t>与《长江岸线保护和开发利用总体规划》符合性分析</w:t>
      </w:r>
      <w:bookmarkEnd w:id="28"/>
      <w:bookmarkEnd w:id="29"/>
    </w:p>
    <w:p w14:paraId="06E1C081">
      <w:pPr>
        <w:pStyle w:val="21"/>
        <w:ind w:firstLine="480"/>
      </w:pPr>
      <w:r>
        <w:rPr>
          <w:rFonts w:hint="eastAsia"/>
        </w:rPr>
        <w:t>根据《长江岸线保护和开发利用总体规划》总计划分岸线保护区516个、岸线保留区1034个、岸线控制利用区817个、岸线开发利用区232个。其中湘江上保护区50个、保留区80个、控制利用区79个、开发利用区27个，本项目位于湘江控制利用区范围内。</w:t>
      </w:r>
    </w:p>
    <w:p w14:paraId="65C49DF7">
      <w:pPr>
        <w:pStyle w:val="21"/>
        <w:ind w:firstLine="480"/>
      </w:pPr>
      <w:r>
        <w:t>对需控制开发利用强度划定的岸线控制利用区，应按照国土、城 市、水利、交通等相关规划，合理控制整体开发规模和强度，新建和 改扩建项目必须严格论证，不得加大对防洪安全、河势稳定、供水安 、航道稳定的不利影响。</w:t>
      </w:r>
    </w:p>
    <w:p w14:paraId="7FF8E752">
      <w:pPr>
        <w:pStyle w:val="21"/>
        <w:ind w:firstLine="480"/>
      </w:pPr>
      <w:r>
        <w:rPr>
          <w:rFonts w:hint="eastAsia"/>
        </w:rPr>
        <w:t>本项目属于扩建项目，扩建仅对陆域工程进行改造和扩建，无新增占地面积，不建设码头，因此对</w:t>
      </w:r>
      <w:r>
        <w:t>防洪安全、河势稳定、供水安全、航道稳定</w:t>
      </w:r>
      <w:r>
        <w:rPr>
          <w:rFonts w:hint="eastAsia"/>
        </w:rPr>
        <w:t>不会产生不利影响，符合规划要求。</w:t>
      </w:r>
    </w:p>
    <w:p w14:paraId="12681D01">
      <w:pPr>
        <w:pStyle w:val="33"/>
      </w:pPr>
      <w:bookmarkStart w:id="30" w:name="_Toc979"/>
      <w:bookmarkStart w:id="31" w:name="_Toc27221"/>
      <w:r>
        <w:rPr>
          <w:rFonts w:hint="eastAsia"/>
        </w:rPr>
        <w:t>1.4.1</w:t>
      </w:r>
      <w:r>
        <w:rPr>
          <w:rFonts w:hint="eastAsia"/>
          <w:lang w:val="en-US" w:eastAsia="zh-CN"/>
        </w:rPr>
        <w:t>4</w:t>
      </w:r>
      <w:r>
        <w:rPr>
          <w:rFonts w:hint="eastAsia"/>
        </w:rPr>
        <w:t>选址合理性分析</w:t>
      </w:r>
      <w:bookmarkEnd w:id="30"/>
      <w:bookmarkEnd w:id="31"/>
    </w:p>
    <w:p w14:paraId="0163B9A8">
      <w:pPr>
        <w:pStyle w:val="21"/>
        <w:ind w:firstLine="480"/>
      </w:pPr>
      <w:r>
        <w:rPr>
          <w:rFonts w:hint="eastAsia"/>
        </w:rPr>
        <w:t>本次扩建项目位于</w:t>
      </w:r>
      <w:r>
        <w:rPr>
          <w:rFonts w:hint="eastAsia"/>
          <w:lang w:val="en-US" w:eastAsia="zh-CN"/>
        </w:rPr>
        <w:t>衡阳市衡东县三樟镇长江村湘江滩涂地</w:t>
      </w:r>
      <w:r>
        <w:rPr>
          <w:rFonts w:hint="eastAsia"/>
        </w:rPr>
        <w:t>，利用现有项目进行重新布局和完善配套设施，企业已具备湖南省港口岸线（水域、滩地）使用证，现阶段正在办理变更延续手续；因此，项目选址规划合理。</w:t>
      </w:r>
    </w:p>
    <w:p w14:paraId="22723694">
      <w:pPr>
        <w:pStyle w:val="33"/>
      </w:pPr>
      <w:bookmarkStart w:id="32" w:name="_Toc24492"/>
      <w:bookmarkStart w:id="33" w:name="_Toc4039"/>
      <w:r>
        <w:rPr>
          <w:rFonts w:hint="eastAsia"/>
        </w:rPr>
        <w:t>1.4.1</w:t>
      </w:r>
      <w:r>
        <w:rPr>
          <w:rFonts w:hint="eastAsia"/>
          <w:lang w:val="en-US" w:eastAsia="zh-CN"/>
        </w:rPr>
        <w:t>5</w:t>
      </w:r>
      <w:r>
        <w:t>环境影响可接受分析</w:t>
      </w:r>
      <w:bookmarkEnd w:id="32"/>
      <w:bookmarkEnd w:id="33"/>
    </w:p>
    <w:p w14:paraId="2813F859">
      <w:pPr>
        <w:pStyle w:val="21"/>
        <w:ind w:firstLine="480"/>
      </w:pPr>
      <w:r>
        <w:rPr>
          <w:rFonts w:hint="eastAsia"/>
          <w:lang w:val="en-US" w:eastAsia="zh-CN"/>
        </w:rPr>
        <w:t>衡东兴泰船舶维修有限公司船舶拆解建设项目</w:t>
      </w:r>
      <w:r>
        <w:rPr>
          <w:rFonts w:hint="eastAsia"/>
        </w:rPr>
        <w:t>拟计划在现有项目基础上扩建</w:t>
      </w:r>
      <w:r>
        <w:rPr>
          <w:rFonts w:hint="eastAsia" w:cs="Arial"/>
          <w:color w:val="000000"/>
          <w:szCs w:val="27"/>
        </w:rPr>
        <w:t>1个标准化船舶拆除集中点，符合产业政策，用地性质为农村村民集体建设用地。</w:t>
      </w:r>
      <w:r>
        <w:rPr>
          <w:rFonts w:hint="eastAsia"/>
        </w:rPr>
        <w:t>项目生产过程中不涉及用水（无清洗环节），硬化工作套安排专人每日清理拆除作业后做一次全面保洁，采取雨污分流，初期雨水经环形导流沟收集至隔油沉淀池收集后，定期安排专业机构采用吸污车转运处置；生活污水收集后经办公区旁化粪池无害化处理后用作农肥，不外排；本次扩建项目主要采取人工拆卸其他中型机械拆卸，因此废气主要为颗粒物，厂区配备移动式工业烟尘处理器可有效收集后无组织排放，工作台面采取自然通风；项目营运过程中其声源主要来源于碰撞、敲击和各类拆卸设备产生的噪声，主要采取拆解方案合理安排作业时间、采购低噪声设备、通过距离衰减等措施</w:t>
      </w:r>
      <w:r>
        <w:t>，以减少声源对周围环境的影响</w:t>
      </w:r>
      <w:r>
        <w:rPr>
          <w:rFonts w:hint="eastAsia"/>
        </w:rPr>
        <w:t>满足达标排放；项目拆解过程中会产生一般固废和危险废物，根据本环评要求采用集装箱收集，定期外售或处置，可有效避免对环境的影响。</w:t>
      </w:r>
    </w:p>
    <w:p w14:paraId="663A6C28">
      <w:pPr>
        <w:pStyle w:val="21"/>
        <w:bidi w:val="0"/>
        <w:rPr>
          <w:rFonts w:hint="default"/>
          <w:lang w:val="en-US" w:eastAsia="zh-CN"/>
        </w:rPr>
      </w:pPr>
      <w:r>
        <w:t>通过采取报告提出的污染防治措施，</w:t>
      </w:r>
      <w:r>
        <w:rPr>
          <w:rFonts w:hint="eastAsia"/>
        </w:rPr>
        <w:t>本次扩建项目的污染物经处理后满足达标排放、合理处置，建成后可以基本维持当地环境质量现状。在认真落实本报告提出的各项污染防治措施，严格执行“三同时”的前提下，从环保角度分析，扩建项目建设是可行的，</w:t>
      </w:r>
      <w:r>
        <w:t>各项措施经济上可行、技术上合理有效。</w:t>
      </w:r>
    </w:p>
    <w:p w14:paraId="6EC12E4D">
      <w:pPr>
        <w:pStyle w:val="28"/>
      </w:pPr>
      <w:bookmarkStart w:id="34" w:name="_Toc18957"/>
      <w:r>
        <w:rPr>
          <w:rFonts w:hint="eastAsia"/>
        </w:rPr>
        <w:t>1.5关注的主要环境问题及环境影响</w:t>
      </w:r>
      <w:bookmarkEnd w:id="34"/>
    </w:p>
    <w:p w14:paraId="5A74D9B2">
      <w:pPr>
        <w:pStyle w:val="21"/>
        <w:bidi w:val="0"/>
        <w:rPr>
          <w:lang w:val="zh-CN"/>
        </w:rPr>
      </w:pPr>
      <w:r>
        <w:rPr>
          <w:lang w:val="zh-CN"/>
        </w:rPr>
        <w:t>本次评价根据建设项目的特点，关注的主要环境问题为：</w:t>
      </w:r>
    </w:p>
    <w:p w14:paraId="4FD05B34">
      <w:pPr>
        <w:pStyle w:val="21"/>
        <w:bidi w:val="0"/>
      </w:pPr>
      <w:r>
        <w:rPr>
          <w:lang w:val="zh-CN"/>
        </w:rPr>
        <w:t>（</w:t>
      </w:r>
      <w:r>
        <w:t>1</w:t>
      </w:r>
      <w:r>
        <w:rPr>
          <w:lang w:val="zh-CN"/>
        </w:rPr>
        <w:t>）</w:t>
      </w:r>
      <w:r>
        <w:t>对项目进行工程分析，核算主要污染物的排放量；预测项目排放的大气污染物对环境空气造成的影响程度及范围；</w:t>
      </w:r>
    </w:p>
    <w:p w14:paraId="0747B60E">
      <w:pPr>
        <w:pStyle w:val="21"/>
        <w:bidi w:val="0"/>
      </w:pPr>
      <w:r>
        <w:t>（2）项目废水产生排放情况，需关注废水回用或达标排放的可行性。</w:t>
      </w:r>
    </w:p>
    <w:p w14:paraId="651FFA98">
      <w:pPr>
        <w:pStyle w:val="21"/>
        <w:bidi w:val="0"/>
        <w:rPr>
          <w:lang w:val="zh-CN"/>
        </w:rPr>
      </w:pPr>
      <w:r>
        <w:t>（3）</w:t>
      </w:r>
      <w:r>
        <w:rPr>
          <w:lang w:val="zh-CN"/>
        </w:rPr>
        <w:t>各种机械设备运行时产生的机械噪声对周围声环境的影响；</w:t>
      </w:r>
    </w:p>
    <w:p w14:paraId="16DD8C50">
      <w:pPr>
        <w:pStyle w:val="21"/>
        <w:bidi w:val="0"/>
        <w:rPr>
          <w:lang w:val="zh-CN"/>
        </w:rPr>
      </w:pPr>
      <w:r>
        <w:t>（4）</w:t>
      </w:r>
      <w:r>
        <w:rPr>
          <w:lang w:val="zh-CN"/>
        </w:rPr>
        <w:t>项目产生的一般工业固废和危险废物等对周围环境的影响；</w:t>
      </w:r>
    </w:p>
    <w:p w14:paraId="4C5C8C8A">
      <w:pPr>
        <w:pStyle w:val="21"/>
        <w:bidi w:val="0"/>
      </w:pPr>
      <w:r>
        <w:t>（5）项目拟采取的污染防治措施和风险防范措施的可行性和可靠性；</w:t>
      </w:r>
    </w:p>
    <w:p w14:paraId="6B4BA84E">
      <w:pPr>
        <w:pStyle w:val="21"/>
        <w:bidi w:val="0"/>
        <w:rPr>
          <w:rFonts w:hint="eastAsia"/>
        </w:rPr>
      </w:pPr>
      <w:r>
        <w:t>（6）运营期间可能产生的泄漏、火灾、爆炸等环境风险事故对周边环境的影响。</w:t>
      </w:r>
    </w:p>
    <w:p w14:paraId="5ADED9A0">
      <w:pPr>
        <w:pStyle w:val="28"/>
      </w:pPr>
      <w:bookmarkStart w:id="35" w:name="_Toc10964"/>
      <w:r>
        <w:rPr>
          <w:rFonts w:hint="eastAsia"/>
        </w:rPr>
        <w:t>1.6环境影响评价的主要结论</w:t>
      </w:r>
      <w:bookmarkEnd w:id="35"/>
    </w:p>
    <w:p w14:paraId="6AB9CA00">
      <w:pPr>
        <w:pStyle w:val="21"/>
        <w:ind w:firstLine="480"/>
        <w:rPr>
          <w:rFonts w:hint="eastAsia"/>
        </w:rPr>
      </w:pPr>
      <w:r>
        <w:rPr>
          <w:rFonts w:hint="eastAsia"/>
          <w:lang w:val="en-US" w:eastAsia="zh-CN"/>
        </w:rPr>
        <w:t>衡东兴泰船舶维修有限公司船舶拆解建设项目</w:t>
      </w:r>
      <w:r>
        <w:rPr>
          <w:rFonts w:hint="eastAsia"/>
          <w:color w:val="000000" w:themeColor="text1"/>
          <w:szCs w:val="24"/>
          <w14:textFill>
            <w14:solidFill>
              <w14:schemeClr w14:val="tx1"/>
            </w14:solidFill>
          </w14:textFill>
        </w:rPr>
        <w:t>，拟扩建</w:t>
      </w:r>
      <w:r>
        <w:rPr>
          <w:color w:val="000000" w:themeColor="text1"/>
          <w:szCs w:val="24"/>
          <w14:textFill>
            <w14:solidFill>
              <w14:schemeClr w14:val="tx1"/>
            </w14:solidFill>
          </w14:textFill>
        </w:rPr>
        <w:t>1个标准化船舶拆除集中点，</w:t>
      </w:r>
      <w:r>
        <w:rPr>
          <w:rFonts w:hint="eastAsia"/>
          <w:color w:val="000000" w:themeColor="text1"/>
          <w:szCs w:val="24"/>
          <w14:textFill>
            <w14:solidFill>
              <w14:schemeClr w14:val="tx1"/>
            </w14:solidFill>
          </w14:textFill>
        </w:rPr>
        <w:t>修缮工具间</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物资贮存区</w:t>
      </w:r>
      <w:r>
        <w:rPr>
          <w:color w:val="000000" w:themeColor="text1"/>
          <w:szCs w:val="24"/>
          <w14:textFill>
            <w14:solidFill>
              <w14:schemeClr w14:val="tx1"/>
            </w14:solidFill>
          </w14:textFill>
        </w:rPr>
        <w:t>、办公室及公用配套设施</w:t>
      </w:r>
      <w:r>
        <w:rPr>
          <w:rFonts w:hint="eastAsia"/>
          <w:color w:val="000000" w:themeColor="text1"/>
          <w:szCs w:val="24"/>
          <w14:textFill>
            <w14:solidFill>
              <w14:schemeClr w14:val="tx1"/>
            </w14:solidFill>
          </w14:textFill>
        </w:rPr>
        <w:t>，</w:t>
      </w:r>
      <w:r>
        <w:rPr>
          <w:rFonts w:hint="eastAsia"/>
          <w:color w:val="000000" w:themeColor="text1"/>
          <w:szCs w:val="24"/>
          <w:lang w:val="en-US" w:eastAsia="zh-CN"/>
          <w14:textFill>
            <w14:solidFill>
              <w14:schemeClr w14:val="tx1"/>
            </w14:solidFill>
          </w14:textFill>
        </w:rPr>
        <w:t>利用现有场地约5000m</w:t>
      </w:r>
      <w:r>
        <w:rPr>
          <w:rFonts w:hint="eastAsia"/>
          <w:color w:val="000000" w:themeColor="text1"/>
          <w:szCs w:val="24"/>
          <w:vertAlign w:val="superscript"/>
          <w:lang w:val="en-US" w:eastAsia="zh-CN"/>
          <w14:textFill>
            <w14:solidFill>
              <w14:schemeClr w14:val="tx1"/>
            </w14:solidFill>
          </w14:textFill>
        </w:rPr>
        <w:t>2</w:t>
      </w:r>
      <w:r>
        <w:rPr>
          <w:rFonts w:hint="eastAsia"/>
          <w:color w:val="000000" w:themeColor="text1"/>
          <w:szCs w:val="24"/>
          <w:vertAlign w:val="baseline"/>
          <w:lang w:val="en-US" w:eastAsia="zh-CN"/>
          <w14:textFill>
            <w14:solidFill>
              <w14:schemeClr w14:val="tx1"/>
            </w14:solidFill>
          </w14:textFill>
        </w:rPr>
        <w:t>扩建，不新增占地面积</w:t>
      </w:r>
      <w:r>
        <w:rPr>
          <w:color w:val="000000" w:themeColor="text1"/>
          <w:szCs w:val="24"/>
          <w14:textFill>
            <w14:solidFill>
              <w14:schemeClr w14:val="tx1"/>
            </w14:solidFill>
          </w14:textFill>
        </w:rPr>
        <w:t>，预计年拆除</w:t>
      </w:r>
      <w:r>
        <w:rPr>
          <w:rFonts w:hint="eastAsia"/>
          <w:color w:val="000000" w:themeColor="text1"/>
          <w:szCs w:val="24"/>
          <w:lang w:val="en-US" w:eastAsia="zh-CN"/>
          <w14:textFill>
            <w14:solidFill>
              <w14:schemeClr w14:val="tx1"/>
            </w14:solidFill>
          </w14:textFill>
        </w:rPr>
        <w:t>30</w:t>
      </w:r>
      <w:r>
        <w:rPr>
          <w:color w:val="000000" w:themeColor="text1"/>
          <w:szCs w:val="24"/>
          <w14:textFill>
            <w14:solidFill>
              <w14:schemeClr w14:val="tx1"/>
            </w14:solidFill>
          </w14:textFill>
        </w:rPr>
        <w:t>艘报废船舶（</w:t>
      </w:r>
      <w:r>
        <w:rPr>
          <w:rFonts w:hint="eastAsia"/>
          <w:lang w:val="en-US" w:eastAsia="zh-CN"/>
        </w:rPr>
        <w:t>20~</w:t>
      </w:r>
      <w:r>
        <w:rPr>
          <w:rFonts w:hint="eastAsia"/>
        </w:rPr>
        <w:t>1000载重吨</w:t>
      </w:r>
      <w:r>
        <w:rPr>
          <w:rFonts w:hint="eastAsia"/>
          <w:lang w:val="en-US" w:eastAsia="zh-CN"/>
        </w:rPr>
        <w:t>不等</w:t>
      </w:r>
      <w:r>
        <w:rPr>
          <w:color w:val="000000" w:themeColor="text1"/>
          <w:szCs w:val="24"/>
          <w14:textFill>
            <w14:solidFill>
              <w14:schemeClr w14:val="tx1"/>
            </w14:solidFill>
          </w14:textFill>
        </w:rPr>
        <w:t>），本</w:t>
      </w:r>
      <w:r>
        <w:rPr>
          <w:rFonts w:hint="eastAsia"/>
          <w:color w:val="000000" w:themeColor="text1"/>
          <w:szCs w:val="24"/>
          <w14:textFill>
            <w14:solidFill>
              <w14:schemeClr w14:val="tx1"/>
            </w14:solidFill>
          </w14:textFill>
        </w:rPr>
        <w:t>次扩建</w:t>
      </w:r>
      <w:r>
        <w:rPr>
          <w:color w:val="000000" w:themeColor="text1"/>
          <w:szCs w:val="24"/>
          <w14:textFill>
            <w14:solidFill>
              <w14:schemeClr w14:val="tx1"/>
            </w14:solidFill>
          </w14:textFill>
        </w:rPr>
        <w:t>项目符合国家产业政策规划要求</w:t>
      </w:r>
      <w:r>
        <w:rPr>
          <w:rFonts w:hint="eastAsia"/>
          <w:color w:val="000000" w:themeColor="text1"/>
          <w:szCs w:val="24"/>
          <w14:textFill>
            <w14:solidFill>
              <w14:schemeClr w14:val="tx1"/>
            </w14:solidFill>
          </w14:textFill>
        </w:rPr>
        <w:t>，满足衡阳市</w:t>
      </w:r>
      <w:r>
        <w:rPr>
          <w:rFonts w:hint="eastAsia"/>
        </w:rPr>
        <w:t>“三线一单”相关要求</w:t>
      </w:r>
      <w:r>
        <w:rPr>
          <w:color w:val="000000" w:themeColor="text1"/>
          <w:szCs w:val="24"/>
          <w14:textFill>
            <w14:solidFill>
              <w14:schemeClr w14:val="tx1"/>
            </w14:solidFill>
          </w14:textFill>
        </w:rPr>
        <w:t>。在建设和运行当中，如能遵守相关的环保法律法规，落实本报告提出的各项环保措施，落实环保“三同时制度”，严格落实</w:t>
      </w:r>
      <w:r>
        <w:rPr>
          <w:rFonts w:hint="eastAsia"/>
          <w:color w:val="000000" w:themeColor="text1"/>
          <w:szCs w:val="24"/>
          <w14:textFill>
            <w14:solidFill>
              <w14:schemeClr w14:val="tx1"/>
            </w14:solidFill>
          </w14:textFill>
        </w:rPr>
        <w:t>本次评价</w:t>
      </w:r>
      <w:r>
        <w:rPr>
          <w:color w:val="000000" w:themeColor="text1"/>
          <w:szCs w:val="24"/>
          <w14:textFill>
            <w14:solidFill>
              <w14:schemeClr w14:val="tx1"/>
            </w14:solidFill>
          </w14:textFill>
        </w:rPr>
        <w:t>环境管理及</w:t>
      </w:r>
      <w:r>
        <w:rPr>
          <w:rFonts w:hint="eastAsia"/>
          <w:color w:val="000000" w:themeColor="text1"/>
          <w:szCs w:val="24"/>
          <w14:textFill>
            <w14:solidFill>
              <w14:schemeClr w14:val="tx1"/>
            </w14:solidFill>
          </w14:textFill>
        </w:rPr>
        <w:t>自行</w:t>
      </w:r>
      <w:r>
        <w:rPr>
          <w:color w:val="000000" w:themeColor="text1"/>
          <w:szCs w:val="24"/>
          <w14:textFill>
            <w14:solidFill>
              <w14:schemeClr w14:val="tx1"/>
            </w14:solidFill>
          </w14:textFill>
        </w:rPr>
        <w:t>监测计划，妥善处理处置各类污染物，项目可基本维持当地区域环境质量现状，可有效控制并置换后减轻环境影响。因此，从环境保护角度分析，</w:t>
      </w:r>
      <w:r>
        <w:rPr>
          <w:rFonts w:hint="eastAsia"/>
          <w:color w:val="000000" w:themeColor="text1"/>
          <w:szCs w:val="24"/>
          <w14:textFill>
            <w14:solidFill>
              <w14:schemeClr w14:val="tx1"/>
            </w14:solidFill>
          </w14:textFill>
        </w:rPr>
        <w:t>扩建</w:t>
      </w:r>
      <w:r>
        <w:rPr>
          <w:color w:val="000000" w:themeColor="text1"/>
          <w:szCs w:val="24"/>
          <w14:textFill>
            <w14:solidFill>
              <w14:schemeClr w14:val="tx1"/>
            </w14:solidFill>
          </w14:textFill>
        </w:rPr>
        <w:t>项目建设是可行的</w:t>
      </w:r>
      <w:r>
        <w:rPr>
          <w:rFonts w:hint="eastAsia"/>
          <w:color w:val="000000" w:themeColor="text1"/>
          <w:szCs w:val="24"/>
          <w14:textFill>
            <w14:solidFill>
              <w14:schemeClr w14:val="tx1"/>
            </w14:solidFill>
          </w14:textFill>
        </w:rPr>
        <w:t>。</w:t>
      </w:r>
    </w:p>
    <w:p w14:paraId="6570D9E3">
      <w:pPr>
        <w:pStyle w:val="21"/>
        <w:ind w:firstLine="480"/>
        <w:sectPr>
          <w:footerReference r:id="rId3" w:type="default"/>
          <w:pgSz w:w="11906" w:h="16838"/>
          <w:pgMar w:top="1440" w:right="1800" w:bottom="1440" w:left="1800" w:header="851" w:footer="992" w:gutter="0"/>
          <w:pgNumType w:fmt="decimal" w:start="1"/>
          <w:cols w:space="425" w:num="1"/>
          <w:docGrid w:type="lines" w:linePitch="312" w:charSpace="0"/>
        </w:sectPr>
      </w:pPr>
    </w:p>
    <w:p w14:paraId="12425DAE">
      <w:pPr>
        <w:pStyle w:val="25"/>
      </w:pPr>
      <w:bookmarkStart w:id="36" w:name="_Toc27493"/>
      <w:r>
        <w:rPr>
          <w:rFonts w:hint="eastAsia"/>
        </w:rPr>
        <w:t>2总则</w:t>
      </w:r>
      <w:bookmarkEnd w:id="36"/>
    </w:p>
    <w:p w14:paraId="63E50200">
      <w:pPr>
        <w:pStyle w:val="28"/>
      </w:pPr>
      <w:bookmarkStart w:id="37" w:name="_Toc3057"/>
      <w:r>
        <w:rPr>
          <w:rFonts w:hint="eastAsia"/>
        </w:rPr>
        <w:t>2.1评价目的与评价原则</w:t>
      </w:r>
      <w:bookmarkEnd w:id="37"/>
    </w:p>
    <w:p w14:paraId="0BA2ABED">
      <w:pPr>
        <w:pStyle w:val="33"/>
      </w:pPr>
      <w:bookmarkStart w:id="38" w:name="_Toc8898"/>
      <w:r>
        <w:rPr>
          <w:rFonts w:hint="eastAsia"/>
        </w:rPr>
        <w:t>2.1.1评价目的</w:t>
      </w:r>
      <w:bookmarkEnd w:id="38"/>
    </w:p>
    <w:p w14:paraId="512389A7">
      <w:pPr>
        <w:pStyle w:val="21"/>
        <w:ind w:firstLine="480"/>
      </w:pPr>
      <w:r>
        <w:rPr>
          <w:rFonts w:hint="eastAsia"/>
        </w:rPr>
        <w:t>为了加强建设项目的环境管理，促进环境保护与经济建设相协调，根据国家的法律规定，在建设项目的可行性研究阶段编制建设项目环境影响报告书，就项目对环境可能造成影响的范围和程度进行分析、预测和评估，在此基础上提出消除或减缓不利环境影响的措施与对策，提出实施跟踪监测的方法和制度。保证建设项目的主体工程与环保设施“同时设计，同时施工，同时投入使用”，使环境保护与经济建设协调发展。</w:t>
      </w:r>
    </w:p>
    <w:p w14:paraId="5B64BD68">
      <w:pPr>
        <w:pStyle w:val="21"/>
        <w:ind w:firstLine="480"/>
      </w:pPr>
      <w:r>
        <w:rPr>
          <w:rFonts w:hint="eastAsia"/>
        </w:rPr>
        <w:t>通过对本项目的环境影响评价拟达到以下目的：</w:t>
      </w:r>
    </w:p>
    <w:p w14:paraId="42C334A5">
      <w:pPr>
        <w:pStyle w:val="21"/>
        <w:ind w:firstLine="480"/>
      </w:pPr>
      <w:r>
        <w:t>1、通过对本项目所在区域的社会、经济、自然地理环境的调查研究，以及对该项目所在区域大气、水、生态环境和声环境等历史资料的收集和现场踏勘，掌握项目所在地区的环境质量现状；</w:t>
      </w:r>
    </w:p>
    <w:p w14:paraId="55C76D11">
      <w:pPr>
        <w:pStyle w:val="21"/>
        <w:ind w:firstLine="480"/>
      </w:pPr>
      <w:r>
        <w:t>2、通过工程分析，弄清本项目的运行概况和排污特点，掌握污染物排放的种类；</w:t>
      </w:r>
    </w:p>
    <w:p w14:paraId="5EAFF7D2">
      <w:pPr>
        <w:pStyle w:val="21"/>
        <w:ind w:firstLine="480"/>
      </w:pPr>
      <w:r>
        <w:t>3、通过现场踏勘、现状监测、工艺分析、类比分析和数学模拟相结合的方法，分析、预测和评估本项目在施工期和投入运营后各类污染物对环境的影响范围和程度；</w:t>
      </w:r>
    </w:p>
    <w:p w14:paraId="1FC31A8B">
      <w:pPr>
        <w:pStyle w:val="21"/>
        <w:ind w:firstLine="480"/>
      </w:pPr>
      <w:r>
        <w:t>4、在此基础上，提出消除或减缓环境污染、防范环境风险的措施与对策，并对其技术经济可行性进行分析评价；提出本项目建成后的企业环境管理和跟踪监测制度；</w:t>
      </w:r>
    </w:p>
    <w:p w14:paraId="013620D9">
      <w:pPr>
        <w:pStyle w:val="21"/>
        <w:ind w:firstLine="480"/>
        <w:rPr>
          <w:rFonts w:hint="eastAsia"/>
        </w:rPr>
      </w:pPr>
      <w:r>
        <w:t>5、对本项目的环境可行性给出评价结论。</w:t>
      </w:r>
    </w:p>
    <w:p w14:paraId="5EB39745">
      <w:pPr>
        <w:pStyle w:val="33"/>
      </w:pPr>
      <w:bookmarkStart w:id="39" w:name="_Toc22367"/>
      <w:r>
        <w:rPr>
          <w:rFonts w:hint="eastAsia"/>
        </w:rPr>
        <w:t>2.1.2评价原则</w:t>
      </w:r>
      <w:bookmarkEnd w:id="39"/>
    </w:p>
    <w:p w14:paraId="03CD598B">
      <w:pPr>
        <w:pStyle w:val="21"/>
        <w:ind w:firstLine="480"/>
      </w:pPr>
      <w:r>
        <w:rPr>
          <w:rFonts w:hint="eastAsia"/>
        </w:rPr>
        <w:t>突出环境影响评价的源头预防作用，坚持保护和改善环境质量。</w:t>
      </w:r>
    </w:p>
    <w:p w14:paraId="77F0E4B0">
      <w:pPr>
        <w:pStyle w:val="21"/>
        <w:ind w:firstLine="480"/>
      </w:pPr>
      <w:r>
        <w:t>a）依法评价</w:t>
      </w:r>
    </w:p>
    <w:p w14:paraId="6F8220CE">
      <w:pPr>
        <w:pStyle w:val="21"/>
        <w:ind w:firstLine="480"/>
      </w:pPr>
      <w:r>
        <w:rPr>
          <w:rFonts w:hint="eastAsia"/>
        </w:rPr>
        <w:t>贯彻执行我国环境保护相关法律法规、标准、政策和规划等，优化项目建设，服务环境管理。</w:t>
      </w:r>
    </w:p>
    <w:p w14:paraId="6E317C30">
      <w:pPr>
        <w:pStyle w:val="21"/>
        <w:ind w:firstLine="480"/>
      </w:pPr>
      <w:r>
        <w:t>b）科学评价</w:t>
      </w:r>
    </w:p>
    <w:p w14:paraId="7B76394A">
      <w:pPr>
        <w:pStyle w:val="21"/>
        <w:ind w:firstLine="480"/>
      </w:pPr>
      <w:r>
        <w:rPr>
          <w:rFonts w:hint="eastAsia"/>
        </w:rPr>
        <w:t>规范环境影响评价方法，科学分析项目建设对环境质量的影响。</w:t>
      </w:r>
    </w:p>
    <w:p w14:paraId="0180D5D4">
      <w:pPr>
        <w:pStyle w:val="21"/>
        <w:ind w:firstLine="480"/>
      </w:pPr>
      <w:r>
        <w:t>c）突出重点</w:t>
      </w:r>
    </w:p>
    <w:p w14:paraId="421A4B3C">
      <w:pPr>
        <w:pStyle w:val="21"/>
        <w:bidi w:val="0"/>
        <w:rPr>
          <w:rFonts w:hint="eastAsia"/>
        </w:rPr>
      </w:pPr>
      <w:r>
        <w:rPr>
          <w:rFonts w:hint="eastAsia"/>
        </w:rPr>
        <w:t>根据建设项目的工程内容及其特点，明确与环境要素间的作用效应关系，根据规划环境影响评价结论和审查意见，充分利用符合时效的数据资料及成果，对建设项目主要环境影响予以重点分析和评价。</w:t>
      </w:r>
    </w:p>
    <w:p w14:paraId="74ED49E1">
      <w:pPr>
        <w:pStyle w:val="28"/>
      </w:pPr>
      <w:bookmarkStart w:id="40" w:name="_Toc26379"/>
      <w:r>
        <w:rPr>
          <w:rFonts w:hint="eastAsia"/>
        </w:rPr>
        <w:t>2.2编制依据</w:t>
      </w:r>
      <w:bookmarkEnd w:id="40"/>
    </w:p>
    <w:p w14:paraId="5CEB1B19">
      <w:pPr>
        <w:pStyle w:val="33"/>
      </w:pPr>
      <w:bookmarkStart w:id="41" w:name="_Toc9578"/>
      <w:r>
        <w:rPr>
          <w:rFonts w:hint="eastAsia"/>
        </w:rPr>
        <w:t>2.2.1国家法律、法规、政策</w:t>
      </w:r>
      <w:bookmarkEnd w:id="41"/>
    </w:p>
    <w:p w14:paraId="12139659">
      <w:pPr>
        <w:pStyle w:val="21"/>
        <w:ind w:firstLine="480"/>
      </w:pPr>
      <w:r>
        <w:rPr>
          <w:rFonts w:hint="eastAsia"/>
        </w:rPr>
        <w:t>（</w:t>
      </w:r>
      <w:r>
        <w:t>1）《中华人民共和国环境保护法》，自2015年1月1日起施行；</w:t>
      </w:r>
    </w:p>
    <w:p w14:paraId="147B91A0">
      <w:pPr>
        <w:pStyle w:val="21"/>
        <w:ind w:firstLine="480"/>
      </w:pPr>
      <w:r>
        <w:rPr>
          <w:rFonts w:hint="eastAsia"/>
        </w:rPr>
        <w:t>（</w:t>
      </w:r>
      <w:r>
        <w:t>2）《中华人民共和国环境影响评价法》，2018年12月29日第二次修正，自2003年9月1日起施行；</w:t>
      </w:r>
    </w:p>
    <w:p w14:paraId="638E70ED">
      <w:pPr>
        <w:pStyle w:val="21"/>
        <w:ind w:firstLine="480"/>
      </w:pPr>
      <w:r>
        <w:rPr>
          <w:rFonts w:hint="eastAsia"/>
        </w:rPr>
        <w:t>（</w:t>
      </w:r>
      <w:r>
        <w:t>3）《中华人民共和国环境保护税法》，2018年10月26日修正，自2018年1月1日起施行；</w:t>
      </w:r>
    </w:p>
    <w:p w14:paraId="6A8F3113">
      <w:pPr>
        <w:pStyle w:val="21"/>
        <w:ind w:firstLine="480"/>
      </w:pPr>
      <w:r>
        <w:rPr>
          <w:rFonts w:hint="eastAsia"/>
        </w:rPr>
        <w:t>（</w:t>
      </w:r>
      <w:r>
        <w:t>4）《中华人民共和国水污染防治法》，2017年6月27日第二次修正，自2018年1月1日起施行；</w:t>
      </w:r>
    </w:p>
    <w:p w14:paraId="125AA535">
      <w:pPr>
        <w:pStyle w:val="21"/>
        <w:ind w:firstLine="480"/>
      </w:pPr>
      <w:r>
        <w:rPr>
          <w:rFonts w:hint="eastAsia"/>
        </w:rPr>
        <w:t>（</w:t>
      </w:r>
      <w:r>
        <w:t>5）《中华人民共和国水法》，2016年7月2日修正，自2002年10月1日起施行；</w:t>
      </w:r>
    </w:p>
    <w:p w14:paraId="3A80AD08">
      <w:pPr>
        <w:pStyle w:val="21"/>
        <w:ind w:firstLine="480"/>
      </w:pPr>
      <w:r>
        <w:rPr>
          <w:rFonts w:hint="eastAsia"/>
        </w:rPr>
        <w:t>（</w:t>
      </w:r>
      <w:r>
        <w:t>6）《中华人民共和国大气污染防治法》，2018年10月26日第二次修正，自公布之日起施行；</w:t>
      </w:r>
    </w:p>
    <w:p w14:paraId="757AF062">
      <w:pPr>
        <w:pStyle w:val="21"/>
        <w:ind w:firstLine="480"/>
      </w:pPr>
      <w:r>
        <w:rPr>
          <w:rFonts w:hint="eastAsia"/>
        </w:rPr>
        <w:t>（</w:t>
      </w:r>
      <w:r>
        <w:t>7）《</w:t>
      </w:r>
      <w:r>
        <w:rPr>
          <w:rFonts w:hint="eastAsia"/>
          <w:lang w:eastAsia="zh-CN"/>
        </w:rPr>
        <w:t>中华人民共和国噪声污染防治法</w:t>
      </w:r>
      <w:r>
        <w:t>》</w:t>
      </w:r>
      <w:r>
        <w:rPr>
          <w:rFonts w:hint="eastAsia"/>
        </w:rPr>
        <w:t>，自</w:t>
      </w:r>
      <w:r>
        <w:t>2022年6月5日起施行；</w:t>
      </w:r>
    </w:p>
    <w:p w14:paraId="0864CFB3">
      <w:pPr>
        <w:pStyle w:val="21"/>
        <w:ind w:firstLine="480"/>
      </w:pPr>
      <w:r>
        <w:rPr>
          <w:rFonts w:hint="eastAsia"/>
        </w:rPr>
        <w:t>（</w:t>
      </w:r>
      <w:r>
        <w:t>8）《中华人民共和国固体废物污染环境防治法》，2020年9月1日起施行；</w:t>
      </w:r>
    </w:p>
    <w:p w14:paraId="1E80AF51">
      <w:pPr>
        <w:pStyle w:val="21"/>
        <w:ind w:firstLine="480"/>
      </w:pPr>
      <w:r>
        <w:rPr>
          <w:rFonts w:hint="eastAsia"/>
        </w:rPr>
        <w:t>（</w:t>
      </w:r>
      <w:r>
        <w:t>9）《中华人民共和国土壤污染防治法》，自2019年1月1日起施行；</w:t>
      </w:r>
    </w:p>
    <w:p w14:paraId="49D26D20">
      <w:pPr>
        <w:pStyle w:val="21"/>
        <w:ind w:firstLine="480"/>
      </w:pPr>
      <w:r>
        <w:rPr>
          <w:rFonts w:hint="eastAsia"/>
        </w:rPr>
        <w:t>（</w:t>
      </w:r>
      <w:r>
        <w:t>10）《中华人民共和国清洁生产促进法》，2012年2月29日修正，自2012年7月1日起施行；</w:t>
      </w:r>
    </w:p>
    <w:p w14:paraId="28B12F08">
      <w:pPr>
        <w:pStyle w:val="21"/>
        <w:ind w:firstLine="480"/>
      </w:pPr>
      <w:r>
        <w:rPr>
          <w:rFonts w:hint="eastAsia"/>
        </w:rPr>
        <w:t>（</w:t>
      </w:r>
      <w:r>
        <w:t>11）</w:t>
      </w:r>
      <w:r>
        <w:rPr>
          <w:rFonts w:hint="eastAsia"/>
        </w:rPr>
        <w:t>《中华人民共和国防洪法》，</w:t>
      </w:r>
      <w:r>
        <w:t>2016年修改</w:t>
      </w:r>
      <w:r>
        <w:rPr>
          <w:rFonts w:hint="eastAsia"/>
        </w:rPr>
        <w:t>，自</w:t>
      </w:r>
      <w:r>
        <w:t>1998年1月1日起施行</w:t>
      </w:r>
      <w:r>
        <w:rPr>
          <w:rFonts w:hint="eastAsia"/>
        </w:rPr>
        <w:t>；</w:t>
      </w:r>
    </w:p>
    <w:p w14:paraId="3066078B">
      <w:pPr>
        <w:pStyle w:val="21"/>
        <w:ind w:firstLine="480"/>
      </w:pPr>
      <w:r>
        <w:rPr>
          <w:rFonts w:hint="eastAsia"/>
        </w:rPr>
        <w:t>（1</w:t>
      </w:r>
      <w:r>
        <w:t>2</w:t>
      </w:r>
      <w:r>
        <w:rPr>
          <w:rFonts w:hint="eastAsia"/>
        </w:rPr>
        <w:t>）《中华人民共和国港口法》，</w:t>
      </w:r>
      <w:r>
        <w:t>2018年12月29日第三次修正</w:t>
      </w:r>
      <w:r>
        <w:rPr>
          <w:rFonts w:hint="eastAsia"/>
        </w:rPr>
        <w:t>，</w:t>
      </w:r>
      <w:r>
        <w:t>自2004年1月1日起施行</w:t>
      </w:r>
      <w:r>
        <w:rPr>
          <w:rFonts w:hint="eastAsia"/>
        </w:rPr>
        <w:t>；</w:t>
      </w:r>
    </w:p>
    <w:p w14:paraId="553C3DD4">
      <w:pPr>
        <w:pStyle w:val="21"/>
        <w:ind w:firstLine="480"/>
      </w:pPr>
      <w:r>
        <w:rPr>
          <w:rFonts w:hint="eastAsia"/>
        </w:rPr>
        <w:t>（1</w:t>
      </w:r>
      <w:r>
        <w:t>3</w:t>
      </w:r>
      <w:r>
        <w:rPr>
          <w:rFonts w:hint="eastAsia"/>
        </w:rPr>
        <w:t>）《中华人民共和国航道法》，2016年7月2日第三次修正，自1998年1月1日起施行</w:t>
      </w:r>
    </w:p>
    <w:p w14:paraId="031CE229">
      <w:pPr>
        <w:pStyle w:val="21"/>
        <w:ind w:firstLine="480"/>
      </w:pPr>
      <w:r>
        <w:rPr>
          <w:rFonts w:hint="eastAsia"/>
        </w:rPr>
        <w:t>（1</w:t>
      </w:r>
      <w:r>
        <w:t>4</w:t>
      </w:r>
      <w:r>
        <w:rPr>
          <w:rFonts w:hint="eastAsia"/>
        </w:rPr>
        <w:t>）《中华人民共和国渔业法》，</w:t>
      </w:r>
      <w:r>
        <w:t>2013年12月28日第四次修正</w:t>
      </w:r>
      <w:r>
        <w:rPr>
          <w:rFonts w:hint="eastAsia"/>
        </w:rPr>
        <w:t>，自1998年1月1日起施行；</w:t>
      </w:r>
    </w:p>
    <w:p w14:paraId="6AF6CAD3">
      <w:pPr>
        <w:pStyle w:val="21"/>
        <w:ind w:firstLine="480"/>
      </w:pPr>
      <w:r>
        <w:rPr>
          <w:rFonts w:hint="eastAsia"/>
        </w:rPr>
        <w:t>（1</w:t>
      </w:r>
      <w:r>
        <w:t>2</w:t>
      </w:r>
      <w:r>
        <w:rPr>
          <w:rFonts w:hint="eastAsia"/>
        </w:rPr>
        <w:t>）《中华人民共和国长江保护法》，自</w:t>
      </w:r>
      <w:r>
        <w:t>2021年3月1日起施行</w:t>
      </w:r>
      <w:r>
        <w:rPr>
          <w:rFonts w:hint="eastAsia"/>
        </w:rPr>
        <w:t>；</w:t>
      </w:r>
    </w:p>
    <w:p w14:paraId="7420FACD">
      <w:pPr>
        <w:pStyle w:val="21"/>
        <w:ind w:firstLine="480"/>
      </w:pPr>
      <w:r>
        <w:rPr>
          <w:rFonts w:hint="eastAsia"/>
        </w:rPr>
        <w:t>（</w:t>
      </w:r>
      <w:r>
        <w:t>1</w:t>
      </w:r>
      <w:r>
        <w:rPr>
          <w:rFonts w:hint="eastAsia"/>
        </w:rPr>
        <w:t>3）《建设项目环境保护管理条例》（国务院令第682号，自2017年10月1日起施行）；</w:t>
      </w:r>
    </w:p>
    <w:p w14:paraId="304274A6">
      <w:pPr>
        <w:pStyle w:val="21"/>
        <w:ind w:firstLine="480"/>
      </w:pPr>
      <w:r>
        <w:rPr>
          <w:rFonts w:hint="eastAsia"/>
        </w:rPr>
        <w:t>（14）《中华人民共和国国民经济和社会发展第十四个五年规划和</w:t>
      </w:r>
      <w:r>
        <w:t>2035年远景目标纲要》</w:t>
      </w:r>
      <w:r>
        <w:rPr>
          <w:rFonts w:hint="eastAsia"/>
        </w:rPr>
        <w:t>；</w:t>
      </w:r>
    </w:p>
    <w:p w14:paraId="0081C69F">
      <w:pPr>
        <w:pStyle w:val="21"/>
        <w:ind w:firstLine="480"/>
      </w:pPr>
      <w:r>
        <w:rPr>
          <w:rFonts w:hint="eastAsia"/>
        </w:rPr>
        <w:t>（15）《国民经济行业分类》（G</w:t>
      </w:r>
      <w:r>
        <w:t>B/T 4754-2017</w:t>
      </w:r>
      <w:r>
        <w:rPr>
          <w:rFonts w:hint="eastAsia"/>
        </w:rPr>
        <w:t>）及其修改单（国统字[</w:t>
      </w:r>
      <w:r>
        <w:t>2019]66</w:t>
      </w:r>
      <w:r>
        <w:rPr>
          <w:rFonts w:hint="eastAsia"/>
        </w:rPr>
        <w:t>号），自2</w:t>
      </w:r>
      <w:r>
        <w:t>019</w:t>
      </w:r>
      <w:r>
        <w:rPr>
          <w:rFonts w:hint="eastAsia"/>
        </w:rPr>
        <w:t>年3月2</w:t>
      </w:r>
      <w:r>
        <w:t>9</w:t>
      </w:r>
      <w:r>
        <w:rPr>
          <w:rFonts w:hint="eastAsia"/>
        </w:rPr>
        <w:t>日起实施；</w:t>
      </w:r>
    </w:p>
    <w:p w14:paraId="0DAD6BBA">
      <w:pPr>
        <w:pStyle w:val="21"/>
        <w:ind w:firstLine="480"/>
      </w:pPr>
      <w:bookmarkStart w:id="42" w:name="_Hlk42973419"/>
      <w:bookmarkStart w:id="43" w:name="_Hlk42973263"/>
      <w:r>
        <w:rPr>
          <w:rFonts w:hint="eastAsia"/>
        </w:rPr>
        <w:t>（16）《产业结构调整指导目录（</w:t>
      </w:r>
      <w:r>
        <w:t>2024年本）</w:t>
      </w:r>
      <w:r>
        <w:rPr>
          <w:rFonts w:hint="eastAsia"/>
        </w:rPr>
        <w:t>》（中华人民共和国国家发展和改革委员会令第</w:t>
      </w:r>
      <w:r>
        <w:t>7号</w:t>
      </w:r>
      <w:r>
        <w:rPr>
          <w:rFonts w:hint="eastAsia"/>
        </w:rPr>
        <w:t>，自</w:t>
      </w:r>
      <w:r>
        <w:t>2024年2月1日起施行</w:t>
      </w:r>
      <w:r>
        <w:rPr>
          <w:rFonts w:hint="eastAsia"/>
        </w:rPr>
        <w:t>）；</w:t>
      </w:r>
    </w:p>
    <w:p w14:paraId="510A6742">
      <w:pPr>
        <w:pStyle w:val="21"/>
        <w:ind w:firstLine="480"/>
      </w:pPr>
      <w:r>
        <w:rPr>
          <w:rFonts w:hint="eastAsia"/>
        </w:rPr>
        <w:t>（17）</w:t>
      </w:r>
      <w:r>
        <w:rPr>
          <w:rFonts w:hint="eastAsia"/>
          <w:color w:val="000000"/>
        </w:rPr>
        <w:t>《建设项目环境影响评价分类管理名录（</w:t>
      </w:r>
      <w:r>
        <w:rPr>
          <w:color w:val="000000"/>
        </w:rPr>
        <w:t>2021年版）》（部令 第16号，自2021年1月1日起施行）；</w:t>
      </w:r>
    </w:p>
    <w:p w14:paraId="17282629">
      <w:pPr>
        <w:pStyle w:val="21"/>
        <w:ind w:firstLine="480"/>
      </w:pPr>
      <w:r>
        <w:rPr>
          <w:rFonts w:hint="eastAsia"/>
        </w:rPr>
        <w:t>（18）《固定污染源排污许可分类管理名录（2019年版）》部令（</w:t>
      </w:r>
      <w:r>
        <w:t>中华人民共和国生态环境部令</w:t>
      </w:r>
      <w:r>
        <w:rPr>
          <w:rFonts w:hint="eastAsia"/>
        </w:rPr>
        <w:t xml:space="preserve"> 第11号，201</w:t>
      </w:r>
      <w:r>
        <w:t>9</w:t>
      </w:r>
      <w:r>
        <w:rPr>
          <w:rFonts w:hint="eastAsia"/>
        </w:rPr>
        <w:t>年1</w:t>
      </w:r>
      <w:r>
        <w:t>2</w:t>
      </w:r>
      <w:r>
        <w:rPr>
          <w:rFonts w:hint="eastAsia"/>
        </w:rPr>
        <w:t>月2</w:t>
      </w:r>
      <w:r>
        <w:t>0</w:t>
      </w:r>
      <w:r>
        <w:rPr>
          <w:rFonts w:hint="eastAsia"/>
        </w:rPr>
        <w:t>日发布）；</w:t>
      </w:r>
    </w:p>
    <w:p w14:paraId="7A4CA026">
      <w:pPr>
        <w:pStyle w:val="21"/>
        <w:ind w:firstLine="480"/>
      </w:pPr>
      <w:r>
        <w:rPr>
          <w:rFonts w:hint="eastAsia"/>
        </w:rPr>
        <w:t>（19）《建设项目环境影响报告书（表）编制监督管理办法》及配套文件（生态环境部</w:t>
      </w:r>
      <w:r>
        <w:t>部令 第9号</w:t>
      </w:r>
      <w:r>
        <w:rPr>
          <w:rFonts w:hint="eastAsia"/>
        </w:rPr>
        <w:t>，</w:t>
      </w:r>
      <w:r>
        <w:t>2019年9月20日</w:t>
      </w:r>
      <w:r>
        <w:rPr>
          <w:rFonts w:hint="eastAsia"/>
        </w:rPr>
        <w:t>发布）；</w:t>
      </w:r>
    </w:p>
    <w:p w14:paraId="68A8C6EA">
      <w:pPr>
        <w:pStyle w:val="21"/>
        <w:ind w:firstLine="480"/>
      </w:pPr>
      <w:r>
        <w:rPr>
          <w:rFonts w:hint="eastAsia"/>
        </w:rPr>
        <w:t>（20）《环境影响评价公众参与办法》（部令 第4号，自2019年1月1日起施行）；</w:t>
      </w:r>
    </w:p>
    <w:p w14:paraId="2DE3FB9D">
      <w:pPr>
        <w:pStyle w:val="21"/>
        <w:ind w:firstLine="480"/>
      </w:pPr>
      <w:r>
        <w:rPr>
          <w:rFonts w:hint="eastAsia"/>
        </w:rPr>
        <w:t>（21）《建设项目环境影响报告书审批基础信息表》（环办环评函〔</w:t>
      </w:r>
      <w:r>
        <w:t>2020〕711号</w:t>
      </w:r>
      <w:r>
        <w:rPr>
          <w:rFonts w:hint="eastAsia"/>
        </w:rPr>
        <w:t>，于</w:t>
      </w:r>
      <w:r>
        <w:t>2021年4月1日启用</w:t>
      </w:r>
      <w:r>
        <w:rPr>
          <w:rFonts w:hint="eastAsia"/>
        </w:rPr>
        <w:t>）</w:t>
      </w:r>
    </w:p>
    <w:p w14:paraId="1E389280">
      <w:pPr>
        <w:pStyle w:val="21"/>
        <w:ind w:firstLine="480"/>
      </w:pPr>
      <w:r>
        <w:rPr>
          <w:rFonts w:hint="eastAsia"/>
        </w:rPr>
        <w:t>（22）《生态环境部建设项目环境影响报告书（表）审批程序规定》（生态环境部令第</w:t>
      </w:r>
      <w:r>
        <w:t>14号</w:t>
      </w:r>
      <w:r>
        <w:rPr>
          <w:rFonts w:hint="eastAsia"/>
        </w:rPr>
        <w:t>，自</w:t>
      </w:r>
      <w:r>
        <w:t>2021年1月1日起施行）</w:t>
      </w:r>
    </w:p>
    <w:bookmarkEnd w:id="42"/>
    <w:bookmarkEnd w:id="43"/>
    <w:p w14:paraId="7B58F184">
      <w:pPr>
        <w:pStyle w:val="21"/>
        <w:ind w:firstLine="480"/>
      </w:pPr>
      <w:r>
        <w:rPr>
          <w:rFonts w:hint="eastAsia"/>
        </w:rPr>
        <w:t>（23）关于印发《“</w:t>
      </w:r>
      <w:r>
        <w:rPr>
          <w:rFonts w:hint="eastAsia"/>
          <w:lang w:eastAsia="zh-CN"/>
        </w:rPr>
        <w:t>““十四五””</w:t>
      </w:r>
      <w:r>
        <w:rPr>
          <w:rFonts w:hint="eastAsia"/>
        </w:rPr>
        <w:t>”环境影响评价与排污许可工作实施方案》的通知（环环评〔</w:t>
      </w:r>
      <w:r>
        <w:t>2022〕26号）</w:t>
      </w:r>
      <w:r>
        <w:rPr>
          <w:rFonts w:hint="eastAsia"/>
        </w:rPr>
        <w:t>；</w:t>
      </w:r>
    </w:p>
    <w:p w14:paraId="1E365DED">
      <w:pPr>
        <w:pStyle w:val="21"/>
        <w:ind w:firstLine="480"/>
      </w:pPr>
      <w:r>
        <w:rPr>
          <w:rFonts w:hint="eastAsia"/>
        </w:rPr>
        <w:t>（24）《排污许可管理办法（试行）》（环境保护部令第48号，自2018年1月10日起施行）；</w:t>
      </w:r>
    </w:p>
    <w:p w14:paraId="26BE0213">
      <w:pPr>
        <w:pStyle w:val="21"/>
        <w:ind w:firstLine="480"/>
      </w:pPr>
      <w:r>
        <w:rPr>
          <w:rFonts w:hint="eastAsia"/>
        </w:rPr>
        <w:t>（25）《排污许可管理条例》（中华人民共和国国务院令</w:t>
      </w:r>
      <w:r>
        <w:t xml:space="preserve"> 第736号</w:t>
      </w:r>
      <w:r>
        <w:rPr>
          <w:rFonts w:hint="eastAsia"/>
        </w:rPr>
        <w:t>，自</w:t>
      </w:r>
      <w:r>
        <w:t>2021年3月1日起施行）</w:t>
      </w:r>
      <w:r>
        <w:rPr>
          <w:rFonts w:hint="eastAsia"/>
        </w:rPr>
        <w:t>；</w:t>
      </w:r>
    </w:p>
    <w:p w14:paraId="6262567C">
      <w:pPr>
        <w:pStyle w:val="21"/>
        <w:ind w:firstLine="480"/>
      </w:pPr>
      <w:r>
        <w:rPr>
          <w:rFonts w:hint="eastAsia"/>
        </w:rPr>
        <w:t>（26）《建设项目竣工环境保护验收暂行办法》（国环规环评〔</w:t>
      </w:r>
      <w:r>
        <w:t>2017〕4号</w:t>
      </w:r>
      <w:r>
        <w:rPr>
          <w:rFonts w:hint="eastAsia"/>
        </w:rPr>
        <w:t>，自</w:t>
      </w:r>
      <w:r>
        <w:t>2017年11月22日</w:t>
      </w:r>
      <w:r>
        <w:rPr>
          <w:rFonts w:hint="eastAsia"/>
        </w:rPr>
        <w:t>起施行）；</w:t>
      </w:r>
    </w:p>
    <w:p w14:paraId="719CCD1A">
      <w:pPr>
        <w:pStyle w:val="21"/>
        <w:ind w:firstLine="480"/>
      </w:pPr>
      <w:r>
        <w:rPr>
          <w:rFonts w:hint="eastAsia"/>
        </w:rPr>
        <w:t>（27）《建设项目环境保护事中事后监督管理办法（试行）》环发〔</w:t>
      </w:r>
      <w:r>
        <w:t>2015〕163号</w:t>
      </w:r>
      <w:r>
        <w:rPr>
          <w:rFonts w:hint="eastAsia"/>
        </w:rPr>
        <w:t>，自</w:t>
      </w:r>
      <w:r>
        <w:t>2015年12月11日</w:t>
      </w:r>
      <w:r>
        <w:rPr>
          <w:rFonts w:hint="eastAsia"/>
        </w:rPr>
        <w:t>起施行）；</w:t>
      </w:r>
    </w:p>
    <w:p w14:paraId="27755A87">
      <w:pPr>
        <w:pStyle w:val="21"/>
        <w:ind w:firstLine="480"/>
        <w:rPr>
          <w:color w:val="000000"/>
          <w:szCs w:val="24"/>
        </w:rPr>
      </w:pPr>
      <w:r>
        <w:rPr>
          <w:rFonts w:hint="eastAsia"/>
        </w:rPr>
        <w:t>（28）</w:t>
      </w:r>
      <w:r>
        <w:rPr>
          <w:color w:val="000000"/>
          <w:szCs w:val="24"/>
        </w:rPr>
        <w:t>《国家危险废物名录</w:t>
      </w:r>
      <w:r>
        <w:rPr>
          <w:rFonts w:hint="eastAsia"/>
          <w:color w:val="000000"/>
          <w:szCs w:val="24"/>
        </w:rPr>
        <w:t>（</w:t>
      </w:r>
      <w:r>
        <w:rPr>
          <w:color w:val="000000"/>
          <w:szCs w:val="24"/>
        </w:rPr>
        <w:t>202</w:t>
      </w:r>
      <w:r>
        <w:rPr>
          <w:rFonts w:hint="eastAsia"/>
          <w:color w:val="000000"/>
          <w:szCs w:val="24"/>
          <w:lang w:val="en-US" w:eastAsia="zh-CN"/>
        </w:rPr>
        <w:t>5</w:t>
      </w:r>
      <w:r>
        <w:rPr>
          <w:color w:val="000000"/>
          <w:szCs w:val="24"/>
        </w:rPr>
        <w:t>年版）》；</w:t>
      </w:r>
    </w:p>
    <w:p w14:paraId="5C1EBF17">
      <w:pPr>
        <w:pStyle w:val="21"/>
        <w:ind w:firstLine="480"/>
        <w:rPr>
          <w:color w:val="000000"/>
          <w:szCs w:val="24"/>
        </w:rPr>
      </w:pPr>
      <w:r>
        <w:rPr>
          <w:rFonts w:hint="eastAsia"/>
          <w:color w:val="000000"/>
          <w:szCs w:val="24"/>
        </w:rPr>
        <w:t>（29）《危险废物转移管理办法》（部令</w:t>
      </w:r>
      <w:r>
        <w:rPr>
          <w:color w:val="000000"/>
          <w:szCs w:val="24"/>
        </w:rPr>
        <w:t xml:space="preserve"> 第23号</w:t>
      </w:r>
      <w:r>
        <w:rPr>
          <w:rFonts w:hint="eastAsia"/>
          <w:color w:val="000000"/>
          <w:szCs w:val="24"/>
        </w:rPr>
        <w:t>，自</w:t>
      </w:r>
      <w:r>
        <w:rPr>
          <w:color w:val="000000"/>
          <w:szCs w:val="24"/>
        </w:rPr>
        <w:t>2022年1月1日起施行</w:t>
      </w:r>
      <w:r>
        <w:rPr>
          <w:rFonts w:hint="eastAsia"/>
          <w:color w:val="000000"/>
          <w:szCs w:val="24"/>
        </w:rPr>
        <w:t>）；</w:t>
      </w:r>
    </w:p>
    <w:p w14:paraId="2295AB3A">
      <w:pPr>
        <w:pStyle w:val="21"/>
        <w:ind w:firstLine="480"/>
      </w:pPr>
      <w:r>
        <w:rPr>
          <w:rFonts w:hint="eastAsia"/>
        </w:rPr>
        <w:t>（30）《中华人民共和国河道管理条例》（国务院令第</w:t>
      </w:r>
      <w:r>
        <w:t>3</w:t>
      </w:r>
      <w:r>
        <w:rPr>
          <w:rFonts w:hint="eastAsia"/>
        </w:rPr>
        <w:t>号，2</w:t>
      </w:r>
      <w:r>
        <w:t>081</w:t>
      </w:r>
      <w:r>
        <w:rPr>
          <w:rFonts w:hint="eastAsia"/>
        </w:rPr>
        <w:t>年3月1</w:t>
      </w:r>
      <w:r>
        <w:t>9</w:t>
      </w:r>
      <w:r>
        <w:rPr>
          <w:rFonts w:hint="eastAsia"/>
        </w:rPr>
        <w:t>日第四次修订）；</w:t>
      </w:r>
    </w:p>
    <w:p w14:paraId="72A4B935">
      <w:pPr>
        <w:pStyle w:val="21"/>
        <w:ind w:firstLine="480"/>
        <w:rPr>
          <w:color w:val="000000"/>
          <w:szCs w:val="24"/>
        </w:rPr>
      </w:pPr>
      <w:r>
        <w:rPr>
          <w:rFonts w:hint="eastAsia"/>
        </w:rPr>
        <w:t>（31）《防止拆船污染环境管理条例》（2017年3月1日第二次修订）。</w:t>
      </w:r>
    </w:p>
    <w:p w14:paraId="5E59062B">
      <w:pPr>
        <w:pStyle w:val="33"/>
      </w:pPr>
      <w:bookmarkStart w:id="44" w:name="_Toc87"/>
      <w:r>
        <w:rPr>
          <w:rFonts w:hint="eastAsia"/>
          <w:color w:val="000000"/>
          <w:szCs w:val="24"/>
        </w:rPr>
        <w:t>2.2.2</w:t>
      </w:r>
      <w:r>
        <w:rPr>
          <w:rFonts w:hint="eastAsia"/>
        </w:rPr>
        <w:t>地方法律、法规、政策</w:t>
      </w:r>
      <w:bookmarkEnd w:id="44"/>
    </w:p>
    <w:p w14:paraId="1ADF7978">
      <w:pPr>
        <w:pStyle w:val="21"/>
        <w:ind w:firstLine="480"/>
      </w:pPr>
      <w:r>
        <w:rPr>
          <w:rFonts w:hint="eastAsia"/>
        </w:rPr>
        <w:t>（</w:t>
      </w:r>
      <w:r>
        <w:t>1</w:t>
      </w:r>
      <w:r>
        <w:rPr>
          <w:rFonts w:hint="eastAsia"/>
        </w:rPr>
        <w:t>）</w:t>
      </w:r>
      <w:r>
        <w:t>《</w:t>
      </w:r>
      <w:r>
        <w:rPr>
          <w:rFonts w:hint="eastAsia"/>
        </w:rPr>
        <w:t>湖南省环境保护条例</w:t>
      </w:r>
      <w:r>
        <w:t>》，2019年9月28日</w:t>
      </w:r>
      <w:r>
        <w:rPr>
          <w:rFonts w:hint="eastAsia"/>
        </w:rPr>
        <w:t>修正</w:t>
      </w:r>
      <w:r>
        <w:t>；</w:t>
      </w:r>
    </w:p>
    <w:p w14:paraId="0A43B42F">
      <w:pPr>
        <w:pStyle w:val="21"/>
        <w:ind w:firstLine="480"/>
      </w:pPr>
      <w:r>
        <w:rPr>
          <w:rFonts w:hint="eastAsia"/>
        </w:rPr>
        <w:t>（</w:t>
      </w:r>
      <w:r>
        <w:t>2</w:t>
      </w:r>
      <w:r>
        <w:rPr>
          <w:rFonts w:hint="eastAsia"/>
        </w:rPr>
        <w:t>）</w:t>
      </w:r>
      <w:r>
        <w:t>湖南省生态环境厅《湖南省大气污染防治条例》（2017年6月1日）</w:t>
      </w:r>
    </w:p>
    <w:p w14:paraId="62641C67">
      <w:pPr>
        <w:pStyle w:val="21"/>
        <w:ind w:firstLine="480"/>
      </w:pPr>
      <w:r>
        <w:rPr>
          <w:rFonts w:hint="eastAsia"/>
        </w:rPr>
        <w:t>（</w:t>
      </w:r>
      <w:r>
        <w:t>3</w:t>
      </w:r>
      <w:r>
        <w:rPr>
          <w:rFonts w:hint="eastAsia"/>
        </w:rPr>
        <w:t>）《湖南省用水定额》(DB43/T388-20</w:t>
      </w:r>
      <w:r>
        <w:t>20</w:t>
      </w:r>
      <w:r>
        <w:rPr>
          <w:rFonts w:hint="eastAsia"/>
        </w:rPr>
        <w:t>)；</w:t>
      </w:r>
    </w:p>
    <w:p w14:paraId="35A29780">
      <w:pPr>
        <w:pStyle w:val="21"/>
        <w:ind w:firstLine="480"/>
      </w:pPr>
      <w:r>
        <w:rPr>
          <w:rFonts w:hint="eastAsia"/>
        </w:rPr>
        <w:t>（</w:t>
      </w:r>
      <w:r>
        <w:t>4</w:t>
      </w:r>
      <w:r>
        <w:rPr>
          <w:rFonts w:hint="eastAsia"/>
        </w:rPr>
        <w:t>）《湖南省长江经济带发展负面清单实施细则（试行）》相</w:t>
      </w:r>
      <w:r>
        <w:t>；</w:t>
      </w:r>
    </w:p>
    <w:p w14:paraId="399ADB8C">
      <w:pPr>
        <w:pStyle w:val="21"/>
        <w:ind w:firstLine="480"/>
      </w:pPr>
      <w:r>
        <w:rPr>
          <w:rFonts w:hint="eastAsia"/>
        </w:rPr>
        <w:t>（</w:t>
      </w:r>
      <w:r>
        <w:t>5</w:t>
      </w:r>
      <w:r>
        <w:rPr>
          <w:rFonts w:hint="eastAsia"/>
        </w:rPr>
        <w:t>）《长江经济带生态环境保护规划》（环规财〔</w:t>
      </w:r>
      <w:r>
        <w:t>2017〕88号）</w:t>
      </w:r>
    </w:p>
    <w:p w14:paraId="04E55FBB">
      <w:pPr>
        <w:pStyle w:val="21"/>
        <w:ind w:firstLine="480"/>
      </w:pPr>
      <w:r>
        <w:rPr>
          <w:rFonts w:hint="eastAsia"/>
        </w:rPr>
        <w:t>（6）《湖南省湘江保护条例》（</w:t>
      </w:r>
      <w:r>
        <w:t>2023年第二次修正）</w:t>
      </w:r>
      <w:r>
        <w:rPr>
          <w:rFonts w:hint="eastAsia"/>
        </w:rPr>
        <w:t>；</w:t>
      </w:r>
    </w:p>
    <w:p w14:paraId="6E96428D">
      <w:pPr>
        <w:pStyle w:val="21"/>
        <w:ind w:firstLine="480"/>
      </w:pPr>
      <w:r>
        <w:rPr>
          <w:rFonts w:hint="eastAsia"/>
        </w:rPr>
        <w:t>（7）</w:t>
      </w:r>
      <w:r>
        <w:t>《关于开展“僵尸船”专项清理整治的决定》</w:t>
      </w:r>
      <w:r>
        <w:rPr>
          <w:rFonts w:hint="eastAsia"/>
        </w:rPr>
        <w:t>（湖南省第</w:t>
      </w:r>
      <w:r>
        <w:t>2号总河长令</w:t>
      </w:r>
      <w:r>
        <w:rPr>
          <w:rFonts w:hint="eastAsia"/>
        </w:rPr>
        <w:t>）；</w:t>
      </w:r>
    </w:p>
    <w:p w14:paraId="15840F37">
      <w:pPr>
        <w:pStyle w:val="21"/>
        <w:ind w:firstLine="480"/>
      </w:pPr>
      <w:r>
        <w:rPr>
          <w:rFonts w:hint="eastAsia"/>
        </w:rPr>
        <w:t>（8）《湖南省渔业条例》（2010年7月29日第五次修正）；</w:t>
      </w:r>
    </w:p>
    <w:p w14:paraId="06486B5A">
      <w:pPr>
        <w:pStyle w:val="21"/>
        <w:ind w:firstLine="480"/>
      </w:pPr>
      <w:r>
        <w:rPr>
          <w:rFonts w:hint="eastAsia"/>
        </w:rPr>
        <w:t>（</w:t>
      </w:r>
      <w:r>
        <w:t>9</w:t>
      </w:r>
      <w:r>
        <w:rPr>
          <w:rFonts w:hint="eastAsia"/>
        </w:rPr>
        <w:t>）《衡阳市“</w:t>
      </w:r>
      <w:r>
        <w:rPr>
          <w:rFonts w:hint="eastAsia"/>
          <w:lang w:eastAsia="zh-CN"/>
        </w:rPr>
        <w:t>““十四五””</w:t>
      </w:r>
      <w:r>
        <w:rPr>
          <w:rFonts w:hint="eastAsia"/>
        </w:rPr>
        <w:t>”生态环境保护规划》（衡政办发</w:t>
      </w:r>
      <w:r>
        <w:t>[2021]37号）</w:t>
      </w:r>
      <w:r>
        <w:rPr>
          <w:rFonts w:hint="eastAsia"/>
        </w:rPr>
        <w:t>；</w:t>
      </w:r>
    </w:p>
    <w:p w14:paraId="585D7905">
      <w:pPr>
        <w:pStyle w:val="21"/>
        <w:ind w:firstLine="480"/>
      </w:pPr>
      <w:r>
        <w:rPr>
          <w:rFonts w:hint="eastAsia"/>
        </w:rPr>
        <w:t>（</w:t>
      </w:r>
      <w:r>
        <w:t>10</w:t>
      </w:r>
      <w:r>
        <w:rPr>
          <w:rFonts w:hint="eastAsia"/>
        </w:rPr>
        <w:t>）</w:t>
      </w:r>
      <w:r>
        <w:rPr>
          <w:rFonts w:hint="eastAsia"/>
          <w:u w:val="none"/>
        </w:rPr>
        <w:t>《衡阳市</w:t>
      </w:r>
      <w:r>
        <w:rPr>
          <w:rFonts w:hint="eastAsia"/>
          <w:u w:val="none"/>
          <w:lang w:val="en-US" w:eastAsia="zh-CN"/>
        </w:rPr>
        <w:t>生态环境局</w:t>
      </w:r>
      <w:r>
        <w:rPr>
          <w:rFonts w:hint="eastAsia"/>
          <w:u w:val="none"/>
        </w:rPr>
        <w:t>关于</w:t>
      </w:r>
      <w:r>
        <w:rPr>
          <w:rFonts w:hint="eastAsia"/>
          <w:u w:val="none"/>
          <w:lang w:val="en-US" w:eastAsia="zh-CN"/>
        </w:rPr>
        <w:t>发布衡阳市生态环境分区管控更新成果（2023年版）的通知</w:t>
      </w:r>
      <w:r>
        <w:rPr>
          <w:u w:val="none"/>
        </w:rPr>
        <w:t>》</w:t>
      </w:r>
      <w:r>
        <w:rPr>
          <w:rFonts w:hint="eastAsia"/>
          <w:u w:val="none"/>
        </w:rPr>
        <w:t>（衡</w:t>
      </w:r>
      <w:r>
        <w:rPr>
          <w:rFonts w:hint="eastAsia"/>
          <w:u w:val="none"/>
          <w:lang w:val="en-US" w:eastAsia="zh-CN"/>
        </w:rPr>
        <w:t>环</w:t>
      </w:r>
      <w:r>
        <w:rPr>
          <w:rFonts w:hint="eastAsia"/>
          <w:u w:val="none"/>
        </w:rPr>
        <w:t>发〔</w:t>
      </w:r>
      <w:r>
        <w:rPr>
          <w:u w:val="none"/>
        </w:rPr>
        <w:t>202</w:t>
      </w:r>
      <w:r>
        <w:rPr>
          <w:rFonts w:hint="eastAsia"/>
          <w:u w:val="none"/>
          <w:lang w:val="en-US" w:eastAsia="zh-CN"/>
        </w:rPr>
        <w:t>4</w:t>
      </w:r>
      <w:r>
        <w:rPr>
          <w:u w:val="none"/>
        </w:rPr>
        <w:t>〕</w:t>
      </w:r>
      <w:r>
        <w:rPr>
          <w:rFonts w:hint="eastAsia"/>
          <w:u w:val="none"/>
          <w:lang w:val="en-US" w:eastAsia="zh-CN"/>
        </w:rPr>
        <w:t>194</w:t>
      </w:r>
      <w:r>
        <w:rPr>
          <w:u w:val="none"/>
        </w:rPr>
        <w:t>号）</w:t>
      </w:r>
      <w:r>
        <w:rPr>
          <w:rFonts w:hint="eastAsia"/>
        </w:rPr>
        <w:t>。</w:t>
      </w:r>
    </w:p>
    <w:p w14:paraId="31B51A2A">
      <w:pPr>
        <w:pStyle w:val="33"/>
      </w:pPr>
      <w:bookmarkStart w:id="45" w:name="_Toc21218"/>
      <w:r>
        <w:rPr>
          <w:rFonts w:hint="eastAsia"/>
        </w:rPr>
        <w:t>2.2.3技术导则与标准</w:t>
      </w:r>
      <w:bookmarkEnd w:id="45"/>
    </w:p>
    <w:p w14:paraId="7FEB9ADF">
      <w:pPr>
        <w:pStyle w:val="21"/>
        <w:ind w:firstLine="480"/>
      </w:pPr>
      <w:r>
        <w:rPr>
          <w:rFonts w:hint="eastAsia"/>
        </w:rPr>
        <w:t>（1）《建设项目环境影响评价技术导则 总纲》(HJ2.1—2016）；</w:t>
      </w:r>
    </w:p>
    <w:p w14:paraId="0CA16815">
      <w:pPr>
        <w:pStyle w:val="21"/>
        <w:ind w:firstLine="480"/>
      </w:pPr>
      <w:r>
        <w:rPr>
          <w:rFonts w:hint="eastAsia"/>
        </w:rPr>
        <w:t>（2）《环境影响评价技术导则 大气环境》（HJ 2.2—2018）；</w:t>
      </w:r>
    </w:p>
    <w:p w14:paraId="2722A5E7">
      <w:pPr>
        <w:pStyle w:val="21"/>
        <w:ind w:firstLine="480"/>
      </w:pPr>
      <w:r>
        <w:rPr>
          <w:rFonts w:hint="eastAsia"/>
        </w:rPr>
        <w:t>（3）《环境影响评价技术导则 地表水环境》（HJ 2.3—2018）；</w:t>
      </w:r>
    </w:p>
    <w:p w14:paraId="77435233">
      <w:pPr>
        <w:pStyle w:val="21"/>
        <w:ind w:firstLine="480"/>
      </w:pPr>
      <w:r>
        <w:rPr>
          <w:rFonts w:hint="eastAsia"/>
        </w:rPr>
        <w:t>（4）《环境影响评价技术导则 地下水环境》（HJ 610-2016）；</w:t>
      </w:r>
    </w:p>
    <w:p w14:paraId="6CB57313">
      <w:pPr>
        <w:pStyle w:val="21"/>
        <w:ind w:firstLine="480"/>
      </w:pPr>
      <w:r>
        <w:rPr>
          <w:rFonts w:hint="eastAsia"/>
        </w:rPr>
        <w:t>（5）《环境影响评价技术导则 声环境》（HJ 2.4-2021）；</w:t>
      </w:r>
    </w:p>
    <w:p w14:paraId="080C862F">
      <w:pPr>
        <w:pStyle w:val="21"/>
        <w:ind w:firstLine="480"/>
      </w:pPr>
      <w:r>
        <w:rPr>
          <w:rFonts w:hint="eastAsia"/>
        </w:rPr>
        <w:t>（6）《环境影响评价技术导则 土壤环境（试行）》（HJ964—2018）；</w:t>
      </w:r>
    </w:p>
    <w:p w14:paraId="63846A4D">
      <w:pPr>
        <w:pStyle w:val="21"/>
        <w:ind w:firstLine="480"/>
      </w:pPr>
      <w:r>
        <w:rPr>
          <w:rFonts w:hint="eastAsia"/>
        </w:rPr>
        <w:t>（7）《环境影响评价技术导则 生态影响》（HJ 19—2022）；</w:t>
      </w:r>
    </w:p>
    <w:p w14:paraId="69EEF2C6">
      <w:pPr>
        <w:pStyle w:val="21"/>
        <w:ind w:firstLine="480"/>
      </w:pPr>
      <w:r>
        <w:rPr>
          <w:rFonts w:hint="eastAsia"/>
        </w:rPr>
        <w:t>（8）《建设项目环境风险评价技术导则》（HJ 169—2018）；</w:t>
      </w:r>
    </w:p>
    <w:p w14:paraId="0EE477DD">
      <w:pPr>
        <w:pStyle w:val="21"/>
        <w:ind w:firstLine="480"/>
      </w:pPr>
      <w:r>
        <w:rPr>
          <w:rFonts w:hint="eastAsia"/>
        </w:rPr>
        <w:t>（9））《排污许可证申请与核发技术规范 废弃资源加工工业》（HJ 1034—2019）；</w:t>
      </w:r>
    </w:p>
    <w:p w14:paraId="6DD71C45">
      <w:pPr>
        <w:pStyle w:val="21"/>
        <w:ind w:firstLine="480"/>
      </w:pPr>
      <w:r>
        <w:rPr>
          <w:rFonts w:hint="eastAsia"/>
        </w:rPr>
        <w:t>（10）《经济、技术政策生态环境影响分析技术指南（试行）》（环办环评函〔2020〕590号）；</w:t>
      </w:r>
    </w:p>
    <w:p w14:paraId="36352A87">
      <w:pPr>
        <w:pStyle w:val="21"/>
        <w:ind w:firstLine="480"/>
      </w:pPr>
      <w:r>
        <w:rPr>
          <w:rFonts w:hint="eastAsia"/>
        </w:rPr>
        <w:t>（11）《绿色拆船通用规范》（GB/T36661-2018）。</w:t>
      </w:r>
    </w:p>
    <w:p w14:paraId="30C58B9F">
      <w:pPr>
        <w:pStyle w:val="33"/>
      </w:pPr>
      <w:bookmarkStart w:id="46" w:name="_Toc256"/>
      <w:r>
        <w:rPr>
          <w:rFonts w:hint="eastAsia"/>
        </w:rPr>
        <w:t>2.2.4其他依据</w:t>
      </w:r>
      <w:bookmarkEnd w:id="46"/>
    </w:p>
    <w:p w14:paraId="05AFB93D">
      <w:pPr>
        <w:pStyle w:val="21"/>
        <w:ind w:firstLine="480"/>
      </w:pPr>
      <w:r>
        <w:rPr>
          <w:rFonts w:hint="eastAsia"/>
        </w:rPr>
        <w:t>（1）《衡东兴泰船舶维修有限公司船舶修理建设项目</w:t>
      </w:r>
      <w:r>
        <w:rPr>
          <w:rFonts w:hint="eastAsia"/>
          <w:lang w:val="en-US" w:eastAsia="zh-CN"/>
        </w:rPr>
        <w:t>环境影响报告书（报批稿）</w:t>
      </w:r>
      <w:r>
        <w:rPr>
          <w:rFonts w:hint="eastAsia"/>
        </w:rPr>
        <w:t>》</w:t>
      </w:r>
      <w:r>
        <w:rPr>
          <w:rFonts w:hint="eastAsia"/>
          <w:lang w:val="en-US" w:eastAsia="zh-CN"/>
        </w:rPr>
        <w:t>及</w:t>
      </w:r>
      <w:r>
        <w:rPr>
          <w:rFonts w:hint="default" w:ascii="Times New Roman" w:hAnsi="Times New Roman" w:cs="Times New Roman"/>
          <w:lang w:val="en-US" w:eastAsia="zh-CN"/>
        </w:rPr>
        <w:t>其批复“东环评</w:t>
      </w:r>
      <w:r>
        <w:rPr>
          <w:rFonts w:hint="default" w:ascii="Times New Roman" w:hAnsi="Times New Roman" w:eastAsia="微软雅黑" w:cs="Times New Roman"/>
          <w:lang w:val="en-US" w:eastAsia="zh-CN"/>
        </w:rPr>
        <w:t>〔2019〕14号</w:t>
      </w:r>
      <w:r>
        <w:rPr>
          <w:rFonts w:hint="default" w:ascii="Times New Roman" w:hAnsi="Times New Roman" w:cs="Times New Roman"/>
          <w:lang w:val="en-US" w:eastAsia="zh-CN"/>
        </w:rPr>
        <w:t>”</w:t>
      </w:r>
      <w:r>
        <w:rPr>
          <w:rFonts w:hint="default" w:ascii="Times New Roman" w:hAnsi="Times New Roman" w:cs="Times New Roman"/>
        </w:rPr>
        <w:t>；</w:t>
      </w:r>
    </w:p>
    <w:p w14:paraId="4BE60CAD">
      <w:pPr>
        <w:pStyle w:val="21"/>
        <w:ind w:firstLine="480"/>
        <w:rPr>
          <w:rFonts w:hint="eastAsia"/>
        </w:rPr>
      </w:pPr>
      <w:r>
        <w:rPr>
          <w:rFonts w:hint="eastAsia"/>
        </w:rPr>
        <w:t>（2）《衡东兴泰船舶维修有限公司船舶修理建设项目</w:t>
      </w:r>
      <w:r>
        <w:rPr>
          <w:rFonts w:hint="eastAsia"/>
          <w:lang w:val="en-US" w:eastAsia="zh-CN"/>
        </w:rPr>
        <w:t>竣工环境保护验收监测报告</w:t>
      </w:r>
      <w:r>
        <w:rPr>
          <w:rFonts w:hint="eastAsia"/>
        </w:rPr>
        <w:t>》；</w:t>
      </w:r>
    </w:p>
    <w:p w14:paraId="56106D8D">
      <w:pPr>
        <w:pStyle w:val="21"/>
        <w:ind w:firstLine="480"/>
        <w:rPr>
          <w:rFonts w:hint="eastAsia" w:eastAsia="宋体"/>
          <w:lang w:eastAsia="zh-CN"/>
        </w:rPr>
      </w:pPr>
      <w:r>
        <w:rPr>
          <w:rFonts w:hint="eastAsia"/>
          <w:lang w:eastAsia="zh-CN"/>
        </w:rPr>
        <w:t>（</w:t>
      </w:r>
      <w:r>
        <w:rPr>
          <w:rFonts w:hint="eastAsia"/>
          <w:lang w:val="en-US" w:eastAsia="zh-CN"/>
        </w:rPr>
        <w:t>3</w:t>
      </w:r>
      <w:r>
        <w:rPr>
          <w:rFonts w:hint="eastAsia"/>
          <w:lang w:eastAsia="zh-CN"/>
        </w:rPr>
        <w:t>）《</w:t>
      </w:r>
      <w:r>
        <w:rPr>
          <w:rFonts w:hint="eastAsia"/>
        </w:rPr>
        <w:t>衡东兴泰船舶维修有限公司</w:t>
      </w:r>
      <w:r>
        <w:rPr>
          <w:rFonts w:hint="eastAsia"/>
          <w:lang w:val="en-US" w:eastAsia="zh-CN"/>
        </w:rPr>
        <w:t>突发环境事件应急预案</w:t>
      </w:r>
      <w:r>
        <w:rPr>
          <w:rFonts w:hint="eastAsia"/>
          <w:lang w:eastAsia="zh-CN"/>
        </w:rPr>
        <w:t>》</w:t>
      </w:r>
    </w:p>
    <w:p w14:paraId="52247217">
      <w:pPr>
        <w:pStyle w:val="21"/>
        <w:ind w:firstLine="480"/>
        <w:rPr>
          <w:rFonts w:hint="eastAsia"/>
        </w:rPr>
      </w:pPr>
      <w:r>
        <w:rPr>
          <w:rFonts w:hint="eastAsia"/>
        </w:rPr>
        <w:t>（</w:t>
      </w:r>
      <w:r>
        <w:rPr>
          <w:rFonts w:hint="eastAsia"/>
          <w:lang w:val="en-US" w:eastAsia="zh-CN"/>
        </w:rPr>
        <w:t>4</w:t>
      </w:r>
      <w:r>
        <w:rPr>
          <w:rFonts w:hint="eastAsia"/>
        </w:rPr>
        <w:t>）建设单位提供的其他资料。</w:t>
      </w:r>
    </w:p>
    <w:p w14:paraId="15F7DBC2">
      <w:pPr>
        <w:pStyle w:val="28"/>
      </w:pPr>
      <w:bookmarkStart w:id="47" w:name="_Toc22103"/>
      <w:r>
        <w:rPr>
          <w:rFonts w:hint="eastAsia"/>
        </w:rPr>
        <w:t>2.3环境影响识别与评价因子筛选</w:t>
      </w:r>
      <w:bookmarkEnd w:id="47"/>
    </w:p>
    <w:p w14:paraId="35751167">
      <w:pPr>
        <w:pStyle w:val="33"/>
      </w:pPr>
      <w:bookmarkStart w:id="48" w:name="_Toc1134"/>
      <w:bookmarkStart w:id="49" w:name="_Toc22046"/>
      <w:r>
        <w:rPr>
          <w:rFonts w:hint="eastAsia"/>
        </w:rPr>
        <w:t>2.3.1环境影响识别</w:t>
      </w:r>
      <w:bookmarkEnd w:id="48"/>
      <w:bookmarkEnd w:id="49"/>
    </w:p>
    <w:p w14:paraId="299AA357">
      <w:pPr>
        <w:pStyle w:val="21"/>
        <w:ind w:firstLine="480"/>
      </w:pPr>
      <w:r>
        <w:t>根据项目工程特点、区域环境状况以及对环境的影响性质与程度，对拟建项目的环境影响因素进行筛选。各阶段环境影响因素筛选见下表。</w:t>
      </w:r>
    </w:p>
    <w:p w14:paraId="2C79186C">
      <w:pPr>
        <w:pStyle w:val="23"/>
      </w:pPr>
      <w:r>
        <w:t>表</w:t>
      </w:r>
      <w:r>
        <w:rPr>
          <w:rFonts w:hint="eastAsia"/>
        </w:rPr>
        <w:t>2.3</w:t>
      </w:r>
      <w:r>
        <w:t>-1环境影响因素识别矩阵表</w:t>
      </w:r>
    </w:p>
    <w:tbl>
      <w:tblPr>
        <w:tblStyle w:val="15"/>
        <w:tblW w:w="50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56"/>
        <w:gridCol w:w="1256"/>
        <w:gridCol w:w="635"/>
        <w:gridCol w:w="635"/>
        <w:gridCol w:w="635"/>
        <w:gridCol w:w="635"/>
        <w:gridCol w:w="635"/>
        <w:gridCol w:w="635"/>
        <w:gridCol w:w="635"/>
        <w:gridCol w:w="635"/>
        <w:gridCol w:w="739"/>
      </w:tblGrid>
      <w:tr w14:paraId="2D200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gridSpan w:val="2"/>
            <w:vMerge w:val="restart"/>
            <w:tcBorders>
              <w:tl2br w:val="nil"/>
              <w:tr2bl w:val="nil"/>
            </w:tcBorders>
            <w:vAlign w:val="center"/>
          </w:tcPr>
          <w:p w14:paraId="3CAABC94">
            <w:pPr>
              <w:pStyle w:val="31"/>
            </w:pPr>
            <w:r>
              <w:t>环境资源</w:t>
            </w:r>
          </w:p>
        </w:tc>
        <w:tc>
          <w:tcPr>
            <w:tcW w:w="0" w:type="auto"/>
            <w:gridSpan w:val="4"/>
            <w:tcBorders>
              <w:tl2br w:val="nil"/>
              <w:tr2bl w:val="nil"/>
            </w:tcBorders>
            <w:vAlign w:val="center"/>
          </w:tcPr>
          <w:p w14:paraId="7D114F55">
            <w:pPr>
              <w:pStyle w:val="31"/>
            </w:pPr>
            <w:r>
              <w:t>施工期</w:t>
            </w:r>
          </w:p>
        </w:tc>
        <w:tc>
          <w:tcPr>
            <w:tcW w:w="0" w:type="auto"/>
            <w:gridSpan w:val="5"/>
            <w:tcBorders>
              <w:tl2br w:val="nil"/>
              <w:tr2bl w:val="nil"/>
            </w:tcBorders>
            <w:vAlign w:val="center"/>
          </w:tcPr>
          <w:p w14:paraId="1C1D5A5B">
            <w:pPr>
              <w:pStyle w:val="31"/>
            </w:pPr>
            <w:r>
              <w:t>运营期</w:t>
            </w:r>
          </w:p>
        </w:tc>
      </w:tr>
      <w:tr w14:paraId="6B5FD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gridSpan w:val="2"/>
            <w:vMerge w:val="continue"/>
            <w:tcBorders>
              <w:tl2br w:val="nil"/>
              <w:tr2bl w:val="nil"/>
            </w:tcBorders>
            <w:vAlign w:val="center"/>
          </w:tcPr>
          <w:p w14:paraId="419AF9F1">
            <w:pPr>
              <w:pStyle w:val="31"/>
            </w:pPr>
          </w:p>
        </w:tc>
        <w:tc>
          <w:tcPr>
            <w:tcW w:w="0" w:type="auto"/>
            <w:tcBorders>
              <w:tl2br w:val="nil"/>
              <w:tr2bl w:val="nil"/>
            </w:tcBorders>
            <w:vAlign w:val="center"/>
          </w:tcPr>
          <w:p w14:paraId="71736319">
            <w:pPr>
              <w:pStyle w:val="31"/>
            </w:pPr>
            <w:r>
              <w:rPr>
                <w:rFonts w:hint="eastAsia"/>
              </w:rPr>
              <w:t>施工</w:t>
            </w:r>
          </w:p>
          <w:p w14:paraId="72AD9A09">
            <w:pPr>
              <w:pStyle w:val="31"/>
            </w:pPr>
            <w:r>
              <w:rPr>
                <w:rFonts w:hint="eastAsia"/>
              </w:rPr>
              <w:t>废水</w:t>
            </w:r>
          </w:p>
        </w:tc>
        <w:tc>
          <w:tcPr>
            <w:tcW w:w="0" w:type="auto"/>
            <w:tcBorders>
              <w:tl2br w:val="nil"/>
              <w:tr2bl w:val="nil"/>
            </w:tcBorders>
            <w:vAlign w:val="center"/>
          </w:tcPr>
          <w:p w14:paraId="08FB311A">
            <w:pPr>
              <w:pStyle w:val="31"/>
            </w:pPr>
            <w:r>
              <w:rPr>
                <w:rFonts w:hint="eastAsia"/>
              </w:rPr>
              <w:t>施工</w:t>
            </w:r>
          </w:p>
          <w:p w14:paraId="2797603A">
            <w:pPr>
              <w:pStyle w:val="31"/>
            </w:pPr>
            <w:r>
              <w:rPr>
                <w:rFonts w:hint="eastAsia"/>
              </w:rPr>
              <w:t>噪声</w:t>
            </w:r>
          </w:p>
        </w:tc>
        <w:tc>
          <w:tcPr>
            <w:tcW w:w="0" w:type="auto"/>
            <w:tcBorders>
              <w:tl2br w:val="nil"/>
              <w:tr2bl w:val="nil"/>
            </w:tcBorders>
            <w:vAlign w:val="center"/>
          </w:tcPr>
          <w:p w14:paraId="75536A3B">
            <w:pPr>
              <w:pStyle w:val="31"/>
            </w:pPr>
            <w:r>
              <w:rPr>
                <w:rFonts w:hint="eastAsia"/>
              </w:rPr>
              <w:t>施工</w:t>
            </w:r>
          </w:p>
          <w:p w14:paraId="1C1F5F7C">
            <w:pPr>
              <w:pStyle w:val="31"/>
            </w:pPr>
            <w:r>
              <w:rPr>
                <w:rFonts w:hint="eastAsia"/>
              </w:rPr>
              <w:t>扬尘</w:t>
            </w:r>
          </w:p>
        </w:tc>
        <w:tc>
          <w:tcPr>
            <w:tcW w:w="0" w:type="auto"/>
            <w:tcBorders>
              <w:tl2br w:val="nil"/>
              <w:tr2bl w:val="nil"/>
            </w:tcBorders>
            <w:vAlign w:val="center"/>
          </w:tcPr>
          <w:p w14:paraId="7A9EC9DF">
            <w:pPr>
              <w:pStyle w:val="31"/>
            </w:pPr>
            <w:r>
              <w:rPr>
                <w:rFonts w:hint="eastAsia"/>
              </w:rPr>
              <w:t>施工</w:t>
            </w:r>
          </w:p>
          <w:p w14:paraId="38B36833">
            <w:pPr>
              <w:pStyle w:val="31"/>
            </w:pPr>
            <w:r>
              <w:rPr>
                <w:rFonts w:hint="eastAsia"/>
              </w:rPr>
              <w:t>固废</w:t>
            </w:r>
          </w:p>
        </w:tc>
        <w:tc>
          <w:tcPr>
            <w:tcW w:w="0" w:type="auto"/>
            <w:tcBorders>
              <w:tl2br w:val="nil"/>
              <w:tr2bl w:val="nil"/>
            </w:tcBorders>
            <w:vAlign w:val="center"/>
          </w:tcPr>
          <w:p w14:paraId="55B12D7D">
            <w:pPr>
              <w:pStyle w:val="31"/>
              <w:rPr>
                <w:spacing w:val="-51"/>
              </w:rPr>
            </w:pPr>
            <w:r>
              <w:t>废水</w:t>
            </w:r>
          </w:p>
          <w:p w14:paraId="092B00C3">
            <w:pPr>
              <w:pStyle w:val="31"/>
            </w:pPr>
            <w:r>
              <w:t>排放</w:t>
            </w:r>
          </w:p>
        </w:tc>
        <w:tc>
          <w:tcPr>
            <w:tcW w:w="0" w:type="auto"/>
            <w:tcBorders>
              <w:tl2br w:val="nil"/>
              <w:tr2bl w:val="nil"/>
            </w:tcBorders>
            <w:vAlign w:val="center"/>
          </w:tcPr>
          <w:p w14:paraId="51C8DEFA">
            <w:pPr>
              <w:pStyle w:val="31"/>
            </w:pPr>
            <w:r>
              <w:t>废气</w:t>
            </w:r>
          </w:p>
          <w:p w14:paraId="221F081F">
            <w:pPr>
              <w:pStyle w:val="31"/>
            </w:pPr>
            <w:r>
              <w:t>排放</w:t>
            </w:r>
          </w:p>
        </w:tc>
        <w:tc>
          <w:tcPr>
            <w:tcW w:w="0" w:type="auto"/>
            <w:tcBorders>
              <w:tl2br w:val="nil"/>
              <w:tr2bl w:val="nil"/>
            </w:tcBorders>
            <w:vAlign w:val="center"/>
          </w:tcPr>
          <w:p w14:paraId="1B8744F0">
            <w:pPr>
              <w:pStyle w:val="31"/>
            </w:pPr>
            <w:r>
              <w:t>噪声</w:t>
            </w:r>
          </w:p>
          <w:p w14:paraId="2F6C5D17">
            <w:pPr>
              <w:pStyle w:val="31"/>
            </w:pPr>
            <w:r>
              <w:t>排放</w:t>
            </w:r>
          </w:p>
        </w:tc>
        <w:tc>
          <w:tcPr>
            <w:tcW w:w="0" w:type="auto"/>
            <w:tcBorders>
              <w:tl2br w:val="nil"/>
              <w:tr2bl w:val="nil"/>
            </w:tcBorders>
            <w:vAlign w:val="center"/>
          </w:tcPr>
          <w:p w14:paraId="6B3C1425">
            <w:pPr>
              <w:pStyle w:val="31"/>
            </w:pPr>
            <w:r>
              <w:t>固废</w:t>
            </w:r>
          </w:p>
          <w:p w14:paraId="7ADDB2A5">
            <w:pPr>
              <w:pStyle w:val="31"/>
            </w:pPr>
            <w:r>
              <w:t>排放</w:t>
            </w:r>
          </w:p>
        </w:tc>
        <w:tc>
          <w:tcPr>
            <w:tcW w:w="0" w:type="auto"/>
            <w:tcBorders>
              <w:tl2br w:val="nil"/>
              <w:tr2bl w:val="nil"/>
            </w:tcBorders>
            <w:vAlign w:val="center"/>
          </w:tcPr>
          <w:p w14:paraId="261B50AA">
            <w:pPr>
              <w:pStyle w:val="31"/>
            </w:pPr>
            <w:r>
              <w:t>事故</w:t>
            </w:r>
          </w:p>
          <w:p w14:paraId="00F252D1">
            <w:pPr>
              <w:pStyle w:val="31"/>
            </w:pPr>
            <w:r>
              <w:t>风险</w:t>
            </w:r>
          </w:p>
        </w:tc>
      </w:tr>
      <w:tr w14:paraId="1484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restart"/>
            <w:tcBorders>
              <w:tl2br w:val="nil"/>
              <w:tr2bl w:val="nil"/>
            </w:tcBorders>
            <w:vAlign w:val="center"/>
          </w:tcPr>
          <w:p w14:paraId="56370D7F">
            <w:pPr>
              <w:pStyle w:val="31"/>
            </w:pPr>
            <w:r>
              <w:t>自然</w:t>
            </w:r>
            <w:r>
              <w:rPr>
                <w:spacing w:val="-103"/>
              </w:rPr>
              <w:t xml:space="preserve"> </w:t>
            </w:r>
            <w:r>
              <w:t>环境</w:t>
            </w:r>
          </w:p>
        </w:tc>
        <w:tc>
          <w:tcPr>
            <w:tcW w:w="0" w:type="auto"/>
            <w:tcBorders>
              <w:tl2br w:val="nil"/>
              <w:tr2bl w:val="nil"/>
            </w:tcBorders>
            <w:vAlign w:val="center"/>
          </w:tcPr>
          <w:p w14:paraId="190D93C9">
            <w:pPr>
              <w:pStyle w:val="31"/>
            </w:pPr>
            <w:r>
              <w:t>环境空气</w:t>
            </w:r>
          </w:p>
        </w:tc>
        <w:tc>
          <w:tcPr>
            <w:tcW w:w="0" w:type="auto"/>
            <w:tcBorders>
              <w:tl2br w:val="nil"/>
              <w:tr2bl w:val="nil"/>
            </w:tcBorders>
            <w:vAlign w:val="center"/>
          </w:tcPr>
          <w:p w14:paraId="38EB46E8">
            <w:pPr>
              <w:pStyle w:val="31"/>
            </w:pPr>
          </w:p>
        </w:tc>
        <w:tc>
          <w:tcPr>
            <w:tcW w:w="0" w:type="auto"/>
            <w:tcBorders>
              <w:tl2br w:val="nil"/>
              <w:tr2bl w:val="nil"/>
            </w:tcBorders>
            <w:vAlign w:val="center"/>
          </w:tcPr>
          <w:p w14:paraId="350C17A9">
            <w:pPr>
              <w:pStyle w:val="31"/>
            </w:pPr>
          </w:p>
        </w:tc>
        <w:tc>
          <w:tcPr>
            <w:tcW w:w="0" w:type="auto"/>
            <w:tcBorders>
              <w:tl2br w:val="nil"/>
              <w:tr2bl w:val="nil"/>
            </w:tcBorders>
            <w:vAlign w:val="center"/>
          </w:tcPr>
          <w:p w14:paraId="2BF47F05">
            <w:pPr>
              <w:pStyle w:val="31"/>
            </w:pPr>
            <w:r>
              <w:t>-1SP</w:t>
            </w:r>
          </w:p>
        </w:tc>
        <w:tc>
          <w:tcPr>
            <w:tcW w:w="0" w:type="auto"/>
            <w:tcBorders>
              <w:tl2br w:val="nil"/>
              <w:tr2bl w:val="nil"/>
            </w:tcBorders>
            <w:vAlign w:val="center"/>
          </w:tcPr>
          <w:p w14:paraId="5DB9A760">
            <w:pPr>
              <w:pStyle w:val="31"/>
            </w:pPr>
          </w:p>
        </w:tc>
        <w:tc>
          <w:tcPr>
            <w:tcW w:w="0" w:type="auto"/>
            <w:tcBorders>
              <w:tl2br w:val="nil"/>
              <w:tr2bl w:val="nil"/>
            </w:tcBorders>
            <w:vAlign w:val="center"/>
          </w:tcPr>
          <w:p w14:paraId="3656EF6F">
            <w:pPr>
              <w:pStyle w:val="31"/>
            </w:pPr>
          </w:p>
        </w:tc>
        <w:tc>
          <w:tcPr>
            <w:tcW w:w="0" w:type="auto"/>
            <w:tcBorders>
              <w:tl2br w:val="nil"/>
              <w:tr2bl w:val="nil"/>
            </w:tcBorders>
            <w:vAlign w:val="center"/>
          </w:tcPr>
          <w:p w14:paraId="402C3BD5">
            <w:pPr>
              <w:pStyle w:val="31"/>
            </w:pPr>
            <w:r>
              <w:t>-2LP</w:t>
            </w:r>
          </w:p>
        </w:tc>
        <w:tc>
          <w:tcPr>
            <w:tcW w:w="0" w:type="auto"/>
            <w:tcBorders>
              <w:tl2br w:val="nil"/>
              <w:tr2bl w:val="nil"/>
            </w:tcBorders>
            <w:vAlign w:val="center"/>
          </w:tcPr>
          <w:p w14:paraId="7C00314B">
            <w:pPr>
              <w:pStyle w:val="31"/>
            </w:pPr>
          </w:p>
        </w:tc>
        <w:tc>
          <w:tcPr>
            <w:tcW w:w="0" w:type="auto"/>
            <w:tcBorders>
              <w:tl2br w:val="nil"/>
              <w:tr2bl w:val="nil"/>
            </w:tcBorders>
            <w:vAlign w:val="center"/>
          </w:tcPr>
          <w:p w14:paraId="2E6FFF10">
            <w:pPr>
              <w:pStyle w:val="31"/>
            </w:pPr>
          </w:p>
        </w:tc>
        <w:tc>
          <w:tcPr>
            <w:tcW w:w="0" w:type="auto"/>
            <w:tcBorders>
              <w:tl2br w:val="nil"/>
              <w:tr2bl w:val="nil"/>
            </w:tcBorders>
            <w:vAlign w:val="center"/>
          </w:tcPr>
          <w:p w14:paraId="1998C32F">
            <w:pPr>
              <w:pStyle w:val="31"/>
            </w:pPr>
            <w:r>
              <w:t>-2SW</w:t>
            </w:r>
          </w:p>
        </w:tc>
      </w:tr>
      <w:tr w14:paraId="08358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tl2br w:val="nil"/>
              <w:tr2bl w:val="nil"/>
            </w:tcBorders>
            <w:vAlign w:val="center"/>
          </w:tcPr>
          <w:p w14:paraId="404712EB">
            <w:pPr>
              <w:pStyle w:val="31"/>
            </w:pPr>
          </w:p>
        </w:tc>
        <w:tc>
          <w:tcPr>
            <w:tcW w:w="0" w:type="auto"/>
            <w:tcBorders>
              <w:tl2br w:val="nil"/>
              <w:tr2bl w:val="nil"/>
            </w:tcBorders>
            <w:vAlign w:val="center"/>
          </w:tcPr>
          <w:p w14:paraId="01AD8BB4">
            <w:pPr>
              <w:pStyle w:val="31"/>
            </w:pPr>
            <w:r>
              <w:t>地表水</w:t>
            </w:r>
          </w:p>
        </w:tc>
        <w:tc>
          <w:tcPr>
            <w:tcW w:w="0" w:type="auto"/>
            <w:tcBorders>
              <w:tl2br w:val="nil"/>
              <w:tr2bl w:val="nil"/>
            </w:tcBorders>
            <w:vAlign w:val="center"/>
          </w:tcPr>
          <w:p w14:paraId="79D5330E">
            <w:pPr>
              <w:pStyle w:val="31"/>
            </w:pPr>
            <w:r>
              <w:t>-1SP</w:t>
            </w:r>
          </w:p>
        </w:tc>
        <w:tc>
          <w:tcPr>
            <w:tcW w:w="0" w:type="auto"/>
            <w:tcBorders>
              <w:tl2br w:val="nil"/>
              <w:tr2bl w:val="nil"/>
            </w:tcBorders>
            <w:vAlign w:val="center"/>
          </w:tcPr>
          <w:p w14:paraId="0314A8E9">
            <w:pPr>
              <w:pStyle w:val="31"/>
            </w:pPr>
          </w:p>
        </w:tc>
        <w:tc>
          <w:tcPr>
            <w:tcW w:w="0" w:type="auto"/>
            <w:tcBorders>
              <w:tl2br w:val="nil"/>
              <w:tr2bl w:val="nil"/>
            </w:tcBorders>
            <w:vAlign w:val="center"/>
          </w:tcPr>
          <w:p w14:paraId="4AA0B0C3">
            <w:pPr>
              <w:pStyle w:val="31"/>
            </w:pPr>
          </w:p>
        </w:tc>
        <w:tc>
          <w:tcPr>
            <w:tcW w:w="0" w:type="auto"/>
            <w:tcBorders>
              <w:tl2br w:val="nil"/>
              <w:tr2bl w:val="nil"/>
            </w:tcBorders>
            <w:vAlign w:val="center"/>
          </w:tcPr>
          <w:p w14:paraId="11A9F293">
            <w:pPr>
              <w:pStyle w:val="31"/>
            </w:pPr>
          </w:p>
        </w:tc>
        <w:tc>
          <w:tcPr>
            <w:tcW w:w="0" w:type="auto"/>
            <w:tcBorders>
              <w:tl2br w:val="nil"/>
              <w:tr2bl w:val="nil"/>
            </w:tcBorders>
            <w:vAlign w:val="center"/>
          </w:tcPr>
          <w:p w14:paraId="3FCBB1B1">
            <w:pPr>
              <w:pStyle w:val="31"/>
            </w:pPr>
            <w:r>
              <w:t>-1</w:t>
            </w:r>
            <w:r>
              <w:rPr>
                <w:rFonts w:hint="eastAsia"/>
              </w:rPr>
              <w:t>L</w:t>
            </w:r>
            <w:r>
              <w:t>P</w:t>
            </w:r>
          </w:p>
        </w:tc>
        <w:tc>
          <w:tcPr>
            <w:tcW w:w="0" w:type="auto"/>
            <w:tcBorders>
              <w:tl2br w:val="nil"/>
              <w:tr2bl w:val="nil"/>
            </w:tcBorders>
            <w:vAlign w:val="center"/>
          </w:tcPr>
          <w:p w14:paraId="046CA74D">
            <w:pPr>
              <w:pStyle w:val="31"/>
            </w:pPr>
          </w:p>
        </w:tc>
        <w:tc>
          <w:tcPr>
            <w:tcW w:w="0" w:type="auto"/>
            <w:tcBorders>
              <w:tl2br w:val="nil"/>
              <w:tr2bl w:val="nil"/>
            </w:tcBorders>
            <w:vAlign w:val="center"/>
          </w:tcPr>
          <w:p w14:paraId="575AD9D6">
            <w:pPr>
              <w:pStyle w:val="31"/>
            </w:pPr>
          </w:p>
        </w:tc>
        <w:tc>
          <w:tcPr>
            <w:tcW w:w="0" w:type="auto"/>
            <w:tcBorders>
              <w:tl2br w:val="nil"/>
              <w:tr2bl w:val="nil"/>
            </w:tcBorders>
            <w:vAlign w:val="center"/>
          </w:tcPr>
          <w:p w14:paraId="5363CEAB">
            <w:pPr>
              <w:pStyle w:val="31"/>
            </w:pPr>
          </w:p>
        </w:tc>
        <w:tc>
          <w:tcPr>
            <w:tcW w:w="0" w:type="auto"/>
            <w:tcBorders>
              <w:tl2br w:val="nil"/>
              <w:tr2bl w:val="nil"/>
            </w:tcBorders>
            <w:vAlign w:val="center"/>
          </w:tcPr>
          <w:p w14:paraId="36FC4D7D">
            <w:pPr>
              <w:pStyle w:val="31"/>
            </w:pPr>
            <w:r>
              <w:t>-2SW</w:t>
            </w:r>
          </w:p>
        </w:tc>
      </w:tr>
      <w:tr w14:paraId="14E51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tl2br w:val="nil"/>
              <w:tr2bl w:val="nil"/>
            </w:tcBorders>
            <w:vAlign w:val="center"/>
          </w:tcPr>
          <w:p w14:paraId="086E4CA2">
            <w:pPr>
              <w:pStyle w:val="31"/>
            </w:pPr>
          </w:p>
        </w:tc>
        <w:tc>
          <w:tcPr>
            <w:tcW w:w="0" w:type="auto"/>
            <w:tcBorders>
              <w:tl2br w:val="nil"/>
              <w:tr2bl w:val="nil"/>
            </w:tcBorders>
            <w:vAlign w:val="center"/>
          </w:tcPr>
          <w:p w14:paraId="0A7EA4B8">
            <w:pPr>
              <w:pStyle w:val="31"/>
            </w:pPr>
            <w:r>
              <w:t>声环境</w:t>
            </w:r>
          </w:p>
        </w:tc>
        <w:tc>
          <w:tcPr>
            <w:tcW w:w="0" w:type="auto"/>
            <w:tcBorders>
              <w:tl2br w:val="nil"/>
              <w:tr2bl w:val="nil"/>
            </w:tcBorders>
            <w:vAlign w:val="center"/>
          </w:tcPr>
          <w:p w14:paraId="3781CD5C">
            <w:pPr>
              <w:pStyle w:val="31"/>
            </w:pPr>
          </w:p>
        </w:tc>
        <w:tc>
          <w:tcPr>
            <w:tcW w:w="0" w:type="auto"/>
            <w:tcBorders>
              <w:tl2br w:val="nil"/>
              <w:tr2bl w:val="nil"/>
            </w:tcBorders>
            <w:vAlign w:val="center"/>
          </w:tcPr>
          <w:p w14:paraId="09B003D7">
            <w:pPr>
              <w:pStyle w:val="31"/>
            </w:pPr>
            <w:r>
              <w:t>-</w:t>
            </w:r>
            <w:r>
              <w:rPr>
                <w:rFonts w:hint="eastAsia"/>
              </w:rPr>
              <w:t>2</w:t>
            </w:r>
            <w:r>
              <w:t>SP</w:t>
            </w:r>
          </w:p>
        </w:tc>
        <w:tc>
          <w:tcPr>
            <w:tcW w:w="0" w:type="auto"/>
            <w:tcBorders>
              <w:tl2br w:val="nil"/>
              <w:tr2bl w:val="nil"/>
            </w:tcBorders>
            <w:vAlign w:val="center"/>
          </w:tcPr>
          <w:p w14:paraId="408FF22C">
            <w:pPr>
              <w:pStyle w:val="31"/>
            </w:pPr>
          </w:p>
        </w:tc>
        <w:tc>
          <w:tcPr>
            <w:tcW w:w="0" w:type="auto"/>
            <w:tcBorders>
              <w:tl2br w:val="nil"/>
              <w:tr2bl w:val="nil"/>
            </w:tcBorders>
            <w:vAlign w:val="center"/>
          </w:tcPr>
          <w:p w14:paraId="6D4A5C1F">
            <w:pPr>
              <w:pStyle w:val="31"/>
            </w:pPr>
          </w:p>
        </w:tc>
        <w:tc>
          <w:tcPr>
            <w:tcW w:w="0" w:type="auto"/>
            <w:tcBorders>
              <w:tl2br w:val="nil"/>
              <w:tr2bl w:val="nil"/>
            </w:tcBorders>
            <w:vAlign w:val="center"/>
          </w:tcPr>
          <w:p w14:paraId="58BCFECE">
            <w:pPr>
              <w:pStyle w:val="31"/>
            </w:pPr>
          </w:p>
        </w:tc>
        <w:tc>
          <w:tcPr>
            <w:tcW w:w="0" w:type="auto"/>
            <w:tcBorders>
              <w:tl2br w:val="nil"/>
              <w:tr2bl w:val="nil"/>
            </w:tcBorders>
            <w:vAlign w:val="center"/>
          </w:tcPr>
          <w:p w14:paraId="65881441">
            <w:pPr>
              <w:pStyle w:val="31"/>
            </w:pPr>
          </w:p>
        </w:tc>
        <w:tc>
          <w:tcPr>
            <w:tcW w:w="0" w:type="auto"/>
            <w:tcBorders>
              <w:tl2br w:val="nil"/>
              <w:tr2bl w:val="nil"/>
            </w:tcBorders>
            <w:vAlign w:val="center"/>
          </w:tcPr>
          <w:p w14:paraId="307DDF46">
            <w:pPr>
              <w:pStyle w:val="31"/>
            </w:pPr>
            <w:r>
              <w:t>-1LP</w:t>
            </w:r>
          </w:p>
        </w:tc>
        <w:tc>
          <w:tcPr>
            <w:tcW w:w="0" w:type="auto"/>
            <w:tcBorders>
              <w:tl2br w:val="nil"/>
              <w:tr2bl w:val="nil"/>
            </w:tcBorders>
            <w:vAlign w:val="center"/>
          </w:tcPr>
          <w:p w14:paraId="67EB5C37">
            <w:pPr>
              <w:pStyle w:val="31"/>
            </w:pPr>
          </w:p>
        </w:tc>
        <w:tc>
          <w:tcPr>
            <w:tcW w:w="0" w:type="auto"/>
            <w:tcBorders>
              <w:tl2br w:val="nil"/>
              <w:tr2bl w:val="nil"/>
            </w:tcBorders>
            <w:vAlign w:val="center"/>
          </w:tcPr>
          <w:p w14:paraId="4B3D9760">
            <w:pPr>
              <w:pStyle w:val="31"/>
            </w:pPr>
          </w:p>
        </w:tc>
      </w:tr>
      <w:tr w14:paraId="27D7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tl2br w:val="nil"/>
              <w:tr2bl w:val="nil"/>
            </w:tcBorders>
            <w:vAlign w:val="center"/>
          </w:tcPr>
          <w:p w14:paraId="34EB0C39">
            <w:pPr>
              <w:pStyle w:val="31"/>
            </w:pPr>
          </w:p>
        </w:tc>
        <w:tc>
          <w:tcPr>
            <w:tcW w:w="0" w:type="auto"/>
            <w:tcBorders>
              <w:tl2br w:val="nil"/>
              <w:tr2bl w:val="nil"/>
            </w:tcBorders>
            <w:vAlign w:val="center"/>
          </w:tcPr>
          <w:p w14:paraId="3840A3A0">
            <w:pPr>
              <w:pStyle w:val="31"/>
            </w:pPr>
            <w:r>
              <w:t>地下水</w:t>
            </w:r>
          </w:p>
        </w:tc>
        <w:tc>
          <w:tcPr>
            <w:tcW w:w="0" w:type="auto"/>
            <w:tcBorders>
              <w:tl2br w:val="nil"/>
              <w:tr2bl w:val="nil"/>
            </w:tcBorders>
            <w:vAlign w:val="center"/>
          </w:tcPr>
          <w:p w14:paraId="22D1FE74">
            <w:pPr>
              <w:pStyle w:val="31"/>
            </w:pPr>
            <w:r>
              <w:t>-1SP</w:t>
            </w:r>
          </w:p>
        </w:tc>
        <w:tc>
          <w:tcPr>
            <w:tcW w:w="0" w:type="auto"/>
            <w:tcBorders>
              <w:tl2br w:val="nil"/>
              <w:tr2bl w:val="nil"/>
            </w:tcBorders>
            <w:vAlign w:val="center"/>
          </w:tcPr>
          <w:p w14:paraId="6D1B6CFF">
            <w:pPr>
              <w:pStyle w:val="31"/>
            </w:pPr>
          </w:p>
        </w:tc>
        <w:tc>
          <w:tcPr>
            <w:tcW w:w="0" w:type="auto"/>
            <w:tcBorders>
              <w:tl2br w:val="nil"/>
              <w:tr2bl w:val="nil"/>
            </w:tcBorders>
            <w:vAlign w:val="center"/>
          </w:tcPr>
          <w:p w14:paraId="50317011">
            <w:pPr>
              <w:pStyle w:val="31"/>
            </w:pPr>
          </w:p>
        </w:tc>
        <w:tc>
          <w:tcPr>
            <w:tcW w:w="0" w:type="auto"/>
            <w:tcBorders>
              <w:tl2br w:val="nil"/>
              <w:tr2bl w:val="nil"/>
            </w:tcBorders>
            <w:vAlign w:val="center"/>
          </w:tcPr>
          <w:p w14:paraId="13A518B7">
            <w:pPr>
              <w:pStyle w:val="31"/>
            </w:pPr>
          </w:p>
        </w:tc>
        <w:tc>
          <w:tcPr>
            <w:tcW w:w="0" w:type="auto"/>
            <w:tcBorders>
              <w:tl2br w:val="nil"/>
              <w:tr2bl w:val="nil"/>
            </w:tcBorders>
            <w:vAlign w:val="center"/>
          </w:tcPr>
          <w:p w14:paraId="3FB1E478">
            <w:pPr>
              <w:pStyle w:val="31"/>
            </w:pPr>
          </w:p>
        </w:tc>
        <w:tc>
          <w:tcPr>
            <w:tcW w:w="0" w:type="auto"/>
            <w:tcBorders>
              <w:tl2br w:val="nil"/>
              <w:tr2bl w:val="nil"/>
            </w:tcBorders>
            <w:vAlign w:val="center"/>
          </w:tcPr>
          <w:p w14:paraId="2696AE15">
            <w:pPr>
              <w:pStyle w:val="31"/>
            </w:pPr>
          </w:p>
        </w:tc>
        <w:tc>
          <w:tcPr>
            <w:tcW w:w="0" w:type="auto"/>
            <w:tcBorders>
              <w:tl2br w:val="nil"/>
              <w:tr2bl w:val="nil"/>
            </w:tcBorders>
            <w:vAlign w:val="center"/>
          </w:tcPr>
          <w:p w14:paraId="7DA110F9">
            <w:pPr>
              <w:pStyle w:val="31"/>
            </w:pPr>
          </w:p>
        </w:tc>
        <w:tc>
          <w:tcPr>
            <w:tcW w:w="0" w:type="auto"/>
            <w:tcBorders>
              <w:tl2br w:val="nil"/>
              <w:tr2bl w:val="nil"/>
            </w:tcBorders>
            <w:vAlign w:val="center"/>
          </w:tcPr>
          <w:p w14:paraId="27152D40">
            <w:pPr>
              <w:pStyle w:val="31"/>
            </w:pPr>
          </w:p>
        </w:tc>
        <w:tc>
          <w:tcPr>
            <w:tcW w:w="0" w:type="auto"/>
            <w:tcBorders>
              <w:tl2br w:val="nil"/>
              <w:tr2bl w:val="nil"/>
            </w:tcBorders>
            <w:vAlign w:val="center"/>
          </w:tcPr>
          <w:p w14:paraId="7275AF69">
            <w:pPr>
              <w:pStyle w:val="31"/>
            </w:pPr>
            <w:r>
              <w:t>-2SW</w:t>
            </w:r>
          </w:p>
        </w:tc>
      </w:tr>
      <w:tr w14:paraId="22A7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tl2br w:val="nil"/>
              <w:tr2bl w:val="nil"/>
            </w:tcBorders>
            <w:vAlign w:val="center"/>
          </w:tcPr>
          <w:p w14:paraId="0AC0F303">
            <w:pPr>
              <w:pStyle w:val="31"/>
            </w:pPr>
          </w:p>
        </w:tc>
        <w:tc>
          <w:tcPr>
            <w:tcW w:w="0" w:type="auto"/>
            <w:tcBorders>
              <w:tl2br w:val="nil"/>
              <w:tr2bl w:val="nil"/>
            </w:tcBorders>
            <w:vAlign w:val="center"/>
          </w:tcPr>
          <w:p w14:paraId="27375D9C">
            <w:pPr>
              <w:pStyle w:val="31"/>
            </w:pPr>
            <w:r>
              <w:t>土壤</w:t>
            </w:r>
          </w:p>
        </w:tc>
        <w:tc>
          <w:tcPr>
            <w:tcW w:w="0" w:type="auto"/>
            <w:tcBorders>
              <w:tl2br w:val="nil"/>
              <w:tr2bl w:val="nil"/>
            </w:tcBorders>
            <w:vAlign w:val="center"/>
          </w:tcPr>
          <w:p w14:paraId="120EE0E6">
            <w:pPr>
              <w:pStyle w:val="31"/>
            </w:pPr>
            <w:r>
              <w:t>-1SP</w:t>
            </w:r>
          </w:p>
        </w:tc>
        <w:tc>
          <w:tcPr>
            <w:tcW w:w="0" w:type="auto"/>
            <w:tcBorders>
              <w:tl2br w:val="nil"/>
              <w:tr2bl w:val="nil"/>
            </w:tcBorders>
            <w:vAlign w:val="center"/>
          </w:tcPr>
          <w:p w14:paraId="5FD68602">
            <w:pPr>
              <w:pStyle w:val="31"/>
            </w:pPr>
          </w:p>
        </w:tc>
        <w:tc>
          <w:tcPr>
            <w:tcW w:w="0" w:type="auto"/>
            <w:tcBorders>
              <w:tl2br w:val="nil"/>
              <w:tr2bl w:val="nil"/>
            </w:tcBorders>
            <w:vAlign w:val="center"/>
          </w:tcPr>
          <w:p w14:paraId="43DFEC3E">
            <w:pPr>
              <w:pStyle w:val="31"/>
            </w:pPr>
          </w:p>
        </w:tc>
        <w:tc>
          <w:tcPr>
            <w:tcW w:w="0" w:type="auto"/>
            <w:tcBorders>
              <w:tl2br w:val="nil"/>
              <w:tr2bl w:val="nil"/>
            </w:tcBorders>
            <w:vAlign w:val="center"/>
          </w:tcPr>
          <w:p w14:paraId="0076E77C">
            <w:pPr>
              <w:pStyle w:val="31"/>
            </w:pPr>
            <w:r>
              <w:t>-1SP</w:t>
            </w:r>
          </w:p>
        </w:tc>
        <w:tc>
          <w:tcPr>
            <w:tcW w:w="0" w:type="auto"/>
            <w:tcBorders>
              <w:tl2br w:val="nil"/>
              <w:tr2bl w:val="nil"/>
            </w:tcBorders>
            <w:vAlign w:val="center"/>
          </w:tcPr>
          <w:p w14:paraId="6C9B352B">
            <w:pPr>
              <w:pStyle w:val="31"/>
            </w:pPr>
          </w:p>
        </w:tc>
        <w:tc>
          <w:tcPr>
            <w:tcW w:w="0" w:type="auto"/>
            <w:tcBorders>
              <w:tl2br w:val="nil"/>
              <w:tr2bl w:val="nil"/>
            </w:tcBorders>
            <w:vAlign w:val="center"/>
          </w:tcPr>
          <w:p w14:paraId="1953AA83">
            <w:pPr>
              <w:pStyle w:val="31"/>
            </w:pPr>
            <w:r>
              <w:t>-1LP</w:t>
            </w:r>
          </w:p>
        </w:tc>
        <w:tc>
          <w:tcPr>
            <w:tcW w:w="0" w:type="auto"/>
            <w:tcBorders>
              <w:tl2br w:val="nil"/>
              <w:tr2bl w:val="nil"/>
            </w:tcBorders>
            <w:vAlign w:val="center"/>
          </w:tcPr>
          <w:p w14:paraId="39C11438">
            <w:pPr>
              <w:pStyle w:val="31"/>
            </w:pPr>
          </w:p>
        </w:tc>
        <w:tc>
          <w:tcPr>
            <w:tcW w:w="0" w:type="auto"/>
            <w:tcBorders>
              <w:tl2br w:val="nil"/>
              <w:tr2bl w:val="nil"/>
            </w:tcBorders>
            <w:vAlign w:val="center"/>
          </w:tcPr>
          <w:p w14:paraId="3F317DC3">
            <w:pPr>
              <w:pStyle w:val="31"/>
            </w:pPr>
            <w:r>
              <w:t>-1LP</w:t>
            </w:r>
          </w:p>
        </w:tc>
        <w:tc>
          <w:tcPr>
            <w:tcW w:w="0" w:type="auto"/>
            <w:tcBorders>
              <w:tl2br w:val="nil"/>
              <w:tr2bl w:val="nil"/>
            </w:tcBorders>
            <w:vAlign w:val="center"/>
          </w:tcPr>
          <w:p w14:paraId="68B27E60">
            <w:pPr>
              <w:pStyle w:val="31"/>
            </w:pPr>
          </w:p>
        </w:tc>
      </w:tr>
    </w:tbl>
    <w:p w14:paraId="3018AD9C">
      <w:pPr>
        <w:pStyle w:val="21"/>
        <w:ind w:firstLine="420"/>
        <w:rPr>
          <w:sz w:val="21"/>
          <w:szCs w:val="20"/>
        </w:rPr>
      </w:pPr>
      <w:r>
        <w:rPr>
          <w:rFonts w:hint="eastAsia"/>
          <w:sz w:val="21"/>
          <w:szCs w:val="20"/>
        </w:rPr>
        <w:t>注：影响程度：1—轻微，2—一般，3—显著影响范围；P—局部，W—大范围影响时段，S—短期，L—长期影响性质；+—有利，-—不利。</w:t>
      </w:r>
    </w:p>
    <w:p w14:paraId="39C0815C">
      <w:pPr>
        <w:pStyle w:val="33"/>
      </w:pPr>
      <w:bookmarkStart w:id="50" w:name="_Toc18802"/>
      <w:bookmarkStart w:id="51" w:name="_Toc18502"/>
      <w:r>
        <w:rPr>
          <w:rFonts w:hint="eastAsia"/>
        </w:rPr>
        <w:t>2.3.2评价因子筛选</w:t>
      </w:r>
      <w:bookmarkEnd w:id="50"/>
      <w:bookmarkEnd w:id="51"/>
    </w:p>
    <w:p w14:paraId="6A850E0C">
      <w:pPr>
        <w:pStyle w:val="21"/>
        <w:bidi w:val="0"/>
      </w:pPr>
      <w:r>
        <w:t>依据环境影响因素识别结果，并结合区域环境功能要求及所确定的环境保护目标，筛选确定评价因子见下表。</w:t>
      </w:r>
    </w:p>
    <w:p w14:paraId="0D78DF45">
      <w:pPr>
        <w:pStyle w:val="23"/>
        <w:bidi w:val="0"/>
      </w:pPr>
      <w:r>
        <w:t>表</w:t>
      </w:r>
      <w:r>
        <w:rPr>
          <w:rFonts w:hint="eastAsia"/>
          <w:lang w:val="en-US" w:eastAsia="zh-CN"/>
        </w:rPr>
        <w:t>2</w:t>
      </w:r>
      <w:r>
        <w:t>.2-2评价因子一览表</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99"/>
        <w:gridCol w:w="3209"/>
        <w:gridCol w:w="2295"/>
        <w:gridCol w:w="2134"/>
      </w:tblGrid>
      <w:tr w14:paraId="273A5E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vMerge w:val="restar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11A05AC">
            <w:pPr>
              <w:pStyle w:val="31"/>
            </w:pPr>
            <w:r>
              <w:t>环境</w:t>
            </w:r>
          </w:p>
          <w:p w14:paraId="0E588CC0">
            <w:pPr>
              <w:pStyle w:val="31"/>
            </w:pPr>
            <w:r>
              <w:t>要素</w:t>
            </w:r>
          </w:p>
        </w:tc>
        <w:tc>
          <w:tcPr>
            <w:tcW w:w="1924" w:type="pct"/>
            <w:vMerge w:val="restar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61C5F90">
            <w:pPr>
              <w:pStyle w:val="31"/>
            </w:pPr>
            <w:r>
              <w:t>现状评价</w:t>
            </w:r>
          </w:p>
        </w:tc>
        <w:tc>
          <w:tcPr>
            <w:tcW w:w="2655" w:type="pct"/>
            <w:gridSpan w:val="2"/>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98B11E5">
            <w:pPr>
              <w:pStyle w:val="31"/>
            </w:pPr>
            <w:r>
              <w:t>运营期</w:t>
            </w:r>
          </w:p>
        </w:tc>
      </w:tr>
      <w:tr w14:paraId="260348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vMerge w:val="continue"/>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054171B8">
            <w:pPr>
              <w:pStyle w:val="31"/>
            </w:pPr>
          </w:p>
        </w:tc>
        <w:tc>
          <w:tcPr>
            <w:tcW w:w="1924" w:type="pct"/>
            <w:vMerge w:val="continue"/>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AB451F9">
            <w:pPr>
              <w:pStyle w:val="31"/>
            </w:pP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2B984CA">
            <w:pPr>
              <w:pStyle w:val="31"/>
            </w:pPr>
            <w:r>
              <w:t>污染源评价</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228103A">
            <w:pPr>
              <w:pStyle w:val="31"/>
            </w:pPr>
            <w:r>
              <w:t>预测评价</w:t>
            </w:r>
          </w:p>
        </w:tc>
      </w:tr>
      <w:tr w14:paraId="56D353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7032E00">
            <w:pPr>
              <w:pStyle w:val="31"/>
            </w:pPr>
            <w:r>
              <w:t>环境</w:t>
            </w:r>
          </w:p>
          <w:p w14:paraId="00089B9B">
            <w:pPr>
              <w:pStyle w:val="31"/>
            </w:pPr>
            <w:r>
              <w:t>空气</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5464879">
            <w:pPr>
              <w:pStyle w:val="31"/>
            </w:pPr>
            <w:r>
              <w:t>基本污染物：SO</w:t>
            </w:r>
            <w:r>
              <w:rPr>
                <w:vertAlign w:val="subscript"/>
              </w:rPr>
              <w:t>2</w:t>
            </w:r>
            <w:r>
              <w:t>、NO</w:t>
            </w:r>
            <w:r>
              <w:rPr>
                <w:vertAlign w:val="subscript"/>
              </w:rPr>
              <w:t>2</w:t>
            </w:r>
            <w:r>
              <w:t>、PM</w:t>
            </w:r>
            <w:r>
              <w:rPr>
                <w:vertAlign w:val="subscript"/>
              </w:rPr>
              <w:t>10</w:t>
            </w:r>
            <w:r>
              <w:t>、PM</w:t>
            </w:r>
            <w:r>
              <w:rPr>
                <w:vertAlign w:val="subscript"/>
              </w:rPr>
              <w:t>2.5</w:t>
            </w:r>
            <w:r>
              <w:t>、CO、O</w:t>
            </w:r>
            <w:r>
              <w:rPr>
                <w:vertAlign w:val="subscript"/>
              </w:rPr>
              <w:t>3</w:t>
            </w:r>
            <w:r>
              <w:t>；</w:t>
            </w:r>
          </w:p>
          <w:p w14:paraId="54572884">
            <w:pPr>
              <w:pStyle w:val="31"/>
            </w:pPr>
            <w:r>
              <w:t>其他污染物：TSP、非甲烷总烃、苯、甲苯、二甲苯</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2EBA4046">
            <w:pPr>
              <w:pStyle w:val="31"/>
            </w:pPr>
            <w:r>
              <w:t>TSP、非甲烷总烃、苯、甲苯、二甲苯</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A407B9F">
            <w:pPr>
              <w:pStyle w:val="31"/>
            </w:pPr>
            <w:r>
              <w:t>TSP、非甲烷总烃、苯、甲苯、二甲苯</w:t>
            </w:r>
          </w:p>
        </w:tc>
      </w:tr>
      <w:tr w14:paraId="00F9E4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0435A166">
            <w:pPr>
              <w:pStyle w:val="31"/>
            </w:pPr>
            <w:r>
              <w:t>地表水</w:t>
            </w:r>
          </w:p>
        </w:tc>
        <w:tc>
          <w:tcPr>
            <w:tcW w:w="1924" w:type="pct"/>
            <w:tcBorders>
              <w:top w:val="single" w:color="auto" w:sz="4" w:space="0"/>
              <w:left w:val="single" w:color="auto" w:sz="4" w:space="0"/>
              <w:bottom w:val="single" w:color="auto" w:sz="4" w:space="0"/>
              <w:right w:val="single" w:color="auto" w:sz="4" w:space="0"/>
            </w:tcBorders>
            <w:shd w:val="clear" w:color="auto" w:fill="auto"/>
            <w:tcMar>
              <w:left w:w="17" w:type="dxa"/>
              <w:right w:w="17" w:type="dxa"/>
            </w:tcMar>
            <w:vAlign w:val="center"/>
          </w:tcPr>
          <w:p w14:paraId="187D7D21">
            <w:pPr>
              <w:pStyle w:val="31"/>
            </w:pPr>
            <w:r>
              <w:t>水温、pH 值、溶解氣、COD、BOD5、SS、氨氮、石油类、总磷、高锰酸盐指数等</w:t>
            </w:r>
          </w:p>
        </w:tc>
        <w:tc>
          <w:tcPr>
            <w:tcW w:w="1376" w:type="pct"/>
            <w:tcBorders>
              <w:top w:val="single" w:color="auto" w:sz="4" w:space="0"/>
              <w:left w:val="single" w:color="auto" w:sz="4" w:space="0"/>
              <w:bottom w:val="single" w:color="auto" w:sz="4" w:space="0"/>
              <w:right w:val="single" w:color="auto" w:sz="4" w:space="0"/>
            </w:tcBorders>
            <w:shd w:val="clear" w:color="auto" w:fill="auto"/>
            <w:tcMar>
              <w:left w:w="17" w:type="dxa"/>
              <w:right w:w="17" w:type="dxa"/>
            </w:tcMar>
            <w:vAlign w:val="center"/>
          </w:tcPr>
          <w:p w14:paraId="213621DF">
            <w:pPr>
              <w:pStyle w:val="31"/>
            </w:pPr>
            <w:r>
              <w:t>pH、COD、BOD</w:t>
            </w:r>
            <w:r>
              <w:rPr>
                <w:vertAlign w:val="subscript"/>
              </w:rPr>
              <w:t>5</w:t>
            </w:r>
            <w:r>
              <w:t>、NH</w:t>
            </w:r>
            <w:r>
              <w:rPr>
                <w:vertAlign w:val="subscript"/>
              </w:rPr>
              <w:t>3</w:t>
            </w:r>
            <w:r>
              <w:t>-N、总氮、总磷、SS</w:t>
            </w:r>
            <w:r>
              <w:rPr>
                <w:rFonts w:hint="eastAsia"/>
              </w:rPr>
              <w:t>、石油类</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4BE3B68">
            <w:pPr>
              <w:pStyle w:val="31"/>
            </w:pPr>
            <w:r>
              <w:t>间接排放，进行简单水环境影响分析</w:t>
            </w:r>
          </w:p>
        </w:tc>
      </w:tr>
      <w:tr w14:paraId="1C6BF7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0DD2A072">
            <w:pPr>
              <w:pStyle w:val="31"/>
            </w:pPr>
            <w:r>
              <w:t>地下水</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461E36B">
            <w:pPr>
              <w:pStyle w:val="31"/>
            </w:pPr>
            <w:r>
              <w:t>水位、pH值、氨氮（以N计）、溶解性总固体、耗氧量（以O</w:t>
            </w:r>
            <w:r>
              <w:rPr>
                <w:vertAlign w:val="subscript"/>
              </w:rPr>
              <w:t>2</w:t>
            </w:r>
            <w:r>
              <w:t>计）、石油类、硫化物、挥发性酚类（以苯酚计）、氰化物、总大肠菌群、硫酸盐、磷酸盐、氟化物、硝酸盐（以N计）、亚硝酸盐（以N计）、钾离子、钠离子、钙离子、镁离子、碳酸根、碳酸氢根、氯离子、硫酸根、锌、铜</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A5E7972">
            <w:pPr>
              <w:pStyle w:val="31"/>
            </w:pPr>
            <w:r>
              <w:rPr>
                <w:rFonts w:hint="eastAsia"/>
              </w:rPr>
              <w:t>COD</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565C60F">
            <w:pPr>
              <w:pStyle w:val="31"/>
            </w:pPr>
            <w:r>
              <w:rPr>
                <w:rFonts w:hint="eastAsia"/>
              </w:rPr>
              <w:t>COD</w:t>
            </w:r>
          </w:p>
        </w:tc>
      </w:tr>
      <w:tr w14:paraId="3A9EEE1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4FF0EF8">
            <w:pPr>
              <w:pStyle w:val="31"/>
            </w:pPr>
            <w:r>
              <w:t>土壤</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7EE3727">
            <w:pPr>
              <w:pStyle w:val="31"/>
            </w:pPr>
            <w:r>
              <w:t>建设用地：GB 36600-2018中45项基本项目及pH、石油烃</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08C6C523">
            <w:pPr>
              <w:pStyle w:val="31"/>
            </w:pPr>
            <w:r>
              <w:rPr>
                <w:rFonts w:hint="eastAsia"/>
              </w:rPr>
              <w:t>石油烃</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4C858DD4">
            <w:pPr>
              <w:pStyle w:val="31"/>
            </w:pPr>
            <w:r>
              <w:rPr>
                <w:rFonts w:hint="eastAsia"/>
              </w:rPr>
              <w:t>石油烃</w:t>
            </w:r>
          </w:p>
        </w:tc>
      </w:tr>
      <w:tr w14:paraId="75F911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E2177D1">
            <w:pPr>
              <w:pStyle w:val="31"/>
            </w:pPr>
            <w:r>
              <w:t>声环境</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4FE9059">
            <w:pPr>
              <w:pStyle w:val="31"/>
            </w:pPr>
            <w:r>
              <w:t>环境噪声(Leq(A))</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4F49740">
            <w:pPr>
              <w:pStyle w:val="31"/>
            </w:pPr>
            <w:r>
              <w:t>厂界噪声(Leq(A))</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065B41D4">
            <w:pPr>
              <w:pStyle w:val="31"/>
            </w:pPr>
            <w:r>
              <w:t>厂界噪声(Leq(A))</w:t>
            </w:r>
          </w:p>
        </w:tc>
      </w:tr>
      <w:tr w14:paraId="0AE2F9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F2A9AE9">
            <w:pPr>
              <w:pStyle w:val="31"/>
            </w:pPr>
            <w:r>
              <w:t>固体</w:t>
            </w:r>
          </w:p>
          <w:p w14:paraId="5085C445">
            <w:pPr>
              <w:pStyle w:val="31"/>
            </w:pPr>
            <w:r>
              <w:t>废物</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36C76D00">
            <w:pPr>
              <w:pStyle w:val="31"/>
            </w:pPr>
            <w:r>
              <w:t>——</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BAD5BFD">
            <w:pPr>
              <w:pStyle w:val="31"/>
            </w:pPr>
            <w:r>
              <w:t>一般工业固废、</w:t>
            </w:r>
          </w:p>
          <w:p w14:paraId="64AEBB38">
            <w:pPr>
              <w:pStyle w:val="31"/>
            </w:pPr>
            <w:r>
              <w:t>危险废物</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E514A08">
            <w:pPr>
              <w:pStyle w:val="31"/>
            </w:pPr>
            <w:r>
              <w:t>一般工业固废、</w:t>
            </w:r>
          </w:p>
          <w:p w14:paraId="2F91E3F5">
            <w:pPr>
              <w:pStyle w:val="31"/>
            </w:pPr>
            <w:r>
              <w:t>危险废物</w:t>
            </w:r>
          </w:p>
        </w:tc>
      </w:tr>
      <w:tr w14:paraId="07446F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40917395">
            <w:pPr>
              <w:pStyle w:val="31"/>
            </w:pPr>
            <w:r>
              <w:t>环境</w:t>
            </w:r>
          </w:p>
          <w:p w14:paraId="270C0022">
            <w:pPr>
              <w:pStyle w:val="31"/>
            </w:pPr>
            <w:r>
              <w:t>风险</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26DEC80">
            <w:pPr>
              <w:pStyle w:val="31"/>
            </w:pPr>
            <w:r>
              <w:t>——</w:t>
            </w:r>
          </w:p>
        </w:tc>
        <w:tc>
          <w:tcPr>
            <w:tcW w:w="1376"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1E169D4E">
            <w:pPr>
              <w:pStyle w:val="31"/>
            </w:pPr>
            <w:r>
              <w:rPr>
                <w:color w:val="000000"/>
                <w:lang w:bidi="ar"/>
              </w:rPr>
              <w:t>废机油、油漆、稀释剂、润滑油</w:t>
            </w:r>
            <w:r>
              <w:rPr>
                <w:rFonts w:hint="eastAsia"/>
                <w:color w:val="000000"/>
                <w:lang w:bidi="ar"/>
              </w:rPr>
              <w:t>等</w:t>
            </w:r>
            <w:r>
              <w:rPr>
                <w:color w:val="000000"/>
                <w:lang w:bidi="ar"/>
              </w:rPr>
              <w:t>泄漏</w:t>
            </w:r>
            <w:r>
              <w:rPr>
                <w:rFonts w:hint="eastAsia"/>
                <w:color w:val="000000"/>
                <w:lang w:bidi="ar"/>
              </w:rPr>
              <w:t>、拆船过程</w:t>
            </w:r>
            <w:r>
              <w:rPr>
                <w:color w:val="000000"/>
                <w:lang w:bidi="ar"/>
              </w:rPr>
              <w:t>火灾</w:t>
            </w:r>
            <w:r>
              <w:rPr>
                <w:rFonts w:hint="eastAsia"/>
                <w:color w:val="000000"/>
                <w:lang w:bidi="ar"/>
              </w:rPr>
              <w:t>爆炸</w:t>
            </w:r>
          </w:p>
        </w:tc>
        <w:tc>
          <w:tcPr>
            <w:tcW w:w="1278"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49D72A7">
            <w:pPr>
              <w:pStyle w:val="31"/>
            </w:pPr>
            <w:r>
              <w:rPr>
                <w:color w:val="000000"/>
                <w:lang w:bidi="ar"/>
              </w:rPr>
              <w:t>废机油、油漆、稀释剂、润滑油</w:t>
            </w:r>
            <w:r>
              <w:rPr>
                <w:rFonts w:hint="eastAsia"/>
                <w:color w:val="000000"/>
                <w:lang w:bidi="ar"/>
              </w:rPr>
              <w:t>等</w:t>
            </w:r>
            <w:r>
              <w:rPr>
                <w:color w:val="000000"/>
                <w:lang w:bidi="ar"/>
              </w:rPr>
              <w:t>泄漏</w:t>
            </w:r>
            <w:r>
              <w:rPr>
                <w:rFonts w:hint="eastAsia"/>
                <w:color w:val="000000"/>
                <w:lang w:bidi="ar"/>
              </w:rPr>
              <w:t>、拆船过程</w:t>
            </w:r>
            <w:r>
              <w:rPr>
                <w:color w:val="000000"/>
                <w:lang w:bidi="ar"/>
              </w:rPr>
              <w:t>火灾</w:t>
            </w:r>
            <w:r>
              <w:rPr>
                <w:rFonts w:hint="eastAsia"/>
                <w:color w:val="000000"/>
                <w:lang w:bidi="ar"/>
              </w:rPr>
              <w:t>爆炸</w:t>
            </w:r>
          </w:p>
        </w:tc>
      </w:tr>
      <w:tr w14:paraId="2FFE34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2" w:hRule="atLeast"/>
          <w:jc w:val="center"/>
        </w:trPr>
        <w:tc>
          <w:tcPr>
            <w:tcW w:w="419"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6768CFA8">
            <w:pPr>
              <w:pStyle w:val="31"/>
            </w:pPr>
            <w:r>
              <w:t>总量</w:t>
            </w:r>
          </w:p>
          <w:p w14:paraId="3AF34B7B">
            <w:pPr>
              <w:pStyle w:val="31"/>
            </w:pPr>
            <w:r>
              <w:t>控制</w:t>
            </w:r>
          </w:p>
        </w:tc>
        <w:tc>
          <w:tcPr>
            <w:tcW w:w="1924" w:type="pct"/>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22A3734B">
            <w:pPr>
              <w:pStyle w:val="31"/>
            </w:pPr>
            <w:r>
              <w:t>——</w:t>
            </w:r>
          </w:p>
        </w:tc>
        <w:tc>
          <w:tcPr>
            <w:tcW w:w="2655" w:type="pct"/>
            <w:gridSpan w:val="2"/>
            <w:tcBorders>
              <w:top w:val="single" w:color="auto" w:sz="4" w:space="0"/>
              <w:left w:val="single" w:color="auto" w:sz="4" w:space="0"/>
              <w:bottom w:val="single" w:color="auto" w:sz="4" w:space="0"/>
              <w:right w:val="single" w:color="auto" w:sz="4" w:space="0"/>
            </w:tcBorders>
            <w:tcMar>
              <w:left w:w="17" w:type="dxa"/>
              <w:right w:w="17" w:type="dxa"/>
            </w:tcMar>
            <w:vAlign w:val="center"/>
          </w:tcPr>
          <w:p w14:paraId="738AD444">
            <w:pPr>
              <w:pStyle w:val="31"/>
            </w:pPr>
            <w:r>
              <w:t>COD、NH</w:t>
            </w:r>
            <w:r>
              <w:rPr>
                <w:vertAlign w:val="subscript"/>
              </w:rPr>
              <w:t>3</w:t>
            </w:r>
            <w:r>
              <w:t>-N、总磷、VOCs</w:t>
            </w:r>
          </w:p>
        </w:tc>
      </w:tr>
    </w:tbl>
    <w:p w14:paraId="2BCEB1AE">
      <w:pPr>
        <w:pStyle w:val="28"/>
      </w:pPr>
      <w:bookmarkStart w:id="52" w:name="_Toc18708"/>
      <w:r>
        <w:rPr>
          <w:rFonts w:hint="eastAsia"/>
        </w:rPr>
        <w:t>2.4环境功能区划与评价标准</w:t>
      </w:r>
      <w:bookmarkEnd w:id="52"/>
    </w:p>
    <w:p w14:paraId="739DDC8C">
      <w:pPr>
        <w:pStyle w:val="33"/>
      </w:pPr>
      <w:bookmarkStart w:id="53" w:name="_Toc18570"/>
      <w:bookmarkStart w:id="54" w:name="_Toc32153"/>
      <w:r>
        <w:rPr>
          <w:rFonts w:hint="eastAsia"/>
        </w:rPr>
        <w:t>2.4.1环境功能区划</w:t>
      </w:r>
      <w:bookmarkEnd w:id="53"/>
      <w:bookmarkEnd w:id="54"/>
    </w:p>
    <w:p w14:paraId="6B889ECA">
      <w:pPr>
        <w:pStyle w:val="21"/>
        <w:ind w:firstLine="480"/>
      </w:pPr>
      <w:r>
        <w:rPr>
          <w:rFonts w:hint="eastAsia"/>
        </w:rPr>
        <w:t>项目所处区域环境功能区划情况见下表：</w:t>
      </w:r>
    </w:p>
    <w:p w14:paraId="7340909C">
      <w:pPr>
        <w:pStyle w:val="23"/>
      </w:pPr>
      <w:r>
        <w:rPr>
          <w:rFonts w:hint="eastAsia"/>
        </w:rPr>
        <w:t>表2.4-1  项目所处区域环境功能区划一览表</w:t>
      </w:r>
    </w:p>
    <w:tbl>
      <w:tblPr>
        <w:tblStyle w:val="15"/>
        <w:tblW w:w="5000" w:type="pct"/>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autofit"/>
        <w:tblCellMar>
          <w:top w:w="0" w:type="dxa"/>
          <w:left w:w="108" w:type="dxa"/>
          <w:bottom w:w="0" w:type="dxa"/>
          <w:right w:w="108" w:type="dxa"/>
        </w:tblCellMar>
      </w:tblPr>
      <w:tblGrid>
        <w:gridCol w:w="623"/>
        <w:gridCol w:w="1236"/>
        <w:gridCol w:w="1737"/>
        <w:gridCol w:w="4926"/>
      </w:tblGrid>
      <w:tr w14:paraId="2A4D9B91">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0EF899CD">
            <w:pPr>
              <w:pStyle w:val="31"/>
            </w:pPr>
            <w:r>
              <w:t>编号</w:t>
            </w:r>
          </w:p>
        </w:tc>
        <w:tc>
          <w:tcPr>
            <w:tcW w:w="1744" w:type="pct"/>
            <w:gridSpan w:val="2"/>
            <w:vAlign w:val="center"/>
          </w:tcPr>
          <w:p w14:paraId="7230FAF4">
            <w:pPr>
              <w:pStyle w:val="31"/>
            </w:pPr>
            <w:r>
              <w:t>环境功能区名称</w:t>
            </w:r>
          </w:p>
        </w:tc>
        <w:tc>
          <w:tcPr>
            <w:tcW w:w="2890" w:type="pct"/>
            <w:vAlign w:val="center"/>
          </w:tcPr>
          <w:p w14:paraId="5C18464B">
            <w:pPr>
              <w:pStyle w:val="31"/>
            </w:pPr>
            <w:r>
              <w:t>评价区域所属类别</w:t>
            </w:r>
          </w:p>
        </w:tc>
      </w:tr>
      <w:tr w14:paraId="45ED2432">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Merge w:val="restart"/>
            <w:vAlign w:val="center"/>
          </w:tcPr>
          <w:p w14:paraId="7E55C7DD">
            <w:pPr>
              <w:pStyle w:val="31"/>
            </w:pPr>
            <w:r>
              <w:t>1</w:t>
            </w:r>
          </w:p>
        </w:tc>
        <w:tc>
          <w:tcPr>
            <w:tcW w:w="725" w:type="pct"/>
            <w:vMerge w:val="restart"/>
            <w:vAlign w:val="center"/>
          </w:tcPr>
          <w:p w14:paraId="3BE16059">
            <w:pPr>
              <w:pStyle w:val="31"/>
            </w:pPr>
            <w:r>
              <w:t>水环境功能区</w:t>
            </w:r>
          </w:p>
        </w:tc>
        <w:tc>
          <w:tcPr>
            <w:tcW w:w="1019" w:type="pct"/>
            <w:vAlign w:val="center"/>
          </w:tcPr>
          <w:p w14:paraId="503A01EF">
            <w:pPr>
              <w:pStyle w:val="31"/>
            </w:pPr>
            <w:r>
              <w:t>地表水</w:t>
            </w:r>
          </w:p>
        </w:tc>
        <w:tc>
          <w:tcPr>
            <w:tcW w:w="2890" w:type="pct"/>
            <w:vAlign w:val="center"/>
          </w:tcPr>
          <w:p w14:paraId="5C69123A">
            <w:pPr>
              <w:pStyle w:val="31"/>
            </w:pPr>
            <w:r>
              <w:rPr>
                <w:rFonts w:hint="eastAsia"/>
              </w:rPr>
              <w:t>湘江执行《地表水环境质量标准》（</w:t>
            </w:r>
            <w:r>
              <w:t xml:space="preserve">GB3838-2002）ⅡI类标准 </w:t>
            </w:r>
          </w:p>
        </w:tc>
      </w:tr>
      <w:tr w14:paraId="460EBDA0">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Merge w:val="continue"/>
            <w:vAlign w:val="center"/>
          </w:tcPr>
          <w:p w14:paraId="359265EF">
            <w:pPr>
              <w:pStyle w:val="31"/>
            </w:pPr>
          </w:p>
        </w:tc>
        <w:tc>
          <w:tcPr>
            <w:tcW w:w="725" w:type="pct"/>
            <w:vMerge w:val="continue"/>
            <w:vAlign w:val="center"/>
          </w:tcPr>
          <w:p w14:paraId="4C5D5E83">
            <w:pPr>
              <w:pStyle w:val="31"/>
            </w:pPr>
          </w:p>
        </w:tc>
        <w:tc>
          <w:tcPr>
            <w:tcW w:w="1019" w:type="pct"/>
            <w:vAlign w:val="center"/>
          </w:tcPr>
          <w:p w14:paraId="34FF9584">
            <w:pPr>
              <w:pStyle w:val="31"/>
            </w:pPr>
            <w:r>
              <w:t>地下水</w:t>
            </w:r>
          </w:p>
        </w:tc>
        <w:tc>
          <w:tcPr>
            <w:tcW w:w="2890" w:type="pct"/>
            <w:vAlign w:val="center"/>
          </w:tcPr>
          <w:p w14:paraId="4C17BF32">
            <w:pPr>
              <w:pStyle w:val="31"/>
            </w:pPr>
            <w:r>
              <w:t>《地下水质量标准》</w:t>
            </w:r>
            <w:r>
              <w:rPr>
                <w:rFonts w:hint="eastAsia"/>
              </w:rPr>
              <w:t>（</w:t>
            </w:r>
            <w:r>
              <w:t>GB/T14848-2017</w:t>
            </w:r>
            <w:r>
              <w:rPr>
                <w:rFonts w:hint="eastAsia"/>
              </w:rPr>
              <w:t>）</w:t>
            </w:r>
            <w:r>
              <w:t>中Ⅲ类标准</w:t>
            </w:r>
          </w:p>
        </w:tc>
      </w:tr>
      <w:tr w14:paraId="2035D36E">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3E8D8282">
            <w:pPr>
              <w:pStyle w:val="31"/>
            </w:pPr>
            <w:r>
              <w:t>2</w:t>
            </w:r>
          </w:p>
        </w:tc>
        <w:tc>
          <w:tcPr>
            <w:tcW w:w="1744" w:type="pct"/>
            <w:gridSpan w:val="2"/>
            <w:vAlign w:val="center"/>
          </w:tcPr>
          <w:p w14:paraId="55D497D5">
            <w:pPr>
              <w:pStyle w:val="31"/>
            </w:pPr>
            <w:r>
              <w:t>环境空气功能区</w:t>
            </w:r>
          </w:p>
        </w:tc>
        <w:tc>
          <w:tcPr>
            <w:tcW w:w="2890" w:type="pct"/>
            <w:vAlign w:val="center"/>
          </w:tcPr>
          <w:p w14:paraId="57D1A1B7">
            <w:pPr>
              <w:pStyle w:val="31"/>
            </w:pPr>
            <w:r>
              <w:t>《环境空气质量标准》</w:t>
            </w:r>
            <w:r>
              <w:rPr>
                <w:rFonts w:hint="eastAsia"/>
              </w:rPr>
              <w:t>（</w:t>
            </w:r>
            <w:r>
              <w:t>GB3095-2012</w:t>
            </w:r>
            <w:r>
              <w:rPr>
                <w:rFonts w:hint="eastAsia"/>
              </w:rPr>
              <w:t>）</w:t>
            </w:r>
            <w:r>
              <w:t>中二类区</w:t>
            </w:r>
          </w:p>
        </w:tc>
      </w:tr>
      <w:tr w14:paraId="6223A2FA">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4BFCF6A8">
            <w:pPr>
              <w:pStyle w:val="31"/>
            </w:pPr>
            <w:r>
              <w:t>3</w:t>
            </w:r>
          </w:p>
        </w:tc>
        <w:tc>
          <w:tcPr>
            <w:tcW w:w="1744" w:type="pct"/>
            <w:gridSpan w:val="2"/>
            <w:vAlign w:val="center"/>
          </w:tcPr>
          <w:p w14:paraId="428F60C0">
            <w:pPr>
              <w:pStyle w:val="31"/>
            </w:pPr>
            <w:r>
              <w:t>环境噪声功能区</w:t>
            </w:r>
          </w:p>
        </w:tc>
        <w:tc>
          <w:tcPr>
            <w:tcW w:w="2890" w:type="pct"/>
            <w:vAlign w:val="center"/>
          </w:tcPr>
          <w:p w14:paraId="117F77CD">
            <w:pPr>
              <w:pStyle w:val="31"/>
            </w:pPr>
            <w:r>
              <w:t>《声环境质量标准》</w:t>
            </w:r>
            <w:r>
              <w:rPr>
                <w:rFonts w:hint="eastAsia"/>
              </w:rPr>
              <w:t>（</w:t>
            </w:r>
            <w:r>
              <w:t>GB3096-2008</w:t>
            </w:r>
            <w:r>
              <w:rPr>
                <w:rFonts w:hint="eastAsia"/>
              </w:rPr>
              <w:t>）</w:t>
            </w:r>
            <w:r>
              <w:t>中2类区</w:t>
            </w:r>
          </w:p>
        </w:tc>
      </w:tr>
      <w:tr w14:paraId="582EC987">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0C3030CF">
            <w:pPr>
              <w:pStyle w:val="31"/>
            </w:pPr>
            <w:r>
              <w:t>4</w:t>
            </w:r>
          </w:p>
        </w:tc>
        <w:tc>
          <w:tcPr>
            <w:tcW w:w="1744" w:type="pct"/>
            <w:gridSpan w:val="2"/>
            <w:vAlign w:val="center"/>
          </w:tcPr>
          <w:p w14:paraId="2FCD1C77">
            <w:pPr>
              <w:pStyle w:val="31"/>
            </w:pPr>
            <w:r>
              <w:rPr>
                <w:rFonts w:hint="eastAsia"/>
              </w:rPr>
              <w:t>生态功能区</w:t>
            </w:r>
          </w:p>
        </w:tc>
        <w:tc>
          <w:tcPr>
            <w:tcW w:w="2890" w:type="pct"/>
            <w:vAlign w:val="center"/>
          </w:tcPr>
          <w:p w14:paraId="6AC9BB99">
            <w:pPr>
              <w:pStyle w:val="31"/>
            </w:pPr>
            <w:r>
              <w:rPr>
                <w:rFonts w:hint="eastAsia"/>
              </w:rPr>
              <w:t>集约利用区</w:t>
            </w:r>
          </w:p>
        </w:tc>
      </w:tr>
      <w:tr w14:paraId="2E2BD85F">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15F61E15">
            <w:pPr>
              <w:pStyle w:val="31"/>
            </w:pPr>
            <w:r>
              <w:t>5</w:t>
            </w:r>
          </w:p>
        </w:tc>
        <w:tc>
          <w:tcPr>
            <w:tcW w:w="1744" w:type="pct"/>
            <w:gridSpan w:val="2"/>
            <w:vAlign w:val="center"/>
          </w:tcPr>
          <w:p w14:paraId="1DECBD89">
            <w:pPr>
              <w:pStyle w:val="31"/>
            </w:pPr>
            <w:r>
              <w:t>是否占用基本农田保护区</w:t>
            </w:r>
          </w:p>
        </w:tc>
        <w:tc>
          <w:tcPr>
            <w:tcW w:w="2890" w:type="pct"/>
            <w:vAlign w:val="center"/>
          </w:tcPr>
          <w:p w14:paraId="1E2FE333">
            <w:pPr>
              <w:pStyle w:val="31"/>
            </w:pPr>
            <w:r>
              <w:t>否</w:t>
            </w:r>
          </w:p>
        </w:tc>
      </w:tr>
      <w:tr w14:paraId="278ADEA4">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63187ADE">
            <w:pPr>
              <w:pStyle w:val="31"/>
            </w:pPr>
            <w:r>
              <w:t>6</w:t>
            </w:r>
          </w:p>
        </w:tc>
        <w:tc>
          <w:tcPr>
            <w:tcW w:w="1744" w:type="pct"/>
            <w:gridSpan w:val="2"/>
            <w:vAlign w:val="center"/>
          </w:tcPr>
          <w:p w14:paraId="3D2E85FE">
            <w:pPr>
              <w:pStyle w:val="31"/>
            </w:pPr>
            <w:r>
              <w:t>是否在自然保护区</w:t>
            </w:r>
          </w:p>
        </w:tc>
        <w:tc>
          <w:tcPr>
            <w:tcW w:w="2890" w:type="pct"/>
            <w:vAlign w:val="center"/>
          </w:tcPr>
          <w:p w14:paraId="3CD737F7">
            <w:pPr>
              <w:pStyle w:val="31"/>
            </w:pPr>
            <w:r>
              <w:t>否</w:t>
            </w:r>
          </w:p>
        </w:tc>
      </w:tr>
      <w:tr w14:paraId="69F600C8">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158C003D">
            <w:pPr>
              <w:pStyle w:val="31"/>
            </w:pPr>
            <w:r>
              <w:t>7</w:t>
            </w:r>
          </w:p>
        </w:tc>
        <w:tc>
          <w:tcPr>
            <w:tcW w:w="1744" w:type="pct"/>
            <w:gridSpan w:val="2"/>
            <w:vAlign w:val="center"/>
          </w:tcPr>
          <w:p w14:paraId="36F1E2A7">
            <w:pPr>
              <w:pStyle w:val="31"/>
            </w:pPr>
            <w:r>
              <w:t>是否在风景名胜保护区</w:t>
            </w:r>
          </w:p>
        </w:tc>
        <w:tc>
          <w:tcPr>
            <w:tcW w:w="2890" w:type="pct"/>
            <w:vAlign w:val="center"/>
          </w:tcPr>
          <w:p w14:paraId="7890E6DF">
            <w:pPr>
              <w:pStyle w:val="31"/>
            </w:pPr>
            <w:r>
              <w:t>否</w:t>
            </w:r>
          </w:p>
        </w:tc>
      </w:tr>
      <w:tr w14:paraId="213EDDDF">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1D88D798">
            <w:pPr>
              <w:pStyle w:val="31"/>
            </w:pPr>
            <w:r>
              <w:t>8</w:t>
            </w:r>
          </w:p>
        </w:tc>
        <w:tc>
          <w:tcPr>
            <w:tcW w:w="1744" w:type="pct"/>
            <w:gridSpan w:val="2"/>
            <w:vAlign w:val="center"/>
          </w:tcPr>
          <w:p w14:paraId="25C39B04">
            <w:pPr>
              <w:pStyle w:val="31"/>
            </w:pPr>
            <w:r>
              <w:t>是否有文物保护单位</w:t>
            </w:r>
          </w:p>
        </w:tc>
        <w:tc>
          <w:tcPr>
            <w:tcW w:w="2890" w:type="pct"/>
            <w:vAlign w:val="center"/>
          </w:tcPr>
          <w:p w14:paraId="5C1EB627">
            <w:pPr>
              <w:pStyle w:val="31"/>
            </w:pPr>
            <w:r>
              <w:t>否</w:t>
            </w:r>
          </w:p>
        </w:tc>
      </w:tr>
      <w:tr w14:paraId="05C89199">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03D2767A">
            <w:pPr>
              <w:pStyle w:val="31"/>
            </w:pPr>
            <w:r>
              <w:t>9</w:t>
            </w:r>
          </w:p>
        </w:tc>
        <w:tc>
          <w:tcPr>
            <w:tcW w:w="1744" w:type="pct"/>
            <w:gridSpan w:val="2"/>
            <w:vAlign w:val="center"/>
          </w:tcPr>
          <w:p w14:paraId="3C17DE38">
            <w:pPr>
              <w:pStyle w:val="31"/>
            </w:pPr>
            <w:r>
              <w:t>是否在市政污水处理厂集水范围</w:t>
            </w:r>
          </w:p>
        </w:tc>
        <w:tc>
          <w:tcPr>
            <w:tcW w:w="2890" w:type="pct"/>
            <w:vAlign w:val="center"/>
          </w:tcPr>
          <w:p w14:paraId="7AB4D126">
            <w:pPr>
              <w:pStyle w:val="31"/>
            </w:pPr>
            <w:r>
              <w:rPr>
                <w:rFonts w:hint="eastAsia"/>
              </w:rPr>
              <w:t>否</w:t>
            </w:r>
          </w:p>
        </w:tc>
      </w:tr>
      <w:tr w14:paraId="7FE71605">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7A86588B">
            <w:pPr>
              <w:pStyle w:val="31"/>
            </w:pPr>
            <w:r>
              <w:t>10</w:t>
            </w:r>
          </w:p>
        </w:tc>
        <w:tc>
          <w:tcPr>
            <w:tcW w:w="1744" w:type="pct"/>
            <w:gridSpan w:val="2"/>
            <w:vAlign w:val="center"/>
          </w:tcPr>
          <w:p w14:paraId="0EFFD505">
            <w:pPr>
              <w:pStyle w:val="31"/>
              <w:rPr>
                <w:b/>
                <w:bCs/>
              </w:rPr>
            </w:pPr>
            <w:r>
              <w:t>是否三河、三湖、两控区</w:t>
            </w:r>
          </w:p>
        </w:tc>
        <w:tc>
          <w:tcPr>
            <w:tcW w:w="2890" w:type="pct"/>
            <w:vAlign w:val="center"/>
          </w:tcPr>
          <w:p w14:paraId="079BD27F">
            <w:pPr>
              <w:pStyle w:val="31"/>
              <w:rPr>
                <w:b/>
                <w:bCs/>
              </w:rPr>
            </w:pPr>
            <w:r>
              <w:rPr>
                <w:rFonts w:hint="eastAsia"/>
              </w:rPr>
              <w:t>否</w:t>
            </w:r>
          </w:p>
        </w:tc>
      </w:tr>
      <w:tr w14:paraId="5330B693">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108" w:type="dxa"/>
            <w:bottom w:w="0" w:type="dxa"/>
            <w:right w:w="108" w:type="dxa"/>
          </w:tblCellMar>
        </w:tblPrEx>
        <w:trPr>
          <w:trHeight w:val="397" w:hRule="atLeast"/>
        </w:trPr>
        <w:tc>
          <w:tcPr>
            <w:tcW w:w="366" w:type="pct"/>
            <w:vAlign w:val="center"/>
          </w:tcPr>
          <w:p w14:paraId="5F44AD62">
            <w:pPr>
              <w:pStyle w:val="31"/>
            </w:pPr>
            <w:r>
              <w:t>11</w:t>
            </w:r>
          </w:p>
        </w:tc>
        <w:tc>
          <w:tcPr>
            <w:tcW w:w="1744" w:type="pct"/>
            <w:gridSpan w:val="2"/>
            <w:vAlign w:val="center"/>
          </w:tcPr>
          <w:p w14:paraId="68BC7445">
            <w:pPr>
              <w:pStyle w:val="31"/>
              <w:rPr>
                <w:b/>
                <w:bCs/>
              </w:rPr>
            </w:pPr>
            <w:r>
              <w:t>是否水库库区</w:t>
            </w:r>
          </w:p>
        </w:tc>
        <w:tc>
          <w:tcPr>
            <w:tcW w:w="2890" w:type="pct"/>
            <w:vAlign w:val="center"/>
          </w:tcPr>
          <w:p w14:paraId="20C57BF2">
            <w:pPr>
              <w:pStyle w:val="31"/>
              <w:rPr>
                <w:b/>
                <w:bCs/>
              </w:rPr>
            </w:pPr>
            <w:r>
              <w:t>否</w:t>
            </w:r>
          </w:p>
        </w:tc>
      </w:tr>
    </w:tbl>
    <w:p w14:paraId="5C2CF7E1">
      <w:pPr>
        <w:pStyle w:val="33"/>
      </w:pPr>
      <w:bookmarkStart w:id="55" w:name="_Toc165749973"/>
      <w:bookmarkStart w:id="56" w:name="_Toc32214"/>
      <w:bookmarkStart w:id="57" w:name="_Toc10097"/>
      <w:r>
        <w:rPr>
          <w:rFonts w:hint="eastAsia"/>
        </w:rPr>
        <w:t>2.4.2环境质量标准</w:t>
      </w:r>
      <w:bookmarkEnd w:id="55"/>
      <w:bookmarkEnd w:id="56"/>
      <w:bookmarkEnd w:id="57"/>
    </w:p>
    <w:p w14:paraId="442E489B">
      <w:pPr>
        <w:pStyle w:val="21"/>
        <w:ind w:firstLine="480"/>
      </w:pPr>
      <w:r>
        <w:rPr>
          <w:rFonts w:hint="eastAsia"/>
        </w:rPr>
        <w:t>本</w:t>
      </w:r>
      <w:r>
        <w:t>项目评价区</w:t>
      </w:r>
      <w:r>
        <w:rPr>
          <w:rFonts w:hint="eastAsia"/>
        </w:rPr>
        <w:t>的</w:t>
      </w:r>
      <w:r>
        <w:t>环境评价执行</w:t>
      </w:r>
      <w:r>
        <w:rPr>
          <w:rFonts w:hint="eastAsia"/>
        </w:rPr>
        <w:t>标准如下：</w:t>
      </w:r>
    </w:p>
    <w:p w14:paraId="3EA4424B">
      <w:pPr>
        <w:pStyle w:val="36"/>
      </w:pPr>
      <w:r>
        <w:rPr>
          <w:rFonts w:hint="eastAsia"/>
        </w:rPr>
        <w:t>2</w:t>
      </w:r>
      <w:r>
        <w:t>.</w:t>
      </w:r>
      <w:r>
        <w:rPr>
          <w:rFonts w:hint="eastAsia"/>
        </w:rPr>
        <w:t>4</w:t>
      </w:r>
      <w:r>
        <w:t>.2.1</w:t>
      </w:r>
      <w:r>
        <w:rPr>
          <w:rFonts w:hint="eastAsia"/>
        </w:rPr>
        <w:t>环境空气质量标准</w:t>
      </w:r>
    </w:p>
    <w:p w14:paraId="3E9004DF">
      <w:pPr>
        <w:pStyle w:val="21"/>
        <w:ind w:firstLine="480"/>
      </w:pPr>
      <w:r>
        <w:rPr>
          <w:rFonts w:hint="eastAsia"/>
        </w:rPr>
        <w:t>本项目所在区域环境空气污染物基本项目SO</w:t>
      </w:r>
      <w:r>
        <w:rPr>
          <w:rFonts w:hint="eastAsia"/>
          <w:vertAlign w:val="subscript"/>
        </w:rPr>
        <w:t>2</w:t>
      </w:r>
      <w:r>
        <w:rPr>
          <w:rFonts w:hint="eastAsia"/>
        </w:rPr>
        <w:t>、NO</w:t>
      </w:r>
      <w:r>
        <w:rPr>
          <w:rFonts w:hint="eastAsia"/>
          <w:vertAlign w:val="subscript"/>
        </w:rPr>
        <w:t>2</w:t>
      </w:r>
      <w:r>
        <w:rPr>
          <w:rFonts w:hint="eastAsia"/>
        </w:rPr>
        <w:t>、PM</w:t>
      </w:r>
      <w:r>
        <w:rPr>
          <w:rFonts w:hint="eastAsia"/>
          <w:vertAlign w:val="subscript"/>
        </w:rPr>
        <w:t>10</w:t>
      </w:r>
      <w:r>
        <w:rPr>
          <w:rFonts w:hint="eastAsia"/>
        </w:rPr>
        <w:t>、PM</w:t>
      </w:r>
      <w:r>
        <w:rPr>
          <w:rFonts w:hint="eastAsia"/>
          <w:vertAlign w:val="subscript"/>
        </w:rPr>
        <w:t>2.5</w:t>
      </w:r>
      <w:r>
        <w:rPr>
          <w:rFonts w:hint="eastAsia"/>
        </w:rPr>
        <w:t>、CO、O</w:t>
      </w:r>
      <w:r>
        <w:rPr>
          <w:rFonts w:hint="eastAsia"/>
          <w:vertAlign w:val="subscript"/>
        </w:rPr>
        <w:t>3</w:t>
      </w:r>
      <w:r>
        <w:rPr>
          <w:rFonts w:hint="eastAsia"/>
        </w:rPr>
        <w:t>浓度限值执行国家</w:t>
      </w:r>
      <w:bookmarkStart w:id="58" w:name="_Hlk66699916"/>
      <w:bookmarkStart w:id="59" w:name="_Hlk66699883"/>
      <w:r>
        <w:rPr>
          <w:rFonts w:hint="eastAsia"/>
        </w:rPr>
        <w:t>《环境空气质量标准》（GB</w:t>
      </w:r>
      <w:r>
        <w:t xml:space="preserve"> </w:t>
      </w:r>
      <w:r>
        <w:rPr>
          <w:rFonts w:hint="eastAsia"/>
        </w:rPr>
        <w:t>3095-2012）及修改单</w:t>
      </w:r>
      <w:bookmarkEnd w:id="58"/>
      <w:r>
        <w:rPr>
          <w:rFonts w:hint="eastAsia"/>
        </w:rPr>
        <w:t>表1中二级浓度</w:t>
      </w:r>
      <w:bookmarkEnd w:id="59"/>
      <w:r>
        <w:rPr>
          <w:rFonts w:hint="eastAsia"/>
        </w:rPr>
        <w:t>限值，非甲烷总烃参照执行《大气污染物综合排放标准详解》</w:t>
      </w:r>
      <w:r>
        <w:t>P244说明要求限值</w:t>
      </w:r>
      <w:r>
        <w:rPr>
          <w:rFonts w:hint="eastAsia"/>
        </w:rPr>
        <w:t>。</w:t>
      </w:r>
    </w:p>
    <w:p w14:paraId="3617BFBF">
      <w:pPr>
        <w:pStyle w:val="23"/>
      </w:pPr>
      <w:r>
        <w:rPr>
          <w:rFonts w:hint="eastAsia"/>
        </w:rPr>
        <w:t>表</w:t>
      </w:r>
      <w:r>
        <w:t>2.</w:t>
      </w:r>
      <w:r>
        <w:rPr>
          <w:rFonts w:hint="eastAsia"/>
        </w:rPr>
        <w:t>3-2</w:t>
      </w:r>
      <w:r>
        <w:t xml:space="preserve">  </w:t>
      </w:r>
      <w:r>
        <w:rPr>
          <w:rFonts w:hint="eastAsia"/>
        </w:rPr>
        <w:t>环境空气污染物项目浓度限值</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00"/>
        <w:gridCol w:w="4198"/>
        <w:gridCol w:w="1966"/>
        <w:gridCol w:w="988"/>
        <w:gridCol w:w="664"/>
      </w:tblGrid>
      <w:tr w14:paraId="5FFE3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4823C8F8">
            <w:pPr>
              <w:pStyle w:val="31"/>
            </w:pPr>
            <w:r>
              <w:rPr>
                <w:rFonts w:hint="eastAsia"/>
              </w:rPr>
              <w:t>序号</w:t>
            </w:r>
          </w:p>
        </w:tc>
        <w:tc>
          <w:tcPr>
            <w:tcW w:w="2524" w:type="pct"/>
            <w:vMerge w:val="restart"/>
            <w:vAlign w:val="center"/>
          </w:tcPr>
          <w:p w14:paraId="1FE1AFFB">
            <w:pPr>
              <w:pStyle w:val="31"/>
            </w:pPr>
            <w:r>
              <w:rPr>
                <w:rFonts w:hint="eastAsia"/>
              </w:rPr>
              <w:t>污染物项目</w:t>
            </w:r>
          </w:p>
        </w:tc>
        <w:tc>
          <w:tcPr>
            <w:tcW w:w="1776" w:type="pct"/>
            <w:gridSpan w:val="2"/>
            <w:vAlign w:val="center"/>
          </w:tcPr>
          <w:p w14:paraId="3028FA84">
            <w:pPr>
              <w:pStyle w:val="31"/>
            </w:pPr>
            <w:r>
              <w:rPr>
                <w:rFonts w:hint="eastAsia"/>
              </w:rPr>
              <w:t>环境质量标准</w:t>
            </w:r>
          </w:p>
        </w:tc>
        <w:tc>
          <w:tcPr>
            <w:tcW w:w="399" w:type="pct"/>
            <w:vMerge w:val="restart"/>
            <w:vAlign w:val="center"/>
          </w:tcPr>
          <w:p w14:paraId="2F1F54A0">
            <w:pPr>
              <w:pStyle w:val="31"/>
            </w:pPr>
            <w:r>
              <w:rPr>
                <w:rFonts w:hint="eastAsia"/>
              </w:rPr>
              <w:t>单位</w:t>
            </w:r>
          </w:p>
        </w:tc>
      </w:tr>
      <w:tr w14:paraId="498D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370C43BF">
            <w:pPr>
              <w:pStyle w:val="31"/>
            </w:pPr>
          </w:p>
        </w:tc>
        <w:tc>
          <w:tcPr>
            <w:tcW w:w="2524" w:type="pct"/>
            <w:vMerge w:val="continue"/>
            <w:vAlign w:val="center"/>
          </w:tcPr>
          <w:p w14:paraId="6C8FC236">
            <w:pPr>
              <w:pStyle w:val="31"/>
            </w:pPr>
          </w:p>
        </w:tc>
        <w:tc>
          <w:tcPr>
            <w:tcW w:w="1182" w:type="pct"/>
            <w:vAlign w:val="center"/>
          </w:tcPr>
          <w:p w14:paraId="621A8AED">
            <w:pPr>
              <w:pStyle w:val="31"/>
            </w:pPr>
            <w:r>
              <w:rPr>
                <w:rFonts w:hint="eastAsia"/>
              </w:rPr>
              <w:t>平均时间</w:t>
            </w:r>
          </w:p>
        </w:tc>
        <w:tc>
          <w:tcPr>
            <w:tcW w:w="594" w:type="pct"/>
            <w:vAlign w:val="center"/>
          </w:tcPr>
          <w:p w14:paraId="2F5082EF">
            <w:pPr>
              <w:pStyle w:val="31"/>
            </w:pPr>
            <w:r>
              <w:rPr>
                <w:rFonts w:hint="eastAsia"/>
              </w:rPr>
              <w:t>浓度限值</w:t>
            </w:r>
          </w:p>
        </w:tc>
        <w:tc>
          <w:tcPr>
            <w:tcW w:w="399" w:type="pct"/>
            <w:vMerge w:val="continue"/>
            <w:vAlign w:val="center"/>
          </w:tcPr>
          <w:p w14:paraId="3EBBE6B0">
            <w:pPr>
              <w:pStyle w:val="31"/>
            </w:pPr>
          </w:p>
        </w:tc>
      </w:tr>
      <w:tr w14:paraId="74948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5D6FC366">
            <w:pPr>
              <w:pStyle w:val="31"/>
            </w:pPr>
            <w:r>
              <w:rPr>
                <w:rFonts w:hint="eastAsia"/>
              </w:rPr>
              <w:t>1</w:t>
            </w:r>
          </w:p>
        </w:tc>
        <w:tc>
          <w:tcPr>
            <w:tcW w:w="2524" w:type="pct"/>
            <w:vMerge w:val="restart"/>
            <w:vAlign w:val="center"/>
          </w:tcPr>
          <w:p w14:paraId="23A7F866">
            <w:pPr>
              <w:pStyle w:val="31"/>
            </w:pPr>
            <w:r>
              <w:rPr>
                <w:rFonts w:hint="eastAsia"/>
              </w:rPr>
              <w:t>二氧化硫（SO</w:t>
            </w:r>
            <w:r>
              <w:rPr>
                <w:rFonts w:hint="eastAsia"/>
                <w:vertAlign w:val="subscript"/>
              </w:rPr>
              <w:t>2</w:t>
            </w:r>
            <w:r>
              <w:rPr>
                <w:rFonts w:hint="eastAsia"/>
              </w:rPr>
              <w:t>）</w:t>
            </w:r>
          </w:p>
        </w:tc>
        <w:tc>
          <w:tcPr>
            <w:tcW w:w="1182" w:type="pct"/>
            <w:vAlign w:val="center"/>
          </w:tcPr>
          <w:p w14:paraId="7DF11A72">
            <w:pPr>
              <w:pStyle w:val="31"/>
            </w:pPr>
            <w:r>
              <w:rPr>
                <w:rFonts w:hint="eastAsia"/>
              </w:rPr>
              <w:t>年平均</w:t>
            </w:r>
          </w:p>
        </w:tc>
        <w:tc>
          <w:tcPr>
            <w:tcW w:w="594" w:type="pct"/>
            <w:vAlign w:val="center"/>
          </w:tcPr>
          <w:p w14:paraId="25908CDD">
            <w:pPr>
              <w:pStyle w:val="31"/>
            </w:pPr>
            <w:r>
              <w:rPr>
                <w:rFonts w:hint="eastAsia"/>
              </w:rPr>
              <w:t>60</w:t>
            </w:r>
          </w:p>
        </w:tc>
        <w:tc>
          <w:tcPr>
            <w:tcW w:w="399" w:type="pct"/>
            <w:vMerge w:val="restart"/>
            <w:vAlign w:val="center"/>
          </w:tcPr>
          <w:p w14:paraId="3578C118">
            <w:pPr>
              <w:pStyle w:val="31"/>
            </w:pPr>
            <w:r>
              <w:rPr>
                <w:rFonts w:cs="Times New Roman"/>
              </w:rPr>
              <w:t>µ</w:t>
            </w:r>
            <w:r>
              <w:rPr>
                <w:rFonts w:hint="eastAsia"/>
              </w:rPr>
              <w:t>g</w:t>
            </w:r>
            <w:r>
              <w:t>/</w:t>
            </w:r>
            <w:r>
              <w:rPr>
                <w:rFonts w:hint="eastAsia"/>
              </w:rPr>
              <w:t>m</w:t>
            </w:r>
            <w:r>
              <w:rPr>
                <w:vertAlign w:val="superscript"/>
              </w:rPr>
              <w:t>3</w:t>
            </w:r>
          </w:p>
        </w:tc>
      </w:tr>
      <w:tr w14:paraId="7832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0051A9C6">
            <w:pPr>
              <w:pStyle w:val="31"/>
            </w:pPr>
          </w:p>
        </w:tc>
        <w:tc>
          <w:tcPr>
            <w:tcW w:w="2524" w:type="pct"/>
            <w:vMerge w:val="continue"/>
            <w:vAlign w:val="center"/>
          </w:tcPr>
          <w:p w14:paraId="57EACCCC">
            <w:pPr>
              <w:pStyle w:val="31"/>
            </w:pPr>
          </w:p>
        </w:tc>
        <w:tc>
          <w:tcPr>
            <w:tcW w:w="1182" w:type="pct"/>
            <w:vAlign w:val="center"/>
          </w:tcPr>
          <w:p w14:paraId="65BF8CF8">
            <w:pPr>
              <w:pStyle w:val="31"/>
            </w:pPr>
            <w:r>
              <w:rPr>
                <w:rFonts w:hint="eastAsia"/>
              </w:rPr>
              <w:t>24小时均值</w:t>
            </w:r>
          </w:p>
        </w:tc>
        <w:tc>
          <w:tcPr>
            <w:tcW w:w="594" w:type="pct"/>
            <w:vAlign w:val="center"/>
          </w:tcPr>
          <w:p w14:paraId="008FECAD">
            <w:pPr>
              <w:pStyle w:val="31"/>
            </w:pPr>
            <w:r>
              <w:rPr>
                <w:rFonts w:hint="eastAsia"/>
              </w:rPr>
              <w:t>150</w:t>
            </w:r>
          </w:p>
        </w:tc>
        <w:tc>
          <w:tcPr>
            <w:tcW w:w="399" w:type="pct"/>
            <w:vMerge w:val="continue"/>
            <w:vAlign w:val="center"/>
          </w:tcPr>
          <w:p w14:paraId="2C774F83">
            <w:pPr>
              <w:pStyle w:val="31"/>
            </w:pPr>
          </w:p>
        </w:tc>
      </w:tr>
      <w:tr w14:paraId="12E16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3699A13E">
            <w:pPr>
              <w:pStyle w:val="31"/>
            </w:pPr>
          </w:p>
        </w:tc>
        <w:tc>
          <w:tcPr>
            <w:tcW w:w="2524" w:type="pct"/>
            <w:vMerge w:val="continue"/>
            <w:vAlign w:val="center"/>
          </w:tcPr>
          <w:p w14:paraId="3ECB8ABC">
            <w:pPr>
              <w:pStyle w:val="31"/>
            </w:pPr>
          </w:p>
        </w:tc>
        <w:tc>
          <w:tcPr>
            <w:tcW w:w="1182" w:type="pct"/>
            <w:vAlign w:val="center"/>
          </w:tcPr>
          <w:p w14:paraId="21962584">
            <w:pPr>
              <w:pStyle w:val="31"/>
            </w:pPr>
            <w:r>
              <w:rPr>
                <w:rFonts w:hint="eastAsia"/>
              </w:rPr>
              <w:t>1小时均值</w:t>
            </w:r>
          </w:p>
        </w:tc>
        <w:tc>
          <w:tcPr>
            <w:tcW w:w="594" w:type="pct"/>
            <w:vAlign w:val="center"/>
          </w:tcPr>
          <w:p w14:paraId="1829FCEA">
            <w:pPr>
              <w:pStyle w:val="31"/>
            </w:pPr>
            <w:r>
              <w:rPr>
                <w:rFonts w:hint="eastAsia"/>
              </w:rPr>
              <w:t>500</w:t>
            </w:r>
          </w:p>
        </w:tc>
        <w:tc>
          <w:tcPr>
            <w:tcW w:w="399" w:type="pct"/>
            <w:vMerge w:val="continue"/>
            <w:vAlign w:val="center"/>
          </w:tcPr>
          <w:p w14:paraId="1DD86D2F">
            <w:pPr>
              <w:pStyle w:val="31"/>
            </w:pPr>
          </w:p>
        </w:tc>
      </w:tr>
      <w:tr w14:paraId="658B7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6BF3B65B">
            <w:pPr>
              <w:pStyle w:val="31"/>
            </w:pPr>
            <w:r>
              <w:rPr>
                <w:rFonts w:hint="eastAsia"/>
              </w:rPr>
              <w:t>2</w:t>
            </w:r>
          </w:p>
        </w:tc>
        <w:tc>
          <w:tcPr>
            <w:tcW w:w="2524" w:type="pct"/>
            <w:vMerge w:val="restart"/>
            <w:vAlign w:val="center"/>
          </w:tcPr>
          <w:p w14:paraId="7FA7ABAE">
            <w:pPr>
              <w:pStyle w:val="31"/>
            </w:pPr>
            <w:r>
              <w:rPr>
                <w:rFonts w:hint="eastAsia"/>
              </w:rPr>
              <w:t>二氧化氮（NO</w:t>
            </w:r>
            <w:r>
              <w:rPr>
                <w:rFonts w:hint="eastAsia"/>
                <w:vertAlign w:val="subscript"/>
              </w:rPr>
              <w:t>2</w:t>
            </w:r>
            <w:r>
              <w:rPr>
                <w:rFonts w:hint="eastAsia"/>
              </w:rPr>
              <w:t>）</w:t>
            </w:r>
          </w:p>
        </w:tc>
        <w:tc>
          <w:tcPr>
            <w:tcW w:w="1182" w:type="pct"/>
            <w:vAlign w:val="center"/>
          </w:tcPr>
          <w:p w14:paraId="5E721E55">
            <w:pPr>
              <w:pStyle w:val="31"/>
            </w:pPr>
            <w:r>
              <w:rPr>
                <w:rFonts w:hint="eastAsia"/>
              </w:rPr>
              <w:t>年平均</w:t>
            </w:r>
          </w:p>
        </w:tc>
        <w:tc>
          <w:tcPr>
            <w:tcW w:w="594" w:type="pct"/>
            <w:vAlign w:val="center"/>
          </w:tcPr>
          <w:p w14:paraId="5B0280EA">
            <w:pPr>
              <w:pStyle w:val="31"/>
            </w:pPr>
            <w:r>
              <w:rPr>
                <w:rFonts w:hint="eastAsia"/>
              </w:rPr>
              <w:t>40</w:t>
            </w:r>
          </w:p>
        </w:tc>
        <w:tc>
          <w:tcPr>
            <w:tcW w:w="399" w:type="pct"/>
            <w:vMerge w:val="continue"/>
            <w:vAlign w:val="center"/>
          </w:tcPr>
          <w:p w14:paraId="0A186947">
            <w:pPr>
              <w:pStyle w:val="31"/>
            </w:pPr>
          </w:p>
        </w:tc>
      </w:tr>
      <w:tr w14:paraId="3C20B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3302F68D">
            <w:pPr>
              <w:pStyle w:val="31"/>
            </w:pPr>
          </w:p>
        </w:tc>
        <w:tc>
          <w:tcPr>
            <w:tcW w:w="2524" w:type="pct"/>
            <w:vMerge w:val="continue"/>
            <w:vAlign w:val="center"/>
          </w:tcPr>
          <w:p w14:paraId="13B94595">
            <w:pPr>
              <w:pStyle w:val="31"/>
            </w:pPr>
          </w:p>
        </w:tc>
        <w:tc>
          <w:tcPr>
            <w:tcW w:w="1182" w:type="pct"/>
            <w:vAlign w:val="center"/>
          </w:tcPr>
          <w:p w14:paraId="45AF2E1C">
            <w:pPr>
              <w:pStyle w:val="31"/>
            </w:pPr>
            <w:r>
              <w:rPr>
                <w:rFonts w:hint="eastAsia"/>
              </w:rPr>
              <w:t>24小时均值</w:t>
            </w:r>
          </w:p>
        </w:tc>
        <w:tc>
          <w:tcPr>
            <w:tcW w:w="594" w:type="pct"/>
            <w:vAlign w:val="center"/>
          </w:tcPr>
          <w:p w14:paraId="6C88BEDD">
            <w:pPr>
              <w:pStyle w:val="31"/>
            </w:pPr>
            <w:r>
              <w:rPr>
                <w:rFonts w:hint="eastAsia"/>
              </w:rPr>
              <w:t>80</w:t>
            </w:r>
          </w:p>
        </w:tc>
        <w:tc>
          <w:tcPr>
            <w:tcW w:w="399" w:type="pct"/>
            <w:vMerge w:val="continue"/>
            <w:vAlign w:val="center"/>
          </w:tcPr>
          <w:p w14:paraId="550F0431">
            <w:pPr>
              <w:pStyle w:val="31"/>
            </w:pPr>
          </w:p>
        </w:tc>
      </w:tr>
      <w:tr w14:paraId="648C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4E5F3524">
            <w:pPr>
              <w:pStyle w:val="31"/>
            </w:pPr>
          </w:p>
        </w:tc>
        <w:tc>
          <w:tcPr>
            <w:tcW w:w="2524" w:type="pct"/>
            <w:vMerge w:val="continue"/>
            <w:vAlign w:val="center"/>
          </w:tcPr>
          <w:p w14:paraId="358692A6">
            <w:pPr>
              <w:pStyle w:val="31"/>
            </w:pPr>
          </w:p>
        </w:tc>
        <w:tc>
          <w:tcPr>
            <w:tcW w:w="1182" w:type="pct"/>
            <w:vAlign w:val="center"/>
          </w:tcPr>
          <w:p w14:paraId="06B4CBB7">
            <w:pPr>
              <w:pStyle w:val="31"/>
            </w:pPr>
            <w:r>
              <w:rPr>
                <w:rFonts w:hint="eastAsia"/>
              </w:rPr>
              <w:t>1小时均值</w:t>
            </w:r>
          </w:p>
        </w:tc>
        <w:tc>
          <w:tcPr>
            <w:tcW w:w="594" w:type="pct"/>
            <w:vAlign w:val="center"/>
          </w:tcPr>
          <w:p w14:paraId="60F7E40D">
            <w:pPr>
              <w:pStyle w:val="31"/>
            </w:pPr>
            <w:r>
              <w:rPr>
                <w:rFonts w:hint="eastAsia"/>
              </w:rPr>
              <w:t>200</w:t>
            </w:r>
          </w:p>
        </w:tc>
        <w:tc>
          <w:tcPr>
            <w:tcW w:w="399" w:type="pct"/>
            <w:vMerge w:val="continue"/>
            <w:vAlign w:val="center"/>
          </w:tcPr>
          <w:p w14:paraId="20F4A5E2">
            <w:pPr>
              <w:pStyle w:val="31"/>
            </w:pPr>
          </w:p>
        </w:tc>
      </w:tr>
      <w:tr w14:paraId="541F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01684C2D">
            <w:pPr>
              <w:pStyle w:val="31"/>
            </w:pPr>
            <w:r>
              <w:rPr>
                <w:rFonts w:hint="eastAsia"/>
              </w:rPr>
              <w:t>3</w:t>
            </w:r>
          </w:p>
        </w:tc>
        <w:tc>
          <w:tcPr>
            <w:tcW w:w="2524" w:type="pct"/>
            <w:vMerge w:val="restart"/>
            <w:vAlign w:val="center"/>
          </w:tcPr>
          <w:p w14:paraId="193F1CD0">
            <w:pPr>
              <w:pStyle w:val="31"/>
            </w:pPr>
            <w:r>
              <w:rPr>
                <w:rFonts w:hint="eastAsia"/>
              </w:rPr>
              <w:t>一氧化碳（CO）</w:t>
            </w:r>
          </w:p>
        </w:tc>
        <w:tc>
          <w:tcPr>
            <w:tcW w:w="1182" w:type="pct"/>
            <w:vAlign w:val="center"/>
          </w:tcPr>
          <w:p w14:paraId="25410F76">
            <w:pPr>
              <w:pStyle w:val="31"/>
            </w:pPr>
            <w:r>
              <w:rPr>
                <w:rFonts w:hint="eastAsia"/>
              </w:rPr>
              <w:t>24小时均值</w:t>
            </w:r>
          </w:p>
        </w:tc>
        <w:tc>
          <w:tcPr>
            <w:tcW w:w="594" w:type="pct"/>
            <w:vAlign w:val="center"/>
          </w:tcPr>
          <w:p w14:paraId="4BFAF42D">
            <w:pPr>
              <w:pStyle w:val="31"/>
            </w:pPr>
            <w:r>
              <w:rPr>
                <w:rFonts w:hint="eastAsia"/>
              </w:rPr>
              <w:t>4 mg/m</w:t>
            </w:r>
            <w:r>
              <w:rPr>
                <w:rFonts w:hint="eastAsia"/>
                <w:vertAlign w:val="superscript"/>
              </w:rPr>
              <w:t>3</w:t>
            </w:r>
          </w:p>
        </w:tc>
        <w:tc>
          <w:tcPr>
            <w:tcW w:w="399" w:type="pct"/>
            <w:vMerge w:val="restart"/>
            <w:vAlign w:val="center"/>
          </w:tcPr>
          <w:p w14:paraId="75763D6C">
            <w:pPr>
              <w:pStyle w:val="31"/>
            </w:pPr>
            <w:r>
              <w:rPr>
                <w:rFonts w:hint="eastAsia" w:cs="Times New Roman"/>
              </w:rPr>
              <w:t>m</w:t>
            </w:r>
            <w:r>
              <w:rPr>
                <w:rFonts w:hint="eastAsia"/>
              </w:rPr>
              <w:t>g</w:t>
            </w:r>
            <w:r>
              <w:t>/</w:t>
            </w:r>
            <w:r>
              <w:rPr>
                <w:rFonts w:hint="eastAsia"/>
              </w:rPr>
              <w:t>m</w:t>
            </w:r>
            <w:r>
              <w:rPr>
                <w:vertAlign w:val="superscript"/>
              </w:rPr>
              <w:t>3</w:t>
            </w:r>
          </w:p>
        </w:tc>
      </w:tr>
      <w:tr w14:paraId="1A2E3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4D71A1D2">
            <w:pPr>
              <w:pStyle w:val="31"/>
            </w:pPr>
          </w:p>
        </w:tc>
        <w:tc>
          <w:tcPr>
            <w:tcW w:w="2524" w:type="pct"/>
            <w:vMerge w:val="continue"/>
            <w:vAlign w:val="center"/>
          </w:tcPr>
          <w:p w14:paraId="1B59DEF1">
            <w:pPr>
              <w:pStyle w:val="31"/>
            </w:pPr>
          </w:p>
        </w:tc>
        <w:tc>
          <w:tcPr>
            <w:tcW w:w="1182" w:type="pct"/>
            <w:vAlign w:val="center"/>
          </w:tcPr>
          <w:p w14:paraId="61CA7B5F">
            <w:pPr>
              <w:pStyle w:val="31"/>
            </w:pPr>
            <w:r>
              <w:rPr>
                <w:rFonts w:hint="eastAsia"/>
              </w:rPr>
              <w:t>1小时均值</w:t>
            </w:r>
          </w:p>
        </w:tc>
        <w:tc>
          <w:tcPr>
            <w:tcW w:w="594" w:type="pct"/>
            <w:vAlign w:val="center"/>
          </w:tcPr>
          <w:p w14:paraId="2FEBD1B7">
            <w:pPr>
              <w:pStyle w:val="31"/>
            </w:pPr>
            <w:r>
              <w:rPr>
                <w:rFonts w:hint="eastAsia"/>
              </w:rPr>
              <w:t>10 mg/m</w:t>
            </w:r>
            <w:r>
              <w:rPr>
                <w:rFonts w:hint="eastAsia"/>
                <w:vertAlign w:val="superscript"/>
              </w:rPr>
              <w:t>3</w:t>
            </w:r>
          </w:p>
        </w:tc>
        <w:tc>
          <w:tcPr>
            <w:tcW w:w="399" w:type="pct"/>
            <w:vMerge w:val="continue"/>
            <w:vAlign w:val="center"/>
          </w:tcPr>
          <w:p w14:paraId="04D92A08">
            <w:pPr>
              <w:pStyle w:val="31"/>
            </w:pPr>
          </w:p>
        </w:tc>
      </w:tr>
      <w:tr w14:paraId="35FFE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795417D0">
            <w:pPr>
              <w:pStyle w:val="31"/>
            </w:pPr>
            <w:r>
              <w:rPr>
                <w:rFonts w:hint="eastAsia"/>
              </w:rPr>
              <w:t>4</w:t>
            </w:r>
          </w:p>
        </w:tc>
        <w:tc>
          <w:tcPr>
            <w:tcW w:w="2524" w:type="pct"/>
            <w:vMerge w:val="restart"/>
            <w:vAlign w:val="center"/>
          </w:tcPr>
          <w:p w14:paraId="2A22730F">
            <w:pPr>
              <w:pStyle w:val="31"/>
            </w:pPr>
            <w:r>
              <w:rPr>
                <w:rFonts w:hint="eastAsia"/>
              </w:rPr>
              <w:t>臭氧（O</w:t>
            </w:r>
            <w:r>
              <w:rPr>
                <w:rFonts w:hint="eastAsia"/>
                <w:vertAlign w:val="subscript"/>
              </w:rPr>
              <w:t>3</w:t>
            </w:r>
            <w:r>
              <w:rPr>
                <w:rFonts w:hint="eastAsia"/>
              </w:rPr>
              <w:t>）</w:t>
            </w:r>
          </w:p>
        </w:tc>
        <w:tc>
          <w:tcPr>
            <w:tcW w:w="1182" w:type="pct"/>
            <w:vAlign w:val="center"/>
          </w:tcPr>
          <w:p w14:paraId="06A4E0E4">
            <w:pPr>
              <w:pStyle w:val="31"/>
            </w:pPr>
            <w:r>
              <w:rPr>
                <w:rFonts w:hint="eastAsia"/>
              </w:rPr>
              <w:t>日最大8小时均值</w:t>
            </w:r>
          </w:p>
        </w:tc>
        <w:tc>
          <w:tcPr>
            <w:tcW w:w="594" w:type="pct"/>
            <w:vAlign w:val="center"/>
          </w:tcPr>
          <w:p w14:paraId="7E544784">
            <w:pPr>
              <w:pStyle w:val="31"/>
            </w:pPr>
            <w:r>
              <w:rPr>
                <w:rFonts w:hint="eastAsia"/>
              </w:rPr>
              <w:t>160</w:t>
            </w:r>
          </w:p>
        </w:tc>
        <w:tc>
          <w:tcPr>
            <w:tcW w:w="399" w:type="pct"/>
            <w:vMerge w:val="restart"/>
            <w:vAlign w:val="center"/>
          </w:tcPr>
          <w:p w14:paraId="0248981B">
            <w:pPr>
              <w:pStyle w:val="31"/>
            </w:pPr>
            <w:r>
              <w:rPr>
                <w:rFonts w:cs="Times New Roman"/>
              </w:rPr>
              <w:t>µ</w:t>
            </w:r>
            <w:r>
              <w:rPr>
                <w:rFonts w:hint="eastAsia"/>
              </w:rPr>
              <w:t>g</w:t>
            </w:r>
            <w:r>
              <w:t>/</w:t>
            </w:r>
            <w:r>
              <w:rPr>
                <w:rFonts w:hint="eastAsia"/>
              </w:rPr>
              <w:t>m</w:t>
            </w:r>
            <w:r>
              <w:rPr>
                <w:vertAlign w:val="superscript"/>
              </w:rPr>
              <w:t>3</w:t>
            </w:r>
          </w:p>
        </w:tc>
      </w:tr>
      <w:tr w14:paraId="334F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3676CBF0">
            <w:pPr>
              <w:pStyle w:val="31"/>
            </w:pPr>
          </w:p>
        </w:tc>
        <w:tc>
          <w:tcPr>
            <w:tcW w:w="2524" w:type="pct"/>
            <w:vMerge w:val="continue"/>
            <w:vAlign w:val="center"/>
          </w:tcPr>
          <w:p w14:paraId="067A89A9">
            <w:pPr>
              <w:pStyle w:val="31"/>
            </w:pPr>
          </w:p>
        </w:tc>
        <w:tc>
          <w:tcPr>
            <w:tcW w:w="1182" w:type="pct"/>
            <w:vAlign w:val="center"/>
          </w:tcPr>
          <w:p w14:paraId="25FFD936">
            <w:pPr>
              <w:pStyle w:val="31"/>
            </w:pPr>
            <w:r>
              <w:rPr>
                <w:rFonts w:hint="eastAsia"/>
              </w:rPr>
              <w:t>1小时均值</w:t>
            </w:r>
          </w:p>
        </w:tc>
        <w:tc>
          <w:tcPr>
            <w:tcW w:w="594" w:type="pct"/>
            <w:vAlign w:val="center"/>
          </w:tcPr>
          <w:p w14:paraId="633CA4A9">
            <w:pPr>
              <w:pStyle w:val="31"/>
            </w:pPr>
            <w:r>
              <w:rPr>
                <w:rFonts w:hint="eastAsia"/>
              </w:rPr>
              <w:t>200</w:t>
            </w:r>
          </w:p>
        </w:tc>
        <w:tc>
          <w:tcPr>
            <w:tcW w:w="399" w:type="pct"/>
            <w:vMerge w:val="continue"/>
            <w:vAlign w:val="center"/>
          </w:tcPr>
          <w:p w14:paraId="2885E281">
            <w:pPr>
              <w:pStyle w:val="31"/>
            </w:pPr>
          </w:p>
        </w:tc>
      </w:tr>
      <w:tr w14:paraId="7FD04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00663871">
            <w:pPr>
              <w:pStyle w:val="31"/>
            </w:pPr>
            <w:r>
              <w:rPr>
                <w:rFonts w:hint="eastAsia"/>
              </w:rPr>
              <w:t>5</w:t>
            </w:r>
          </w:p>
        </w:tc>
        <w:tc>
          <w:tcPr>
            <w:tcW w:w="2524" w:type="pct"/>
            <w:vMerge w:val="restart"/>
            <w:vAlign w:val="center"/>
          </w:tcPr>
          <w:p w14:paraId="6C8FFBCC">
            <w:pPr>
              <w:pStyle w:val="31"/>
            </w:pPr>
            <w:r>
              <w:rPr>
                <w:rFonts w:hint="eastAsia"/>
              </w:rPr>
              <w:t>颗粒物（粒径小于等于1</w:t>
            </w:r>
            <w:r>
              <w:t>0</w:t>
            </w:r>
            <w:r>
              <w:rPr>
                <w:rFonts w:cs="Times New Roman"/>
              </w:rPr>
              <w:t>µ</w:t>
            </w:r>
            <w:r>
              <w:rPr>
                <w:rFonts w:hint="eastAsia"/>
              </w:rPr>
              <w:t>m，PM</w:t>
            </w:r>
            <w:r>
              <w:rPr>
                <w:rFonts w:hint="eastAsia"/>
                <w:vertAlign w:val="subscript"/>
              </w:rPr>
              <w:t>10</w:t>
            </w:r>
            <w:r>
              <w:rPr>
                <w:rFonts w:hint="eastAsia"/>
              </w:rPr>
              <w:t>）</w:t>
            </w:r>
          </w:p>
        </w:tc>
        <w:tc>
          <w:tcPr>
            <w:tcW w:w="1182" w:type="pct"/>
            <w:vAlign w:val="center"/>
          </w:tcPr>
          <w:p w14:paraId="6ABBBC84">
            <w:pPr>
              <w:pStyle w:val="31"/>
            </w:pPr>
            <w:r>
              <w:rPr>
                <w:rFonts w:hint="eastAsia"/>
              </w:rPr>
              <w:t>年平均</w:t>
            </w:r>
          </w:p>
        </w:tc>
        <w:tc>
          <w:tcPr>
            <w:tcW w:w="594" w:type="pct"/>
            <w:vAlign w:val="center"/>
          </w:tcPr>
          <w:p w14:paraId="3F3C0279">
            <w:pPr>
              <w:pStyle w:val="31"/>
            </w:pPr>
            <w:r>
              <w:rPr>
                <w:rFonts w:hint="eastAsia"/>
              </w:rPr>
              <w:t>70</w:t>
            </w:r>
          </w:p>
        </w:tc>
        <w:tc>
          <w:tcPr>
            <w:tcW w:w="399" w:type="pct"/>
            <w:vMerge w:val="continue"/>
            <w:vAlign w:val="center"/>
          </w:tcPr>
          <w:p w14:paraId="7C37B2B8">
            <w:pPr>
              <w:pStyle w:val="31"/>
            </w:pPr>
          </w:p>
        </w:tc>
      </w:tr>
      <w:tr w14:paraId="1A6C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74B6F09A">
            <w:pPr>
              <w:pStyle w:val="31"/>
            </w:pPr>
          </w:p>
        </w:tc>
        <w:tc>
          <w:tcPr>
            <w:tcW w:w="2524" w:type="pct"/>
            <w:vMerge w:val="continue"/>
            <w:vAlign w:val="center"/>
          </w:tcPr>
          <w:p w14:paraId="29393038">
            <w:pPr>
              <w:pStyle w:val="31"/>
            </w:pPr>
          </w:p>
        </w:tc>
        <w:tc>
          <w:tcPr>
            <w:tcW w:w="1182" w:type="pct"/>
            <w:vAlign w:val="center"/>
          </w:tcPr>
          <w:p w14:paraId="11FB99F5">
            <w:pPr>
              <w:pStyle w:val="31"/>
            </w:pPr>
            <w:r>
              <w:rPr>
                <w:rFonts w:hint="eastAsia"/>
              </w:rPr>
              <w:t>24小时均值</w:t>
            </w:r>
          </w:p>
        </w:tc>
        <w:tc>
          <w:tcPr>
            <w:tcW w:w="594" w:type="pct"/>
            <w:vAlign w:val="center"/>
          </w:tcPr>
          <w:p w14:paraId="7C4DF5A9">
            <w:pPr>
              <w:pStyle w:val="31"/>
            </w:pPr>
            <w:r>
              <w:rPr>
                <w:rFonts w:hint="eastAsia"/>
              </w:rPr>
              <w:t>150</w:t>
            </w:r>
          </w:p>
        </w:tc>
        <w:tc>
          <w:tcPr>
            <w:tcW w:w="399" w:type="pct"/>
            <w:vMerge w:val="continue"/>
            <w:vAlign w:val="center"/>
          </w:tcPr>
          <w:p w14:paraId="55D6544C">
            <w:pPr>
              <w:pStyle w:val="31"/>
            </w:pPr>
          </w:p>
        </w:tc>
      </w:tr>
      <w:tr w14:paraId="24F66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restart"/>
            <w:vAlign w:val="center"/>
          </w:tcPr>
          <w:p w14:paraId="59A2264F">
            <w:pPr>
              <w:pStyle w:val="31"/>
            </w:pPr>
            <w:r>
              <w:rPr>
                <w:rFonts w:hint="eastAsia"/>
              </w:rPr>
              <w:t>6</w:t>
            </w:r>
          </w:p>
        </w:tc>
        <w:tc>
          <w:tcPr>
            <w:tcW w:w="2524" w:type="pct"/>
            <w:vMerge w:val="restart"/>
            <w:vAlign w:val="center"/>
          </w:tcPr>
          <w:p w14:paraId="3CA493AB">
            <w:pPr>
              <w:pStyle w:val="31"/>
            </w:pPr>
            <w:r>
              <w:rPr>
                <w:rFonts w:hint="eastAsia"/>
              </w:rPr>
              <w:t>颗粒物（粒径小于等于</w:t>
            </w:r>
            <w:r>
              <w:t>2.5</w:t>
            </w:r>
            <w:r>
              <w:rPr>
                <w:rFonts w:cs="Times New Roman"/>
              </w:rPr>
              <w:t>µ</w:t>
            </w:r>
            <w:r>
              <w:rPr>
                <w:rFonts w:hint="eastAsia"/>
              </w:rPr>
              <w:t>m，PM</w:t>
            </w:r>
            <w:r>
              <w:rPr>
                <w:rFonts w:hint="eastAsia"/>
                <w:vertAlign w:val="subscript"/>
              </w:rPr>
              <w:t>2.5</w:t>
            </w:r>
            <w:r>
              <w:rPr>
                <w:rFonts w:hint="eastAsia"/>
              </w:rPr>
              <w:t>）</w:t>
            </w:r>
          </w:p>
        </w:tc>
        <w:tc>
          <w:tcPr>
            <w:tcW w:w="1182" w:type="pct"/>
            <w:vAlign w:val="center"/>
          </w:tcPr>
          <w:p w14:paraId="10C1E157">
            <w:pPr>
              <w:pStyle w:val="31"/>
            </w:pPr>
            <w:r>
              <w:rPr>
                <w:rFonts w:hint="eastAsia"/>
              </w:rPr>
              <w:t>年平均</w:t>
            </w:r>
          </w:p>
        </w:tc>
        <w:tc>
          <w:tcPr>
            <w:tcW w:w="594" w:type="pct"/>
            <w:vAlign w:val="center"/>
          </w:tcPr>
          <w:p w14:paraId="78EE6E64">
            <w:pPr>
              <w:pStyle w:val="31"/>
            </w:pPr>
            <w:r>
              <w:rPr>
                <w:rFonts w:hint="eastAsia"/>
              </w:rPr>
              <w:t>35</w:t>
            </w:r>
          </w:p>
        </w:tc>
        <w:tc>
          <w:tcPr>
            <w:tcW w:w="399" w:type="pct"/>
            <w:vMerge w:val="continue"/>
            <w:vAlign w:val="center"/>
          </w:tcPr>
          <w:p w14:paraId="6E0DDD79">
            <w:pPr>
              <w:pStyle w:val="31"/>
            </w:pPr>
          </w:p>
        </w:tc>
      </w:tr>
      <w:tr w14:paraId="1547F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Merge w:val="continue"/>
            <w:vAlign w:val="center"/>
          </w:tcPr>
          <w:p w14:paraId="1B09E633">
            <w:pPr>
              <w:pStyle w:val="31"/>
            </w:pPr>
          </w:p>
        </w:tc>
        <w:tc>
          <w:tcPr>
            <w:tcW w:w="2524" w:type="pct"/>
            <w:vMerge w:val="continue"/>
            <w:vAlign w:val="center"/>
          </w:tcPr>
          <w:p w14:paraId="65D0E2EE">
            <w:pPr>
              <w:pStyle w:val="31"/>
            </w:pPr>
          </w:p>
        </w:tc>
        <w:tc>
          <w:tcPr>
            <w:tcW w:w="1182" w:type="pct"/>
            <w:vAlign w:val="center"/>
          </w:tcPr>
          <w:p w14:paraId="199EAB57">
            <w:pPr>
              <w:pStyle w:val="31"/>
            </w:pPr>
            <w:r>
              <w:rPr>
                <w:rFonts w:hint="eastAsia"/>
              </w:rPr>
              <w:t>24小时均值</w:t>
            </w:r>
          </w:p>
        </w:tc>
        <w:tc>
          <w:tcPr>
            <w:tcW w:w="594" w:type="pct"/>
            <w:vAlign w:val="center"/>
          </w:tcPr>
          <w:p w14:paraId="771FEB24">
            <w:pPr>
              <w:pStyle w:val="31"/>
            </w:pPr>
            <w:r>
              <w:t>7</w:t>
            </w:r>
            <w:r>
              <w:rPr>
                <w:rFonts w:hint="eastAsia"/>
              </w:rPr>
              <w:t>5</w:t>
            </w:r>
          </w:p>
        </w:tc>
        <w:tc>
          <w:tcPr>
            <w:tcW w:w="399" w:type="pct"/>
            <w:vMerge w:val="continue"/>
            <w:vAlign w:val="center"/>
          </w:tcPr>
          <w:p w14:paraId="1E8CA94F">
            <w:pPr>
              <w:pStyle w:val="31"/>
            </w:pPr>
          </w:p>
        </w:tc>
      </w:tr>
      <w:tr w14:paraId="65181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jc w:val="center"/>
        </w:trPr>
        <w:tc>
          <w:tcPr>
            <w:tcW w:w="301" w:type="pct"/>
            <w:vAlign w:val="center"/>
          </w:tcPr>
          <w:p w14:paraId="05F9C8A4">
            <w:pPr>
              <w:pStyle w:val="31"/>
            </w:pPr>
            <w:r>
              <w:rPr>
                <w:rFonts w:hint="eastAsia"/>
              </w:rPr>
              <w:t>7</w:t>
            </w:r>
          </w:p>
        </w:tc>
        <w:tc>
          <w:tcPr>
            <w:tcW w:w="2524" w:type="pct"/>
            <w:vAlign w:val="center"/>
          </w:tcPr>
          <w:p w14:paraId="5A92F1E6">
            <w:pPr>
              <w:pStyle w:val="31"/>
            </w:pPr>
            <w:r>
              <w:rPr>
                <w:rFonts w:hint="eastAsia"/>
              </w:rPr>
              <w:t>非甲烷总烃</w:t>
            </w:r>
          </w:p>
        </w:tc>
        <w:tc>
          <w:tcPr>
            <w:tcW w:w="1182" w:type="pct"/>
            <w:vAlign w:val="center"/>
          </w:tcPr>
          <w:p w14:paraId="5256F8D8">
            <w:pPr>
              <w:pStyle w:val="31"/>
            </w:pPr>
            <w:r>
              <w:rPr>
                <w:rFonts w:hint="eastAsia"/>
              </w:rPr>
              <w:t>小时均值</w:t>
            </w:r>
          </w:p>
        </w:tc>
        <w:tc>
          <w:tcPr>
            <w:tcW w:w="594" w:type="pct"/>
            <w:vAlign w:val="center"/>
          </w:tcPr>
          <w:p w14:paraId="6D954CB5">
            <w:pPr>
              <w:pStyle w:val="31"/>
            </w:pPr>
            <w:r>
              <w:t>2</w:t>
            </w:r>
            <w:r>
              <w:rPr>
                <w:rFonts w:hint="eastAsia"/>
              </w:rPr>
              <w:t>.0</w:t>
            </w:r>
          </w:p>
        </w:tc>
        <w:tc>
          <w:tcPr>
            <w:tcW w:w="399" w:type="pct"/>
            <w:vAlign w:val="center"/>
          </w:tcPr>
          <w:p w14:paraId="13ACBE95">
            <w:pPr>
              <w:pStyle w:val="31"/>
            </w:pPr>
            <w:r>
              <w:rPr>
                <w:rFonts w:hint="eastAsia" w:cs="Times New Roman"/>
              </w:rPr>
              <w:t>m</w:t>
            </w:r>
            <w:r>
              <w:rPr>
                <w:rFonts w:hint="eastAsia"/>
              </w:rPr>
              <w:t>g</w:t>
            </w:r>
            <w:r>
              <w:t>/</w:t>
            </w:r>
            <w:r>
              <w:rPr>
                <w:rFonts w:hint="eastAsia"/>
              </w:rPr>
              <w:t>m</w:t>
            </w:r>
            <w:r>
              <w:rPr>
                <w:vertAlign w:val="superscript"/>
              </w:rPr>
              <w:t>3</w:t>
            </w:r>
          </w:p>
        </w:tc>
      </w:tr>
    </w:tbl>
    <w:p w14:paraId="67A93B26">
      <w:pPr>
        <w:pStyle w:val="36"/>
      </w:pPr>
      <w:r>
        <w:rPr>
          <w:rFonts w:hint="eastAsia"/>
        </w:rPr>
        <w:t>2</w:t>
      </w:r>
      <w:r>
        <w:t>.</w:t>
      </w:r>
      <w:r>
        <w:rPr>
          <w:rFonts w:hint="eastAsia"/>
        </w:rPr>
        <w:t>4</w:t>
      </w:r>
      <w:r>
        <w:t>.2.2</w:t>
      </w:r>
      <w:r>
        <w:rPr>
          <w:rFonts w:hint="eastAsia"/>
        </w:rPr>
        <w:t>声环境质量标准</w:t>
      </w:r>
    </w:p>
    <w:p w14:paraId="624F1A43">
      <w:pPr>
        <w:pStyle w:val="39"/>
        <w:ind w:firstLine="480"/>
      </w:pPr>
      <w:r>
        <w:rPr>
          <w:rFonts w:hint="eastAsia"/>
        </w:rPr>
        <w:t>项目所在区域声环境质量执行</w:t>
      </w:r>
      <w:bookmarkStart w:id="60" w:name="_Hlk164867594"/>
      <w:r>
        <w:rPr>
          <w:rFonts w:hint="eastAsia"/>
        </w:rPr>
        <w:t>《声环境质量标准》（GB</w:t>
      </w:r>
      <w:r>
        <w:t xml:space="preserve"> </w:t>
      </w:r>
      <w:r>
        <w:rPr>
          <w:rFonts w:hint="eastAsia"/>
        </w:rPr>
        <w:t>3096-2008）中</w:t>
      </w:r>
      <w:r>
        <w:rPr>
          <w:rFonts w:hint="eastAsia"/>
          <w:lang w:val="en-US" w:eastAsia="zh-CN"/>
        </w:rPr>
        <w:t>2</w:t>
      </w:r>
      <w:r>
        <w:rPr>
          <w:rFonts w:hint="eastAsia"/>
        </w:rPr>
        <w:t>类声环境功能区环境噪声限值</w:t>
      </w:r>
      <w:bookmarkEnd w:id="60"/>
      <w:r>
        <w:rPr>
          <w:rFonts w:hint="eastAsia"/>
        </w:rPr>
        <w:t>。</w:t>
      </w:r>
    </w:p>
    <w:p w14:paraId="0FAF670A">
      <w:pPr>
        <w:pStyle w:val="23"/>
      </w:pPr>
      <w:r>
        <w:rPr>
          <w:rFonts w:hint="eastAsia"/>
        </w:rPr>
        <w:t>表</w:t>
      </w:r>
      <w:r>
        <w:t>2</w:t>
      </w:r>
      <w:r>
        <w:rPr>
          <w:rFonts w:hint="eastAsia"/>
        </w:rPr>
        <w:t>.3-3  声环境质量标准</w:t>
      </w:r>
      <w:r>
        <w:t xml:space="preserve">  </w:t>
      </w:r>
      <w:r>
        <w:rPr>
          <w:rFonts w:hint="eastAsia"/>
        </w:rPr>
        <w:t>单位：dB(A)</w:t>
      </w:r>
      <w:r>
        <w:t xml:space="preserve"> </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4"/>
        <w:gridCol w:w="2766"/>
        <w:gridCol w:w="2761"/>
      </w:tblGrid>
      <w:tr w14:paraId="7A437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pct"/>
            <w:vAlign w:val="center"/>
          </w:tcPr>
          <w:p w14:paraId="5710B749">
            <w:pPr>
              <w:pStyle w:val="47"/>
              <w:rPr>
                <w:b/>
                <w:bCs/>
              </w:rPr>
            </w:pPr>
            <w:r>
              <w:rPr>
                <w:rFonts w:hint="eastAsia"/>
                <w:b/>
                <w:bCs/>
              </w:rPr>
              <w:t>类别</w:t>
            </w:r>
          </w:p>
        </w:tc>
        <w:tc>
          <w:tcPr>
            <w:tcW w:w="1623" w:type="pct"/>
            <w:vAlign w:val="center"/>
          </w:tcPr>
          <w:p w14:paraId="37543E64">
            <w:pPr>
              <w:pStyle w:val="47"/>
              <w:rPr>
                <w:b/>
                <w:bCs/>
              </w:rPr>
            </w:pPr>
            <w:r>
              <w:rPr>
                <w:rFonts w:hint="eastAsia"/>
                <w:b/>
                <w:bCs/>
              </w:rPr>
              <w:t>昼间</w:t>
            </w:r>
          </w:p>
        </w:tc>
        <w:tc>
          <w:tcPr>
            <w:tcW w:w="1620" w:type="pct"/>
            <w:vAlign w:val="center"/>
          </w:tcPr>
          <w:p w14:paraId="35EA581F">
            <w:pPr>
              <w:pStyle w:val="47"/>
              <w:rPr>
                <w:b/>
                <w:bCs/>
              </w:rPr>
            </w:pPr>
            <w:r>
              <w:rPr>
                <w:rFonts w:hint="eastAsia"/>
                <w:b/>
                <w:bCs/>
              </w:rPr>
              <w:t>夜间</w:t>
            </w:r>
          </w:p>
        </w:tc>
      </w:tr>
      <w:tr w14:paraId="1BF12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pct"/>
            <w:vAlign w:val="center"/>
          </w:tcPr>
          <w:p w14:paraId="091D538B">
            <w:pPr>
              <w:pStyle w:val="47"/>
            </w:pPr>
            <w:r>
              <w:rPr>
                <w:rFonts w:hint="eastAsia"/>
                <w:lang w:val="en-US" w:eastAsia="zh-CN"/>
              </w:rPr>
              <w:t>2</w:t>
            </w:r>
            <w:r>
              <w:rPr>
                <w:rFonts w:hint="eastAsia"/>
              </w:rPr>
              <w:t>类</w:t>
            </w:r>
          </w:p>
        </w:tc>
        <w:tc>
          <w:tcPr>
            <w:tcW w:w="1623" w:type="pct"/>
            <w:vAlign w:val="center"/>
          </w:tcPr>
          <w:p w14:paraId="451AB591">
            <w:pPr>
              <w:pStyle w:val="47"/>
              <w:rPr>
                <w:rFonts w:hint="default" w:eastAsia="宋体"/>
                <w:lang w:val="en-US" w:eastAsia="zh-CN"/>
              </w:rPr>
            </w:pPr>
            <w:r>
              <w:rPr>
                <w:rFonts w:hint="eastAsia"/>
                <w:lang w:val="en-US" w:eastAsia="zh-CN"/>
              </w:rPr>
              <w:t>60</w:t>
            </w:r>
          </w:p>
        </w:tc>
        <w:tc>
          <w:tcPr>
            <w:tcW w:w="1620" w:type="pct"/>
            <w:vAlign w:val="center"/>
          </w:tcPr>
          <w:p w14:paraId="2CB44CC0">
            <w:pPr>
              <w:pStyle w:val="47"/>
              <w:rPr>
                <w:rFonts w:hint="default" w:eastAsia="宋体"/>
                <w:lang w:val="en-US" w:eastAsia="zh-CN"/>
              </w:rPr>
            </w:pPr>
            <w:r>
              <w:rPr>
                <w:rFonts w:hint="eastAsia"/>
                <w:lang w:val="en-US" w:eastAsia="zh-CN"/>
              </w:rPr>
              <w:t>50</w:t>
            </w:r>
          </w:p>
        </w:tc>
      </w:tr>
    </w:tbl>
    <w:p w14:paraId="0DDBC04F">
      <w:pPr>
        <w:pStyle w:val="36"/>
      </w:pPr>
      <w:r>
        <w:rPr>
          <w:rFonts w:hint="eastAsia"/>
        </w:rPr>
        <w:t>2</w:t>
      </w:r>
      <w:r>
        <w:t>.</w:t>
      </w:r>
      <w:r>
        <w:rPr>
          <w:rFonts w:hint="eastAsia"/>
        </w:rPr>
        <w:t>4</w:t>
      </w:r>
      <w:r>
        <w:t>.2.3</w:t>
      </w:r>
      <w:r>
        <w:rPr>
          <w:rFonts w:hint="eastAsia"/>
        </w:rPr>
        <w:t>地表水环境质量标准</w:t>
      </w:r>
    </w:p>
    <w:p w14:paraId="426D5F74">
      <w:pPr>
        <w:pStyle w:val="39"/>
        <w:ind w:firstLine="480"/>
      </w:pPr>
      <w:r>
        <w:rPr>
          <w:rFonts w:hint="eastAsia"/>
        </w:rPr>
        <w:t>根据《湖南省主要地表水系水环境功能区划》（D</w:t>
      </w:r>
      <w:r>
        <w:t>B43/023</w:t>
      </w:r>
      <w:r>
        <w:rPr>
          <w:rFonts w:hint="eastAsia"/>
        </w:rPr>
        <w:t>-</w:t>
      </w:r>
      <w:r>
        <w:t>2005</w:t>
      </w:r>
      <w:r>
        <w:rPr>
          <w:rFonts w:hint="eastAsia"/>
        </w:rPr>
        <w:t>），衡东经开区污水处理厂受纳水体为湘江，其区间水质污染物项目执行《地表水环境质量标准》（GB</w:t>
      </w:r>
      <w:r>
        <w:t xml:space="preserve"> </w:t>
      </w:r>
      <w:r>
        <w:rPr>
          <w:rFonts w:hint="eastAsia"/>
        </w:rPr>
        <w:t>3838-2002）表1中III类标准值，钒、钛、铊参考表3特定项目标准值。</w:t>
      </w:r>
    </w:p>
    <w:p w14:paraId="78F3CD4A">
      <w:pPr>
        <w:pStyle w:val="23"/>
        <w:rPr>
          <w:rFonts w:hint="eastAsia"/>
        </w:rPr>
      </w:pPr>
      <w:r>
        <w:rPr>
          <w:rFonts w:hint="eastAsia"/>
        </w:rPr>
        <w:t>表</w:t>
      </w:r>
      <w:r>
        <w:t>2.</w:t>
      </w:r>
      <w:r>
        <w:rPr>
          <w:rFonts w:hint="eastAsia"/>
        </w:rPr>
        <w:t>3-4</w:t>
      </w:r>
      <w:r>
        <w:t xml:space="preserve">  </w:t>
      </w:r>
      <w:r>
        <w:rPr>
          <w:rFonts w:hint="eastAsia"/>
        </w:rPr>
        <w:t>地表水环境质量标准污染物项目标准限值 单位：mg/L</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0"/>
        <w:gridCol w:w="1919"/>
        <w:gridCol w:w="3301"/>
      </w:tblGrid>
      <w:tr w14:paraId="15865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936" w:type="pct"/>
            <w:vMerge w:val="restart"/>
            <w:vAlign w:val="center"/>
          </w:tcPr>
          <w:p w14:paraId="4DA9C696">
            <w:pPr>
              <w:pStyle w:val="31"/>
              <w:bidi w:val="0"/>
            </w:pPr>
            <w:r>
              <w:rPr>
                <w:rFonts w:hint="eastAsia"/>
              </w:rPr>
              <w:t>监测项目</w:t>
            </w:r>
          </w:p>
        </w:tc>
        <w:tc>
          <w:tcPr>
            <w:tcW w:w="1126" w:type="pct"/>
            <w:vMerge w:val="restart"/>
            <w:vAlign w:val="center"/>
          </w:tcPr>
          <w:p w14:paraId="431EBA88">
            <w:pPr>
              <w:pStyle w:val="31"/>
              <w:bidi w:val="0"/>
            </w:pPr>
            <w:r>
              <w:rPr>
                <w:rFonts w:hint="eastAsia"/>
              </w:rPr>
              <w:t>单位</w:t>
            </w:r>
          </w:p>
        </w:tc>
        <w:tc>
          <w:tcPr>
            <w:tcW w:w="1936" w:type="pct"/>
            <w:vMerge w:val="restart"/>
            <w:vAlign w:val="center"/>
          </w:tcPr>
          <w:p w14:paraId="2C6D0A7F">
            <w:pPr>
              <w:pStyle w:val="31"/>
              <w:bidi w:val="0"/>
            </w:pPr>
            <w:r>
              <w:rPr>
                <w:rFonts w:hint="eastAsia"/>
                <w:lang w:val="en-US" w:eastAsia="zh-CN"/>
              </w:rPr>
              <w:t>Ⅲ类</w:t>
            </w:r>
            <w:r>
              <w:rPr>
                <w:rFonts w:hint="eastAsia"/>
              </w:rPr>
              <w:t>标准限值</w:t>
            </w:r>
          </w:p>
        </w:tc>
      </w:tr>
      <w:tr w14:paraId="4A6B0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936" w:type="pct"/>
            <w:vMerge w:val="continue"/>
            <w:vAlign w:val="center"/>
          </w:tcPr>
          <w:p w14:paraId="0BB876FE">
            <w:pPr>
              <w:pStyle w:val="31"/>
              <w:bidi w:val="0"/>
            </w:pPr>
          </w:p>
        </w:tc>
        <w:tc>
          <w:tcPr>
            <w:tcW w:w="1126" w:type="pct"/>
            <w:vMerge w:val="continue"/>
            <w:vAlign w:val="center"/>
          </w:tcPr>
          <w:p w14:paraId="082974D9">
            <w:pPr>
              <w:pStyle w:val="31"/>
              <w:bidi w:val="0"/>
            </w:pPr>
          </w:p>
        </w:tc>
        <w:tc>
          <w:tcPr>
            <w:tcW w:w="1936" w:type="pct"/>
            <w:vMerge w:val="continue"/>
            <w:vAlign w:val="center"/>
          </w:tcPr>
          <w:p w14:paraId="61A240F7">
            <w:pPr>
              <w:pStyle w:val="31"/>
              <w:bidi w:val="0"/>
            </w:pPr>
          </w:p>
        </w:tc>
      </w:tr>
      <w:tr w14:paraId="3EC90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05A5D882">
            <w:pPr>
              <w:pStyle w:val="31"/>
              <w:bidi w:val="0"/>
            </w:pPr>
            <w:r>
              <w:rPr>
                <w:rFonts w:hint="eastAsia"/>
              </w:rPr>
              <w:t>p</w:t>
            </w:r>
            <w:r>
              <w:t>H</w:t>
            </w:r>
            <w:r>
              <w:rPr>
                <w:rFonts w:hint="eastAsia"/>
              </w:rPr>
              <w:t>值</w:t>
            </w:r>
          </w:p>
        </w:tc>
        <w:tc>
          <w:tcPr>
            <w:tcW w:w="1126" w:type="pct"/>
            <w:vAlign w:val="center"/>
          </w:tcPr>
          <w:p w14:paraId="4B06DEE3">
            <w:pPr>
              <w:pStyle w:val="31"/>
              <w:bidi w:val="0"/>
            </w:pPr>
            <w:r>
              <w:rPr>
                <w:rFonts w:hint="eastAsia"/>
              </w:rPr>
              <w:t>无量纲</w:t>
            </w:r>
          </w:p>
        </w:tc>
        <w:tc>
          <w:tcPr>
            <w:tcW w:w="1936" w:type="pct"/>
            <w:vAlign w:val="center"/>
          </w:tcPr>
          <w:p w14:paraId="1ECE796D">
            <w:pPr>
              <w:pStyle w:val="31"/>
              <w:bidi w:val="0"/>
            </w:pPr>
            <w:r>
              <w:rPr>
                <w:rFonts w:hint="eastAsia"/>
              </w:rPr>
              <w:t>6</w:t>
            </w:r>
            <w:r>
              <w:t>~9</w:t>
            </w:r>
          </w:p>
        </w:tc>
      </w:tr>
      <w:tr w14:paraId="141E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06CA7F56">
            <w:pPr>
              <w:pStyle w:val="31"/>
              <w:bidi w:val="0"/>
            </w:pPr>
            <w:r>
              <w:rPr>
                <w:rFonts w:hint="eastAsia"/>
              </w:rPr>
              <w:t>高锰酸盐指数</w:t>
            </w:r>
          </w:p>
        </w:tc>
        <w:tc>
          <w:tcPr>
            <w:tcW w:w="1126" w:type="pct"/>
            <w:vAlign w:val="center"/>
          </w:tcPr>
          <w:p w14:paraId="2F7EE44F">
            <w:pPr>
              <w:pStyle w:val="31"/>
              <w:bidi w:val="0"/>
            </w:pPr>
            <w:r>
              <w:rPr>
                <w:rFonts w:hint="eastAsia"/>
              </w:rPr>
              <w:t>mg</w:t>
            </w:r>
            <w:r>
              <w:t>/L</w:t>
            </w:r>
          </w:p>
        </w:tc>
        <w:tc>
          <w:tcPr>
            <w:tcW w:w="1936" w:type="pct"/>
            <w:vAlign w:val="center"/>
          </w:tcPr>
          <w:p w14:paraId="1250D3B8">
            <w:pPr>
              <w:pStyle w:val="31"/>
              <w:bidi w:val="0"/>
            </w:pPr>
            <w:r>
              <w:rPr>
                <w:rFonts w:hint="eastAsia"/>
              </w:rPr>
              <w:t>6</w:t>
            </w:r>
          </w:p>
        </w:tc>
      </w:tr>
      <w:tr w14:paraId="1D9D0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3D30A1A8">
            <w:pPr>
              <w:pStyle w:val="31"/>
              <w:bidi w:val="0"/>
            </w:pPr>
            <w:r>
              <w:rPr>
                <w:rFonts w:hint="eastAsia"/>
              </w:rPr>
              <w:t>COD</w:t>
            </w:r>
          </w:p>
        </w:tc>
        <w:tc>
          <w:tcPr>
            <w:tcW w:w="1126" w:type="pct"/>
          </w:tcPr>
          <w:p w14:paraId="57EACE39">
            <w:pPr>
              <w:pStyle w:val="31"/>
              <w:bidi w:val="0"/>
            </w:pPr>
            <w:r>
              <w:rPr>
                <w:rFonts w:hint="eastAsia"/>
              </w:rPr>
              <w:t>mg</w:t>
            </w:r>
            <w:r>
              <w:t>/L</w:t>
            </w:r>
          </w:p>
        </w:tc>
        <w:tc>
          <w:tcPr>
            <w:tcW w:w="1936" w:type="pct"/>
            <w:vAlign w:val="center"/>
          </w:tcPr>
          <w:p w14:paraId="44CE692F">
            <w:pPr>
              <w:pStyle w:val="31"/>
              <w:bidi w:val="0"/>
            </w:pPr>
            <w:r>
              <w:rPr>
                <w:rFonts w:hint="eastAsia"/>
              </w:rPr>
              <w:t>2</w:t>
            </w:r>
            <w:r>
              <w:t>0</w:t>
            </w:r>
          </w:p>
        </w:tc>
      </w:tr>
      <w:tr w14:paraId="26336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79218847">
            <w:pPr>
              <w:pStyle w:val="31"/>
              <w:bidi w:val="0"/>
            </w:pPr>
            <w:r>
              <w:rPr>
                <w:rFonts w:hint="eastAsia"/>
              </w:rPr>
              <w:t>BOD</w:t>
            </w:r>
            <w:r>
              <w:t>5</w:t>
            </w:r>
          </w:p>
        </w:tc>
        <w:tc>
          <w:tcPr>
            <w:tcW w:w="1126" w:type="pct"/>
          </w:tcPr>
          <w:p w14:paraId="65F18022">
            <w:pPr>
              <w:pStyle w:val="31"/>
              <w:bidi w:val="0"/>
            </w:pPr>
            <w:r>
              <w:rPr>
                <w:rFonts w:hint="eastAsia"/>
              </w:rPr>
              <w:t>mg</w:t>
            </w:r>
            <w:r>
              <w:t>/L</w:t>
            </w:r>
          </w:p>
        </w:tc>
        <w:tc>
          <w:tcPr>
            <w:tcW w:w="1936" w:type="pct"/>
            <w:vAlign w:val="center"/>
          </w:tcPr>
          <w:p w14:paraId="6674FF42">
            <w:pPr>
              <w:pStyle w:val="31"/>
              <w:bidi w:val="0"/>
            </w:pPr>
            <w:r>
              <w:rPr>
                <w:rFonts w:hint="eastAsia"/>
              </w:rPr>
              <w:t>4</w:t>
            </w:r>
          </w:p>
        </w:tc>
      </w:tr>
      <w:tr w14:paraId="2CB00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27060E21">
            <w:pPr>
              <w:pStyle w:val="31"/>
              <w:bidi w:val="0"/>
            </w:pPr>
            <w:r>
              <w:rPr>
                <w:rFonts w:hint="eastAsia"/>
              </w:rPr>
              <w:t>SS</w:t>
            </w:r>
            <w:r>
              <w:t xml:space="preserve"> </w:t>
            </w:r>
          </w:p>
        </w:tc>
        <w:tc>
          <w:tcPr>
            <w:tcW w:w="1126" w:type="pct"/>
          </w:tcPr>
          <w:p w14:paraId="7EAE335F">
            <w:pPr>
              <w:pStyle w:val="31"/>
              <w:bidi w:val="0"/>
            </w:pPr>
            <w:r>
              <w:rPr>
                <w:rFonts w:hint="eastAsia"/>
              </w:rPr>
              <w:t>mg</w:t>
            </w:r>
            <w:r>
              <w:t>/L</w:t>
            </w:r>
          </w:p>
        </w:tc>
        <w:tc>
          <w:tcPr>
            <w:tcW w:w="1936" w:type="pct"/>
            <w:vAlign w:val="center"/>
          </w:tcPr>
          <w:p w14:paraId="6FA357D1">
            <w:pPr>
              <w:pStyle w:val="31"/>
              <w:bidi w:val="0"/>
            </w:pPr>
            <w:r>
              <w:rPr>
                <w:rFonts w:hint="eastAsia"/>
              </w:rPr>
              <w:t>/</w:t>
            </w:r>
          </w:p>
        </w:tc>
      </w:tr>
      <w:tr w14:paraId="47BA7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5C6923C2">
            <w:pPr>
              <w:pStyle w:val="31"/>
              <w:bidi w:val="0"/>
            </w:pPr>
            <w:r>
              <w:rPr>
                <w:rFonts w:hint="eastAsia"/>
              </w:rPr>
              <w:t>氨氮</w:t>
            </w:r>
          </w:p>
        </w:tc>
        <w:tc>
          <w:tcPr>
            <w:tcW w:w="1126" w:type="pct"/>
          </w:tcPr>
          <w:p w14:paraId="65C23403">
            <w:pPr>
              <w:pStyle w:val="31"/>
              <w:bidi w:val="0"/>
            </w:pPr>
            <w:r>
              <w:rPr>
                <w:rFonts w:hint="eastAsia"/>
              </w:rPr>
              <w:t>mg</w:t>
            </w:r>
            <w:r>
              <w:t>/L</w:t>
            </w:r>
          </w:p>
        </w:tc>
        <w:tc>
          <w:tcPr>
            <w:tcW w:w="1936" w:type="pct"/>
            <w:vAlign w:val="center"/>
          </w:tcPr>
          <w:p w14:paraId="6792E609">
            <w:pPr>
              <w:pStyle w:val="31"/>
              <w:bidi w:val="0"/>
            </w:pPr>
            <w:r>
              <w:rPr>
                <w:rFonts w:hint="eastAsia"/>
              </w:rPr>
              <w:t>1.0</w:t>
            </w:r>
          </w:p>
        </w:tc>
      </w:tr>
      <w:tr w14:paraId="08F1E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245B1512">
            <w:pPr>
              <w:pStyle w:val="31"/>
              <w:bidi w:val="0"/>
            </w:pPr>
            <w:r>
              <w:rPr>
                <w:rFonts w:hint="eastAsia"/>
              </w:rPr>
              <w:t>TP</w:t>
            </w:r>
          </w:p>
        </w:tc>
        <w:tc>
          <w:tcPr>
            <w:tcW w:w="1126" w:type="pct"/>
          </w:tcPr>
          <w:p w14:paraId="554DAAD3">
            <w:pPr>
              <w:pStyle w:val="31"/>
              <w:bidi w:val="0"/>
            </w:pPr>
            <w:r>
              <w:rPr>
                <w:rFonts w:hint="eastAsia"/>
              </w:rPr>
              <w:t>mg</w:t>
            </w:r>
            <w:r>
              <w:t>/L</w:t>
            </w:r>
          </w:p>
        </w:tc>
        <w:tc>
          <w:tcPr>
            <w:tcW w:w="1936" w:type="pct"/>
            <w:vAlign w:val="center"/>
          </w:tcPr>
          <w:p w14:paraId="15B8CC2D">
            <w:pPr>
              <w:pStyle w:val="31"/>
              <w:bidi w:val="0"/>
            </w:pPr>
            <w:r>
              <w:rPr>
                <w:rFonts w:hint="eastAsia"/>
              </w:rPr>
              <w:t>0.2</w:t>
            </w:r>
          </w:p>
        </w:tc>
      </w:tr>
      <w:tr w14:paraId="52E99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5622CFF9">
            <w:pPr>
              <w:pStyle w:val="31"/>
              <w:bidi w:val="0"/>
            </w:pPr>
            <w:r>
              <w:rPr>
                <w:rFonts w:hint="eastAsia"/>
              </w:rPr>
              <w:t>TN</w:t>
            </w:r>
          </w:p>
        </w:tc>
        <w:tc>
          <w:tcPr>
            <w:tcW w:w="1126" w:type="pct"/>
          </w:tcPr>
          <w:p w14:paraId="5111C759">
            <w:pPr>
              <w:pStyle w:val="31"/>
              <w:bidi w:val="0"/>
            </w:pPr>
            <w:r>
              <w:rPr>
                <w:rFonts w:hint="eastAsia"/>
              </w:rPr>
              <w:t>mg</w:t>
            </w:r>
            <w:r>
              <w:t>/L</w:t>
            </w:r>
          </w:p>
        </w:tc>
        <w:tc>
          <w:tcPr>
            <w:tcW w:w="1936" w:type="pct"/>
            <w:vAlign w:val="center"/>
          </w:tcPr>
          <w:p w14:paraId="3905C820">
            <w:pPr>
              <w:pStyle w:val="31"/>
              <w:bidi w:val="0"/>
              <w:rPr>
                <w:rFonts w:hint="default" w:eastAsia="宋体"/>
                <w:lang w:val="en-US" w:eastAsia="zh-CN"/>
              </w:rPr>
            </w:pPr>
            <w:r>
              <w:rPr>
                <w:rFonts w:hint="eastAsia"/>
                <w:lang w:val="en-US" w:eastAsia="zh-CN"/>
              </w:rPr>
              <w:t>1.0</w:t>
            </w:r>
          </w:p>
        </w:tc>
      </w:tr>
      <w:tr w14:paraId="7903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0B121818">
            <w:pPr>
              <w:pStyle w:val="31"/>
              <w:bidi w:val="0"/>
            </w:pPr>
            <w:r>
              <w:rPr>
                <w:rFonts w:hint="eastAsia"/>
              </w:rPr>
              <w:t>石油类</w:t>
            </w:r>
          </w:p>
        </w:tc>
        <w:tc>
          <w:tcPr>
            <w:tcW w:w="1126" w:type="pct"/>
          </w:tcPr>
          <w:p w14:paraId="72E0DE9C">
            <w:pPr>
              <w:pStyle w:val="31"/>
              <w:bidi w:val="0"/>
            </w:pPr>
            <w:r>
              <w:t xml:space="preserve">mg/L </w:t>
            </w:r>
          </w:p>
        </w:tc>
        <w:tc>
          <w:tcPr>
            <w:tcW w:w="1936" w:type="pct"/>
            <w:vAlign w:val="center"/>
          </w:tcPr>
          <w:p w14:paraId="6322F88E">
            <w:pPr>
              <w:pStyle w:val="31"/>
              <w:bidi w:val="0"/>
            </w:pPr>
            <w:r>
              <w:rPr>
                <w:rFonts w:hint="eastAsia"/>
              </w:rPr>
              <w:t>0.05</w:t>
            </w:r>
          </w:p>
        </w:tc>
      </w:tr>
      <w:tr w14:paraId="04905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6" w:type="pct"/>
            <w:vAlign w:val="center"/>
          </w:tcPr>
          <w:p w14:paraId="1AC14073">
            <w:pPr>
              <w:pStyle w:val="31"/>
              <w:bidi w:val="0"/>
            </w:pPr>
            <w:r>
              <w:rPr>
                <w:rFonts w:hint="eastAsia"/>
              </w:rPr>
              <w:t>粪大肠菌群</w:t>
            </w:r>
          </w:p>
        </w:tc>
        <w:tc>
          <w:tcPr>
            <w:tcW w:w="1126" w:type="pct"/>
          </w:tcPr>
          <w:p w14:paraId="46FABE5F">
            <w:pPr>
              <w:pStyle w:val="31"/>
              <w:bidi w:val="0"/>
            </w:pPr>
            <w:r>
              <w:rPr>
                <w:rFonts w:hint="eastAsia"/>
                <w:lang w:val="en-US" w:eastAsia="zh-CN"/>
              </w:rPr>
              <w:t>个</w:t>
            </w:r>
            <w:r>
              <w:t>/L</w:t>
            </w:r>
          </w:p>
        </w:tc>
        <w:tc>
          <w:tcPr>
            <w:tcW w:w="1936" w:type="pct"/>
            <w:vAlign w:val="center"/>
          </w:tcPr>
          <w:p w14:paraId="11D03A10">
            <w:pPr>
              <w:pStyle w:val="31"/>
              <w:bidi w:val="0"/>
            </w:pPr>
            <w:r>
              <w:rPr>
                <w:rFonts w:hint="eastAsia"/>
              </w:rPr>
              <w:t>1</w:t>
            </w:r>
            <w:r>
              <w:t>0000</w:t>
            </w:r>
          </w:p>
        </w:tc>
      </w:tr>
    </w:tbl>
    <w:p w14:paraId="2B877495">
      <w:pPr>
        <w:pStyle w:val="36"/>
      </w:pPr>
      <w:r>
        <w:rPr>
          <w:rFonts w:hint="eastAsia"/>
        </w:rPr>
        <w:t>2</w:t>
      </w:r>
      <w:r>
        <w:t>.</w:t>
      </w:r>
      <w:r>
        <w:rPr>
          <w:rFonts w:hint="eastAsia"/>
        </w:rPr>
        <w:t>4</w:t>
      </w:r>
      <w:r>
        <w:t>.2.4</w:t>
      </w:r>
      <w:r>
        <w:rPr>
          <w:rFonts w:hint="eastAsia"/>
        </w:rPr>
        <w:t>地下水质量标准</w:t>
      </w:r>
    </w:p>
    <w:p w14:paraId="06903FC4">
      <w:pPr>
        <w:pStyle w:val="39"/>
        <w:ind w:firstLine="480"/>
        <w:rPr>
          <w:rFonts w:hint="eastAsia"/>
        </w:rPr>
      </w:pPr>
      <w:r>
        <w:rPr>
          <w:rFonts w:hint="eastAsia"/>
        </w:rPr>
        <w:t>项目区域地下水环境质量执行《地下水质量标准》（GB/T</w:t>
      </w:r>
      <w:r>
        <w:t xml:space="preserve"> </w:t>
      </w:r>
      <w:r>
        <w:rPr>
          <w:rFonts w:hint="eastAsia"/>
        </w:rPr>
        <w:t>14848-</w:t>
      </w:r>
      <w:r>
        <w:t>2017</w:t>
      </w:r>
      <w:r>
        <w:rPr>
          <w:rFonts w:hint="eastAsia"/>
        </w:rPr>
        <w:t>）表1中III类限值。</w:t>
      </w:r>
    </w:p>
    <w:p w14:paraId="5A5B54D0">
      <w:pPr>
        <w:pStyle w:val="39"/>
        <w:ind w:firstLine="480"/>
        <w:rPr>
          <w:rFonts w:hint="eastAsia"/>
        </w:rPr>
      </w:pPr>
    </w:p>
    <w:p w14:paraId="66EAE831">
      <w:pPr>
        <w:pStyle w:val="23"/>
      </w:pPr>
      <w:r>
        <w:rPr>
          <w:rFonts w:hint="eastAsia"/>
        </w:rPr>
        <w:t>表</w:t>
      </w:r>
      <w:r>
        <w:t>2.</w:t>
      </w:r>
      <w:r>
        <w:rPr>
          <w:rFonts w:hint="eastAsia"/>
        </w:rPr>
        <w:t>3-5</w:t>
      </w:r>
      <w:r>
        <w:t xml:space="preserve">  </w:t>
      </w:r>
      <w:r>
        <w:rPr>
          <w:rFonts w:hint="eastAsia"/>
        </w:rPr>
        <w:t xml:space="preserve">地下水质量指标及限值 </w:t>
      </w:r>
      <w:r>
        <w:t xml:space="preserve"> </w:t>
      </w:r>
      <w:r>
        <w:rPr>
          <w:rFonts w:hint="eastAsia"/>
        </w:rPr>
        <w:t>单位：</w:t>
      </w:r>
      <w:r>
        <w:t>mg/L</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2590"/>
        <w:gridCol w:w="2222"/>
        <w:gridCol w:w="2591"/>
      </w:tblGrid>
      <w:tr w14:paraId="2878B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55" w:type="pct"/>
            <w:vAlign w:val="center"/>
          </w:tcPr>
          <w:p w14:paraId="6E3C04AD">
            <w:pPr>
              <w:pStyle w:val="31"/>
              <w:bidi w:val="0"/>
              <w:jc w:val="center"/>
              <w:rPr>
                <w:rFonts w:hint="default"/>
                <w:lang w:val="en-US" w:eastAsia="zh-CN"/>
              </w:rPr>
            </w:pPr>
            <w:r>
              <w:rPr>
                <w:rFonts w:hint="eastAsia"/>
                <w:lang w:val="en-US" w:eastAsia="zh-CN"/>
              </w:rPr>
              <w:t>序号</w:t>
            </w:r>
          </w:p>
        </w:tc>
        <w:tc>
          <w:tcPr>
            <w:tcW w:w="1520" w:type="pct"/>
            <w:vAlign w:val="center"/>
          </w:tcPr>
          <w:p w14:paraId="07547022">
            <w:pPr>
              <w:pStyle w:val="31"/>
              <w:bidi w:val="0"/>
              <w:jc w:val="center"/>
              <w:rPr>
                <w:rFonts w:hint="default"/>
                <w:lang w:val="en-US" w:eastAsia="zh-CN"/>
              </w:rPr>
            </w:pPr>
            <w:r>
              <w:rPr>
                <w:rFonts w:hint="eastAsia"/>
                <w:lang w:val="en-US" w:eastAsia="zh-CN"/>
              </w:rPr>
              <w:t>监测因子</w:t>
            </w:r>
          </w:p>
        </w:tc>
        <w:tc>
          <w:tcPr>
            <w:tcW w:w="1304" w:type="pct"/>
            <w:vAlign w:val="center"/>
          </w:tcPr>
          <w:p w14:paraId="4C99968B">
            <w:pPr>
              <w:pStyle w:val="31"/>
              <w:bidi w:val="0"/>
              <w:jc w:val="center"/>
              <w:rPr>
                <w:rFonts w:hint="default"/>
                <w:lang w:val="en-US" w:eastAsia="zh-CN"/>
              </w:rPr>
            </w:pPr>
            <w:r>
              <w:rPr>
                <w:rFonts w:hint="eastAsia"/>
                <w:lang w:val="en-US" w:eastAsia="zh-CN"/>
              </w:rPr>
              <w:t>单位</w:t>
            </w:r>
          </w:p>
        </w:tc>
        <w:tc>
          <w:tcPr>
            <w:tcW w:w="1520" w:type="pct"/>
            <w:vAlign w:val="center"/>
          </w:tcPr>
          <w:p w14:paraId="3B445635">
            <w:pPr>
              <w:pStyle w:val="31"/>
              <w:bidi w:val="0"/>
              <w:jc w:val="center"/>
              <w:rPr>
                <w:rFonts w:hint="default"/>
                <w:lang w:val="en-US" w:eastAsia="zh-CN"/>
              </w:rPr>
            </w:pPr>
            <w:r>
              <w:rPr>
                <w:rFonts w:hint="eastAsia"/>
                <w:lang w:val="en-US" w:eastAsia="zh-CN"/>
              </w:rPr>
              <w:t>Ⅲ类标准限值</w:t>
            </w:r>
          </w:p>
        </w:tc>
      </w:tr>
      <w:tr w14:paraId="4CBAD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5FFAE92D">
            <w:pPr>
              <w:pStyle w:val="31"/>
              <w:bidi w:val="0"/>
              <w:jc w:val="center"/>
              <w:rPr>
                <w:rFonts w:hint="default"/>
                <w:lang w:val="en-US" w:eastAsia="zh-CN"/>
              </w:rPr>
            </w:pPr>
            <w:r>
              <w:rPr>
                <w:rFonts w:hint="eastAsia"/>
                <w:lang w:val="en-US" w:eastAsia="zh-CN"/>
              </w:rPr>
              <w:t>1</w:t>
            </w:r>
          </w:p>
        </w:tc>
        <w:tc>
          <w:tcPr>
            <w:tcW w:w="1520" w:type="pct"/>
            <w:vAlign w:val="center"/>
          </w:tcPr>
          <w:p w14:paraId="4468B395">
            <w:pPr>
              <w:pStyle w:val="31"/>
              <w:bidi w:val="0"/>
              <w:jc w:val="center"/>
              <w:rPr>
                <w:rFonts w:hint="default"/>
                <w:lang w:val="en-US" w:eastAsia="zh-CN"/>
              </w:rPr>
            </w:pPr>
            <w:r>
              <w:rPr>
                <w:rFonts w:hint="eastAsia"/>
                <w:lang w:val="en-US" w:eastAsia="zh-CN"/>
              </w:rPr>
              <w:t>pH值</w:t>
            </w:r>
          </w:p>
        </w:tc>
        <w:tc>
          <w:tcPr>
            <w:tcW w:w="1304" w:type="pct"/>
            <w:vAlign w:val="center"/>
          </w:tcPr>
          <w:p w14:paraId="68D66A04">
            <w:pPr>
              <w:pStyle w:val="31"/>
              <w:bidi w:val="0"/>
              <w:jc w:val="center"/>
              <w:rPr>
                <w:rFonts w:hint="default"/>
                <w:lang w:val="en-US" w:eastAsia="zh-CN"/>
              </w:rPr>
            </w:pPr>
            <w:r>
              <w:rPr>
                <w:rFonts w:hint="eastAsia"/>
                <w:lang w:val="en-US" w:eastAsia="zh-CN"/>
              </w:rPr>
              <w:t>无量纲</w:t>
            </w:r>
          </w:p>
        </w:tc>
        <w:tc>
          <w:tcPr>
            <w:tcW w:w="1520" w:type="pct"/>
            <w:vAlign w:val="center"/>
          </w:tcPr>
          <w:p w14:paraId="4CB171D4">
            <w:pPr>
              <w:pStyle w:val="31"/>
              <w:bidi w:val="0"/>
              <w:jc w:val="center"/>
              <w:rPr>
                <w:rFonts w:hint="default"/>
                <w:lang w:val="en-US" w:eastAsia="zh-CN"/>
              </w:rPr>
            </w:pPr>
            <w:r>
              <w:rPr>
                <w:rFonts w:hint="eastAsia"/>
                <w:lang w:val="en-US" w:eastAsia="zh-CN"/>
              </w:rPr>
              <w:t>6.5~8.5</w:t>
            </w:r>
          </w:p>
        </w:tc>
      </w:tr>
      <w:tr w14:paraId="5E90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1467D418">
            <w:pPr>
              <w:pStyle w:val="31"/>
              <w:bidi w:val="0"/>
              <w:jc w:val="center"/>
              <w:rPr>
                <w:rFonts w:hint="default"/>
                <w:lang w:val="en-US" w:eastAsia="zh-CN"/>
              </w:rPr>
            </w:pPr>
            <w:r>
              <w:rPr>
                <w:rFonts w:hint="eastAsia"/>
                <w:lang w:val="en-US" w:eastAsia="zh-CN"/>
              </w:rPr>
              <w:t>2</w:t>
            </w:r>
          </w:p>
        </w:tc>
        <w:tc>
          <w:tcPr>
            <w:tcW w:w="1520" w:type="pct"/>
            <w:vAlign w:val="center"/>
          </w:tcPr>
          <w:p w14:paraId="4F573E4B">
            <w:pPr>
              <w:pStyle w:val="31"/>
              <w:bidi w:val="0"/>
              <w:jc w:val="center"/>
              <w:rPr>
                <w:rFonts w:hint="default"/>
                <w:lang w:val="en-US" w:eastAsia="zh-CN"/>
              </w:rPr>
            </w:pPr>
            <w:r>
              <w:rPr>
                <w:rFonts w:hint="eastAsia"/>
                <w:lang w:val="en-US" w:eastAsia="zh-CN"/>
              </w:rPr>
              <w:t>氨氮</w:t>
            </w:r>
          </w:p>
        </w:tc>
        <w:tc>
          <w:tcPr>
            <w:tcW w:w="1304" w:type="pct"/>
            <w:vAlign w:val="center"/>
          </w:tcPr>
          <w:p w14:paraId="309A0479">
            <w:pPr>
              <w:pStyle w:val="31"/>
              <w:bidi w:val="0"/>
              <w:jc w:val="center"/>
              <w:rPr>
                <w:rFonts w:hint="default"/>
                <w:lang w:val="en-US" w:eastAsia="zh-CN"/>
              </w:rPr>
            </w:pPr>
            <w:r>
              <w:rPr>
                <w:rFonts w:hint="eastAsia"/>
                <w:lang w:val="en-US" w:eastAsia="zh-CN"/>
              </w:rPr>
              <w:t>mg/L</w:t>
            </w:r>
          </w:p>
        </w:tc>
        <w:tc>
          <w:tcPr>
            <w:tcW w:w="1520" w:type="pct"/>
            <w:vAlign w:val="center"/>
          </w:tcPr>
          <w:p w14:paraId="581AEDC2">
            <w:pPr>
              <w:pStyle w:val="31"/>
              <w:bidi w:val="0"/>
              <w:jc w:val="center"/>
              <w:rPr>
                <w:rFonts w:hint="default"/>
                <w:lang w:val="en-US" w:eastAsia="zh-CN"/>
              </w:rPr>
            </w:pPr>
            <w:r>
              <w:rPr>
                <w:rFonts w:hint="eastAsia"/>
                <w:lang w:val="en-US" w:eastAsia="zh-CN"/>
              </w:rPr>
              <w:t>0.50</w:t>
            </w:r>
          </w:p>
        </w:tc>
      </w:tr>
      <w:tr w14:paraId="7E1E2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6BBAD0F7">
            <w:pPr>
              <w:pStyle w:val="31"/>
              <w:bidi w:val="0"/>
              <w:jc w:val="center"/>
              <w:rPr>
                <w:rFonts w:hint="default"/>
                <w:lang w:val="en-US" w:eastAsia="zh-CN"/>
              </w:rPr>
            </w:pPr>
            <w:r>
              <w:rPr>
                <w:rFonts w:hint="eastAsia"/>
                <w:lang w:val="en-US" w:eastAsia="zh-CN"/>
              </w:rPr>
              <w:t>3</w:t>
            </w:r>
          </w:p>
        </w:tc>
        <w:tc>
          <w:tcPr>
            <w:tcW w:w="1520" w:type="pct"/>
            <w:vAlign w:val="center"/>
          </w:tcPr>
          <w:p w14:paraId="5E29554D">
            <w:pPr>
              <w:pStyle w:val="31"/>
              <w:bidi w:val="0"/>
              <w:jc w:val="center"/>
              <w:rPr>
                <w:rFonts w:hint="default"/>
                <w:lang w:val="en-US" w:eastAsia="zh-CN"/>
              </w:rPr>
            </w:pPr>
            <w:r>
              <w:rPr>
                <w:rFonts w:hint="eastAsia"/>
                <w:lang w:val="en-US" w:eastAsia="zh-CN"/>
              </w:rPr>
              <w:t>挥发酚</w:t>
            </w:r>
          </w:p>
        </w:tc>
        <w:tc>
          <w:tcPr>
            <w:tcW w:w="1304" w:type="pct"/>
            <w:vAlign w:val="center"/>
          </w:tcPr>
          <w:p w14:paraId="27F83C25">
            <w:pPr>
              <w:pStyle w:val="31"/>
              <w:bidi w:val="0"/>
              <w:rPr>
                <w:rFonts w:hint="default"/>
                <w:lang w:val="en-US" w:eastAsia="zh-CN"/>
              </w:rPr>
            </w:pPr>
            <w:r>
              <w:rPr>
                <w:rFonts w:hint="eastAsia"/>
                <w:lang w:val="en-US" w:eastAsia="zh-CN"/>
              </w:rPr>
              <w:t>mg/L</w:t>
            </w:r>
          </w:p>
        </w:tc>
        <w:tc>
          <w:tcPr>
            <w:tcW w:w="1520" w:type="pct"/>
            <w:vAlign w:val="center"/>
          </w:tcPr>
          <w:p w14:paraId="6044333B">
            <w:pPr>
              <w:pStyle w:val="31"/>
              <w:bidi w:val="0"/>
              <w:jc w:val="center"/>
              <w:rPr>
                <w:rFonts w:hint="default"/>
                <w:lang w:val="en-US" w:eastAsia="zh-CN"/>
              </w:rPr>
            </w:pPr>
            <w:r>
              <w:rPr>
                <w:rFonts w:hint="eastAsia"/>
                <w:lang w:val="en-US" w:eastAsia="zh-CN"/>
              </w:rPr>
              <w:t>0.002</w:t>
            </w:r>
          </w:p>
        </w:tc>
      </w:tr>
      <w:tr w14:paraId="34DF8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03940072">
            <w:pPr>
              <w:pStyle w:val="31"/>
              <w:bidi w:val="0"/>
              <w:jc w:val="center"/>
              <w:rPr>
                <w:rFonts w:hint="default"/>
                <w:lang w:val="en-US" w:eastAsia="zh-CN"/>
              </w:rPr>
            </w:pPr>
            <w:r>
              <w:rPr>
                <w:rFonts w:hint="eastAsia"/>
                <w:lang w:val="en-US" w:eastAsia="zh-CN"/>
              </w:rPr>
              <w:t>4</w:t>
            </w:r>
          </w:p>
        </w:tc>
        <w:tc>
          <w:tcPr>
            <w:tcW w:w="1520" w:type="pct"/>
            <w:vAlign w:val="center"/>
          </w:tcPr>
          <w:p w14:paraId="6F9D9B2F">
            <w:pPr>
              <w:pStyle w:val="31"/>
              <w:bidi w:val="0"/>
              <w:jc w:val="center"/>
              <w:rPr>
                <w:rFonts w:hint="default"/>
                <w:lang w:val="en-US" w:eastAsia="zh-CN"/>
              </w:rPr>
            </w:pPr>
            <w:r>
              <w:rPr>
                <w:rFonts w:hint="eastAsia"/>
                <w:lang w:val="en-US" w:eastAsia="zh-CN"/>
              </w:rPr>
              <w:t>氰化物</w:t>
            </w:r>
          </w:p>
        </w:tc>
        <w:tc>
          <w:tcPr>
            <w:tcW w:w="1304" w:type="pct"/>
            <w:vAlign w:val="center"/>
          </w:tcPr>
          <w:p w14:paraId="2779941C">
            <w:pPr>
              <w:pStyle w:val="31"/>
              <w:bidi w:val="0"/>
              <w:rPr>
                <w:rFonts w:hint="default"/>
                <w:lang w:val="en-US" w:eastAsia="zh-CN"/>
              </w:rPr>
            </w:pPr>
            <w:r>
              <w:rPr>
                <w:rFonts w:hint="eastAsia"/>
                <w:lang w:val="en-US" w:eastAsia="zh-CN"/>
              </w:rPr>
              <w:t>mg/L</w:t>
            </w:r>
          </w:p>
        </w:tc>
        <w:tc>
          <w:tcPr>
            <w:tcW w:w="1520" w:type="pct"/>
            <w:vAlign w:val="center"/>
          </w:tcPr>
          <w:p w14:paraId="578AD85F">
            <w:pPr>
              <w:pStyle w:val="31"/>
              <w:bidi w:val="0"/>
              <w:jc w:val="center"/>
              <w:rPr>
                <w:rFonts w:hint="default"/>
                <w:lang w:val="en-US" w:eastAsia="zh-CN"/>
              </w:rPr>
            </w:pPr>
            <w:r>
              <w:rPr>
                <w:rFonts w:hint="eastAsia"/>
                <w:lang w:val="en-US" w:eastAsia="zh-CN"/>
              </w:rPr>
              <w:t>0.05</w:t>
            </w:r>
          </w:p>
        </w:tc>
      </w:tr>
      <w:tr w14:paraId="18ABC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5A92DBF8">
            <w:pPr>
              <w:pStyle w:val="31"/>
              <w:bidi w:val="0"/>
              <w:jc w:val="center"/>
              <w:rPr>
                <w:rFonts w:hint="default"/>
                <w:lang w:val="en-US" w:eastAsia="zh-CN"/>
              </w:rPr>
            </w:pPr>
            <w:r>
              <w:rPr>
                <w:rFonts w:hint="eastAsia"/>
                <w:lang w:val="en-US" w:eastAsia="zh-CN"/>
              </w:rPr>
              <w:t>5</w:t>
            </w:r>
          </w:p>
        </w:tc>
        <w:tc>
          <w:tcPr>
            <w:tcW w:w="1520" w:type="pct"/>
            <w:vAlign w:val="center"/>
          </w:tcPr>
          <w:p w14:paraId="32A91854">
            <w:pPr>
              <w:pStyle w:val="31"/>
              <w:bidi w:val="0"/>
              <w:jc w:val="center"/>
              <w:rPr>
                <w:rFonts w:hint="default"/>
                <w:lang w:val="en-US" w:eastAsia="zh-CN"/>
              </w:rPr>
            </w:pPr>
            <w:r>
              <w:rPr>
                <w:rFonts w:hint="eastAsia"/>
                <w:lang w:val="en-US" w:eastAsia="zh-CN"/>
              </w:rPr>
              <w:t>砷</w:t>
            </w:r>
          </w:p>
        </w:tc>
        <w:tc>
          <w:tcPr>
            <w:tcW w:w="1304" w:type="pct"/>
            <w:vAlign w:val="center"/>
          </w:tcPr>
          <w:p w14:paraId="06D60435">
            <w:pPr>
              <w:pStyle w:val="31"/>
              <w:bidi w:val="0"/>
              <w:rPr>
                <w:rFonts w:hint="default"/>
                <w:lang w:val="en-US" w:eastAsia="zh-CN"/>
              </w:rPr>
            </w:pPr>
            <w:r>
              <w:rPr>
                <w:rFonts w:hint="eastAsia"/>
                <w:lang w:val="en-US" w:eastAsia="zh-CN"/>
              </w:rPr>
              <w:t>mg/L</w:t>
            </w:r>
          </w:p>
        </w:tc>
        <w:tc>
          <w:tcPr>
            <w:tcW w:w="1520" w:type="pct"/>
            <w:vAlign w:val="center"/>
          </w:tcPr>
          <w:p w14:paraId="1EFB9E30">
            <w:pPr>
              <w:pStyle w:val="31"/>
              <w:bidi w:val="0"/>
              <w:jc w:val="center"/>
              <w:rPr>
                <w:rFonts w:hint="default"/>
                <w:lang w:val="en-US" w:eastAsia="zh-CN"/>
              </w:rPr>
            </w:pPr>
            <w:r>
              <w:rPr>
                <w:rFonts w:hint="eastAsia"/>
                <w:lang w:val="en-US" w:eastAsia="zh-CN"/>
              </w:rPr>
              <w:t>0.01</w:t>
            </w:r>
          </w:p>
        </w:tc>
      </w:tr>
      <w:tr w14:paraId="4B62E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7898386F">
            <w:pPr>
              <w:pStyle w:val="31"/>
              <w:bidi w:val="0"/>
              <w:jc w:val="center"/>
              <w:rPr>
                <w:rFonts w:hint="default"/>
                <w:lang w:val="en-US" w:eastAsia="zh-CN"/>
              </w:rPr>
            </w:pPr>
            <w:r>
              <w:rPr>
                <w:rFonts w:hint="eastAsia"/>
                <w:lang w:val="en-US" w:eastAsia="zh-CN"/>
              </w:rPr>
              <w:t>6</w:t>
            </w:r>
          </w:p>
        </w:tc>
        <w:tc>
          <w:tcPr>
            <w:tcW w:w="1520" w:type="pct"/>
            <w:vAlign w:val="center"/>
          </w:tcPr>
          <w:p w14:paraId="20DADC1F">
            <w:pPr>
              <w:pStyle w:val="31"/>
              <w:bidi w:val="0"/>
              <w:jc w:val="center"/>
              <w:rPr>
                <w:rFonts w:hint="default"/>
                <w:lang w:val="en-US" w:eastAsia="zh-CN"/>
              </w:rPr>
            </w:pPr>
            <w:r>
              <w:rPr>
                <w:rFonts w:hint="eastAsia"/>
                <w:lang w:val="en-US" w:eastAsia="zh-CN"/>
              </w:rPr>
              <w:t>汞</w:t>
            </w:r>
          </w:p>
        </w:tc>
        <w:tc>
          <w:tcPr>
            <w:tcW w:w="1304" w:type="pct"/>
            <w:vAlign w:val="center"/>
          </w:tcPr>
          <w:p w14:paraId="00481F2E">
            <w:pPr>
              <w:pStyle w:val="31"/>
              <w:bidi w:val="0"/>
              <w:rPr>
                <w:rFonts w:hint="default"/>
                <w:lang w:val="en-US" w:eastAsia="zh-CN"/>
              </w:rPr>
            </w:pPr>
            <w:r>
              <w:rPr>
                <w:rFonts w:hint="eastAsia"/>
                <w:lang w:val="en-US" w:eastAsia="zh-CN"/>
              </w:rPr>
              <w:t>mg/L</w:t>
            </w:r>
          </w:p>
        </w:tc>
        <w:tc>
          <w:tcPr>
            <w:tcW w:w="1520" w:type="pct"/>
            <w:vAlign w:val="center"/>
          </w:tcPr>
          <w:p w14:paraId="6472F5C0">
            <w:pPr>
              <w:pStyle w:val="31"/>
              <w:bidi w:val="0"/>
              <w:jc w:val="center"/>
              <w:rPr>
                <w:rFonts w:hint="default"/>
                <w:lang w:val="en-US" w:eastAsia="zh-CN"/>
              </w:rPr>
            </w:pPr>
            <w:r>
              <w:rPr>
                <w:rFonts w:hint="eastAsia"/>
                <w:lang w:val="en-US" w:eastAsia="zh-CN"/>
              </w:rPr>
              <w:t>0.001</w:t>
            </w:r>
          </w:p>
        </w:tc>
      </w:tr>
      <w:tr w14:paraId="15DE4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1F8546EB">
            <w:pPr>
              <w:pStyle w:val="31"/>
              <w:bidi w:val="0"/>
              <w:jc w:val="center"/>
              <w:rPr>
                <w:rFonts w:hint="default"/>
                <w:lang w:val="en-US" w:eastAsia="zh-CN"/>
              </w:rPr>
            </w:pPr>
            <w:r>
              <w:rPr>
                <w:rFonts w:hint="eastAsia"/>
                <w:lang w:val="en-US" w:eastAsia="zh-CN"/>
              </w:rPr>
              <w:t>7</w:t>
            </w:r>
          </w:p>
        </w:tc>
        <w:tc>
          <w:tcPr>
            <w:tcW w:w="1520" w:type="pct"/>
            <w:vAlign w:val="center"/>
          </w:tcPr>
          <w:p w14:paraId="5D989B86">
            <w:pPr>
              <w:pStyle w:val="31"/>
              <w:bidi w:val="0"/>
              <w:jc w:val="center"/>
              <w:rPr>
                <w:rFonts w:hint="default"/>
                <w:lang w:val="en-US" w:eastAsia="zh-CN"/>
              </w:rPr>
            </w:pPr>
            <w:r>
              <w:rPr>
                <w:rFonts w:hint="eastAsia"/>
                <w:lang w:val="en-US" w:eastAsia="zh-CN"/>
              </w:rPr>
              <w:t>六价铬</w:t>
            </w:r>
          </w:p>
        </w:tc>
        <w:tc>
          <w:tcPr>
            <w:tcW w:w="1304" w:type="pct"/>
            <w:vAlign w:val="center"/>
          </w:tcPr>
          <w:p w14:paraId="1C28EBDD">
            <w:pPr>
              <w:pStyle w:val="31"/>
              <w:bidi w:val="0"/>
              <w:rPr>
                <w:rFonts w:hint="default"/>
                <w:lang w:val="en-US" w:eastAsia="zh-CN"/>
              </w:rPr>
            </w:pPr>
            <w:r>
              <w:rPr>
                <w:rFonts w:hint="eastAsia"/>
                <w:lang w:val="en-US" w:eastAsia="zh-CN"/>
              </w:rPr>
              <w:t>mg/L</w:t>
            </w:r>
          </w:p>
        </w:tc>
        <w:tc>
          <w:tcPr>
            <w:tcW w:w="1520" w:type="pct"/>
            <w:vAlign w:val="center"/>
          </w:tcPr>
          <w:p w14:paraId="035F94EE">
            <w:pPr>
              <w:pStyle w:val="31"/>
              <w:bidi w:val="0"/>
              <w:jc w:val="center"/>
              <w:rPr>
                <w:rFonts w:hint="default"/>
                <w:lang w:val="en-US" w:eastAsia="zh-CN"/>
              </w:rPr>
            </w:pPr>
            <w:r>
              <w:rPr>
                <w:rFonts w:hint="eastAsia"/>
                <w:lang w:val="en-US" w:eastAsia="zh-CN"/>
              </w:rPr>
              <w:t>0.05</w:t>
            </w:r>
          </w:p>
        </w:tc>
      </w:tr>
      <w:tr w14:paraId="52E8F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49BB439B">
            <w:pPr>
              <w:pStyle w:val="31"/>
              <w:bidi w:val="0"/>
              <w:jc w:val="center"/>
              <w:rPr>
                <w:rFonts w:hint="default"/>
                <w:lang w:val="en-US" w:eastAsia="zh-CN"/>
              </w:rPr>
            </w:pPr>
            <w:r>
              <w:rPr>
                <w:rFonts w:hint="eastAsia"/>
                <w:lang w:val="en-US" w:eastAsia="zh-CN"/>
              </w:rPr>
              <w:t>8</w:t>
            </w:r>
          </w:p>
        </w:tc>
        <w:tc>
          <w:tcPr>
            <w:tcW w:w="1520" w:type="pct"/>
            <w:vAlign w:val="center"/>
          </w:tcPr>
          <w:p w14:paraId="4C19FD82">
            <w:pPr>
              <w:pStyle w:val="31"/>
              <w:bidi w:val="0"/>
              <w:jc w:val="center"/>
              <w:rPr>
                <w:rFonts w:hint="default"/>
                <w:lang w:val="en-US" w:eastAsia="zh-CN"/>
              </w:rPr>
            </w:pPr>
            <w:r>
              <w:rPr>
                <w:rFonts w:hint="eastAsia"/>
                <w:lang w:val="en-US" w:eastAsia="zh-CN"/>
              </w:rPr>
              <w:t>总硬度</w:t>
            </w:r>
          </w:p>
        </w:tc>
        <w:tc>
          <w:tcPr>
            <w:tcW w:w="1304" w:type="pct"/>
            <w:vAlign w:val="center"/>
          </w:tcPr>
          <w:p w14:paraId="2600D855">
            <w:pPr>
              <w:pStyle w:val="31"/>
              <w:bidi w:val="0"/>
              <w:rPr>
                <w:rFonts w:hint="default"/>
                <w:lang w:val="en-US" w:eastAsia="zh-CN"/>
              </w:rPr>
            </w:pPr>
            <w:r>
              <w:rPr>
                <w:rFonts w:hint="eastAsia"/>
                <w:lang w:val="en-US" w:eastAsia="zh-CN"/>
              </w:rPr>
              <w:t>mg/L</w:t>
            </w:r>
          </w:p>
        </w:tc>
        <w:tc>
          <w:tcPr>
            <w:tcW w:w="1520" w:type="pct"/>
            <w:vAlign w:val="center"/>
          </w:tcPr>
          <w:p w14:paraId="44D4EAC0">
            <w:pPr>
              <w:pStyle w:val="31"/>
              <w:bidi w:val="0"/>
              <w:jc w:val="center"/>
              <w:rPr>
                <w:rFonts w:hint="default"/>
                <w:lang w:val="en-US" w:eastAsia="zh-CN"/>
              </w:rPr>
            </w:pPr>
            <w:r>
              <w:rPr>
                <w:rFonts w:hint="eastAsia"/>
                <w:lang w:val="en-US" w:eastAsia="zh-CN"/>
              </w:rPr>
              <w:t>450</w:t>
            </w:r>
          </w:p>
        </w:tc>
      </w:tr>
      <w:tr w14:paraId="2CC4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7FBC24BE">
            <w:pPr>
              <w:pStyle w:val="31"/>
              <w:bidi w:val="0"/>
              <w:jc w:val="center"/>
              <w:rPr>
                <w:rFonts w:hint="default"/>
                <w:lang w:val="en-US" w:eastAsia="zh-CN"/>
              </w:rPr>
            </w:pPr>
            <w:r>
              <w:rPr>
                <w:rFonts w:hint="eastAsia"/>
                <w:lang w:val="en-US" w:eastAsia="zh-CN"/>
              </w:rPr>
              <w:t>9</w:t>
            </w:r>
          </w:p>
        </w:tc>
        <w:tc>
          <w:tcPr>
            <w:tcW w:w="1520" w:type="pct"/>
            <w:vAlign w:val="center"/>
          </w:tcPr>
          <w:p w14:paraId="6D77FBC9">
            <w:pPr>
              <w:pStyle w:val="31"/>
              <w:bidi w:val="0"/>
              <w:jc w:val="center"/>
              <w:rPr>
                <w:rFonts w:hint="default"/>
                <w:lang w:val="en-US" w:eastAsia="zh-CN"/>
              </w:rPr>
            </w:pPr>
            <w:r>
              <w:rPr>
                <w:rFonts w:hint="eastAsia"/>
                <w:lang w:val="en-US" w:eastAsia="zh-CN"/>
              </w:rPr>
              <w:t>铅</w:t>
            </w:r>
          </w:p>
        </w:tc>
        <w:tc>
          <w:tcPr>
            <w:tcW w:w="1304" w:type="pct"/>
            <w:vAlign w:val="center"/>
          </w:tcPr>
          <w:p w14:paraId="03AEBD43">
            <w:pPr>
              <w:pStyle w:val="31"/>
              <w:bidi w:val="0"/>
              <w:rPr>
                <w:rFonts w:hint="default"/>
                <w:lang w:val="en-US" w:eastAsia="zh-CN"/>
              </w:rPr>
            </w:pPr>
            <w:r>
              <w:rPr>
                <w:rFonts w:hint="eastAsia"/>
                <w:lang w:val="en-US" w:eastAsia="zh-CN"/>
              </w:rPr>
              <w:t>mg/L</w:t>
            </w:r>
          </w:p>
        </w:tc>
        <w:tc>
          <w:tcPr>
            <w:tcW w:w="1520" w:type="pct"/>
            <w:vAlign w:val="center"/>
          </w:tcPr>
          <w:p w14:paraId="0F701F9A">
            <w:pPr>
              <w:pStyle w:val="31"/>
              <w:bidi w:val="0"/>
              <w:jc w:val="center"/>
              <w:rPr>
                <w:rFonts w:hint="default"/>
                <w:lang w:val="en-US" w:eastAsia="zh-CN"/>
              </w:rPr>
            </w:pPr>
            <w:r>
              <w:rPr>
                <w:rFonts w:hint="eastAsia"/>
                <w:lang w:val="en-US" w:eastAsia="zh-CN"/>
              </w:rPr>
              <w:t>0.01</w:t>
            </w:r>
          </w:p>
        </w:tc>
      </w:tr>
      <w:tr w14:paraId="5EC3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305EEFEC">
            <w:pPr>
              <w:pStyle w:val="31"/>
              <w:bidi w:val="0"/>
              <w:jc w:val="center"/>
              <w:rPr>
                <w:rFonts w:hint="default"/>
                <w:lang w:val="en-US" w:eastAsia="zh-CN"/>
              </w:rPr>
            </w:pPr>
            <w:r>
              <w:rPr>
                <w:rFonts w:hint="eastAsia"/>
                <w:lang w:val="en-US" w:eastAsia="zh-CN"/>
              </w:rPr>
              <w:t>10</w:t>
            </w:r>
          </w:p>
        </w:tc>
        <w:tc>
          <w:tcPr>
            <w:tcW w:w="1520" w:type="pct"/>
            <w:vAlign w:val="center"/>
          </w:tcPr>
          <w:p w14:paraId="748984D0">
            <w:pPr>
              <w:pStyle w:val="31"/>
              <w:bidi w:val="0"/>
              <w:jc w:val="center"/>
              <w:rPr>
                <w:rFonts w:hint="default"/>
                <w:lang w:val="en-US" w:eastAsia="zh-CN"/>
              </w:rPr>
            </w:pPr>
            <w:r>
              <w:rPr>
                <w:rFonts w:hint="eastAsia"/>
                <w:lang w:val="en-US" w:eastAsia="zh-CN"/>
              </w:rPr>
              <w:t>镉</w:t>
            </w:r>
          </w:p>
        </w:tc>
        <w:tc>
          <w:tcPr>
            <w:tcW w:w="1304" w:type="pct"/>
            <w:vAlign w:val="center"/>
          </w:tcPr>
          <w:p w14:paraId="1F0A11A5">
            <w:pPr>
              <w:pStyle w:val="31"/>
              <w:bidi w:val="0"/>
              <w:rPr>
                <w:rFonts w:hint="default"/>
                <w:lang w:val="en-US" w:eastAsia="zh-CN"/>
              </w:rPr>
            </w:pPr>
            <w:r>
              <w:rPr>
                <w:rFonts w:hint="eastAsia"/>
                <w:lang w:val="en-US" w:eastAsia="zh-CN"/>
              </w:rPr>
              <w:t>mg/L</w:t>
            </w:r>
          </w:p>
        </w:tc>
        <w:tc>
          <w:tcPr>
            <w:tcW w:w="1520" w:type="pct"/>
            <w:vAlign w:val="center"/>
          </w:tcPr>
          <w:p w14:paraId="147E46AF">
            <w:pPr>
              <w:pStyle w:val="31"/>
              <w:bidi w:val="0"/>
              <w:jc w:val="center"/>
              <w:rPr>
                <w:rFonts w:hint="default"/>
                <w:lang w:val="en-US" w:eastAsia="zh-CN"/>
              </w:rPr>
            </w:pPr>
            <w:r>
              <w:rPr>
                <w:rFonts w:hint="eastAsia"/>
                <w:lang w:val="en-US" w:eastAsia="zh-CN"/>
              </w:rPr>
              <w:t>0.005</w:t>
            </w:r>
          </w:p>
        </w:tc>
      </w:tr>
      <w:tr w14:paraId="5742D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48E11174">
            <w:pPr>
              <w:pStyle w:val="31"/>
              <w:bidi w:val="0"/>
              <w:jc w:val="center"/>
              <w:rPr>
                <w:rFonts w:hint="default"/>
                <w:lang w:val="en-US" w:eastAsia="zh-CN"/>
              </w:rPr>
            </w:pPr>
            <w:r>
              <w:rPr>
                <w:rFonts w:hint="eastAsia"/>
                <w:lang w:val="en-US" w:eastAsia="zh-CN"/>
              </w:rPr>
              <w:t>11</w:t>
            </w:r>
          </w:p>
        </w:tc>
        <w:tc>
          <w:tcPr>
            <w:tcW w:w="1520" w:type="pct"/>
            <w:vAlign w:val="center"/>
          </w:tcPr>
          <w:p w14:paraId="30588495">
            <w:pPr>
              <w:pStyle w:val="31"/>
              <w:bidi w:val="0"/>
              <w:jc w:val="center"/>
              <w:rPr>
                <w:rFonts w:hint="default"/>
                <w:lang w:val="en-US" w:eastAsia="zh-CN"/>
              </w:rPr>
            </w:pPr>
            <w:r>
              <w:rPr>
                <w:rFonts w:hint="eastAsia"/>
                <w:lang w:val="en-US" w:eastAsia="zh-CN"/>
              </w:rPr>
              <w:t>铁</w:t>
            </w:r>
          </w:p>
        </w:tc>
        <w:tc>
          <w:tcPr>
            <w:tcW w:w="1304" w:type="pct"/>
            <w:vAlign w:val="center"/>
          </w:tcPr>
          <w:p w14:paraId="46456724">
            <w:pPr>
              <w:pStyle w:val="31"/>
              <w:bidi w:val="0"/>
              <w:rPr>
                <w:rFonts w:hint="default"/>
                <w:lang w:val="en-US" w:eastAsia="zh-CN"/>
              </w:rPr>
            </w:pPr>
            <w:r>
              <w:rPr>
                <w:rFonts w:hint="eastAsia"/>
                <w:lang w:val="en-US" w:eastAsia="zh-CN"/>
              </w:rPr>
              <w:t>mg/L</w:t>
            </w:r>
          </w:p>
        </w:tc>
        <w:tc>
          <w:tcPr>
            <w:tcW w:w="1520" w:type="pct"/>
            <w:vAlign w:val="center"/>
          </w:tcPr>
          <w:p w14:paraId="38C2E068">
            <w:pPr>
              <w:pStyle w:val="31"/>
              <w:bidi w:val="0"/>
              <w:jc w:val="center"/>
              <w:rPr>
                <w:rFonts w:hint="default"/>
                <w:lang w:val="en-US" w:eastAsia="zh-CN"/>
              </w:rPr>
            </w:pPr>
            <w:r>
              <w:rPr>
                <w:rFonts w:hint="eastAsia"/>
                <w:lang w:val="en-US" w:eastAsia="zh-CN"/>
              </w:rPr>
              <w:t>0.3</w:t>
            </w:r>
          </w:p>
        </w:tc>
      </w:tr>
      <w:tr w14:paraId="76FDB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74EA12D0">
            <w:pPr>
              <w:pStyle w:val="31"/>
              <w:bidi w:val="0"/>
              <w:jc w:val="center"/>
              <w:rPr>
                <w:rFonts w:hint="default"/>
                <w:lang w:val="en-US" w:eastAsia="zh-CN"/>
              </w:rPr>
            </w:pPr>
            <w:r>
              <w:rPr>
                <w:rFonts w:hint="eastAsia"/>
                <w:lang w:val="en-US" w:eastAsia="zh-CN"/>
              </w:rPr>
              <w:t>12</w:t>
            </w:r>
          </w:p>
        </w:tc>
        <w:tc>
          <w:tcPr>
            <w:tcW w:w="1520" w:type="pct"/>
            <w:vAlign w:val="center"/>
          </w:tcPr>
          <w:p w14:paraId="00222D14">
            <w:pPr>
              <w:pStyle w:val="31"/>
              <w:bidi w:val="0"/>
              <w:jc w:val="center"/>
              <w:rPr>
                <w:rFonts w:hint="default"/>
                <w:lang w:val="en-US" w:eastAsia="zh-CN"/>
              </w:rPr>
            </w:pPr>
            <w:r>
              <w:rPr>
                <w:rFonts w:hint="eastAsia"/>
                <w:lang w:val="en-US" w:eastAsia="zh-CN"/>
              </w:rPr>
              <w:t>锰</w:t>
            </w:r>
          </w:p>
        </w:tc>
        <w:tc>
          <w:tcPr>
            <w:tcW w:w="1304" w:type="pct"/>
            <w:vAlign w:val="center"/>
          </w:tcPr>
          <w:p w14:paraId="50F2F835">
            <w:pPr>
              <w:pStyle w:val="31"/>
              <w:bidi w:val="0"/>
              <w:rPr>
                <w:rFonts w:hint="default"/>
                <w:lang w:val="en-US" w:eastAsia="zh-CN"/>
              </w:rPr>
            </w:pPr>
            <w:r>
              <w:rPr>
                <w:rFonts w:hint="eastAsia"/>
                <w:lang w:val="en-US" w:eastAsia="zh-CN"/>
              </w:rPr>
              <w:t>mg/L</w:t>
            </w:r>
          </w:p>
        </w:tc>
        <w:tc>
          <w:tcPr>
            <w:tcW w:w="1520" w:type="pct"/>
            <w:vAlign w:val="center"/>
          </w:tcPr>
          <w:p w14:paraId="1B6FED98">
            <w:pPr>
              <w:pStyle w:val="31"/>
              <w:bidi w:val="0"/>
              <w:jc w:val="center"/>
              <w:rPr>
                <w:rFonts w:hint="default"/>
                <w:lang w:val="en-US" w:eastAsia="zh-CN"/>
              </w:rPr>
            </w:pPr>
            <w:r>
              <w:rPr>
                <w:rFonts w:hint="eastAsia"/>
                <w:lang w:val="en-US" w:eastAsia="zh-CN"/>
              </w:rPr>
              <w:t>0.10</w:t>
            </w:r>
          </w:p>
        </w:tc>
      </w:tr>
      <w:tr w14:paraId="5416E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639712B4">
            <w:pPr>
              <w:pStyle w:val="31"/>
              <w:bidi w:val="0"/>
              <w:jc w:val="center"/>
              <w:rPr>
                <w:rFonts w:hint="default"/>
                <w:lang w:val="en-US" w:eastAsia="zh-CN"/>
              </w:rPr>
            </w:pPr>
            <w:r>
              <w:rPr>
                <w:rFonts w:hint="eastAsia"/>
                <w:lang w:val="en-US" w:eastAsia="zh-CN"/>
              </w:rPr>
              <w:t>13</w:t>
            </w:r>
          </w:p>
        </w:tc>
        <w:tc>
          <w:tcPr>
            <w:tcW w:w="1520" w:type="pct"/>
            <w:vAlign w:val="center"/>
          </w:tcPr>
          <w:p w14:paraId="36343AFB">
            <w:pPr>
              <w:pStyle w:val="31"/>
              <w:bidi w:val="0"/>
              <w:jc w:val="center"/>
              <w:rPr>
                <w:rFonts w:hint="default"/>
                <w:lang w:val="en-US" w:eastAsia="zh-CN"/>
              </w:rPr>
            </w:pPr>
            <w:r>
              <w:rPr>
                <w:rFonts w:hint="eastAsia"/>
                <w:lang w:val="en-US" w:eastAsia="zh-CN"/>
              </w:rPr>
              <w:t>溶解性总固体</w:t>
            </w:r>
          </w:p>
        </w:tc>
        <w:tc>
          <w:tcPr>
            <w:tcW w:w="1304" w:type="pct"/>
            <w:vAlign w:val="center"/>
          </w:tcPr>
          <w:p w14:paraId="17CE3970">
            <w:pPr>
              <w:pStyle w:val="31"/>
              <w:bidi w:val="0"/>
              <w:rPr>
                <w:rFonts w:hint="default"/>
                <w:lang w:val="en-US" w:eastAsia="zh-CN"/>
              </w:rPr>
            </w:pPr>
            <w:r>
              <w:rPr>
                <w:rFonts w:hint="eastAsia"/>
                <w:lang w:val="en-US" w:eastAsia="zh-CN"/>
              </w:rPr>
              <w:t>mg/L</w:t>
            </w:r>
          </w:p>
        </w:tc>
        <w:tc>
          <w:tcPr>
            <w:tcW w:w="1520" w:type="pct"/>
            <w:vAlign w:val="center"/>
          </w:tcPr>
          <w:p w14:paraId="5FB53409">
            <w:pPr>
              <w:pStyle w:val="31"/>
              <w:bidi w:val="0"/>
              <w:jc w:val="center"/>
              <w:rPr>
                <w:rFonts w:hint="default"/>
                <w:lang w:val="en-US" w:eastAsia="zh-CN"/>
              </w:rPr>
            </w:pPr>
            <w:r>
              <w:rPr>
                <w:rFonts w:hint="eastAsia"/>
                <w:lang w:val="en-US" w:eastAsia="zh-CN"/>
              </w:rPr>
              <w:t>1000</w:t>
            </w:r>
          </w:p>
        </w:tc>
      </w:tr>
      <w:tr w14:paraId="4C70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7E6E23F3">
            <w:pPr>
              <w:pStyle w:val="31"/>
              <w:bidi w:val="0"/>
              <w:jc w:val="center"/>
              <w:rPr>
                <w:rFonts w:hint="default"/>
                <w:lang w:val="en-US" w:eastAsia="zh-CN"/>
              </w:rPr>
            </w:pPr>
            <w:r>
              <w:rPr>
                <w:rFonts w:hint="eastAsia"/>
                <w:lang w:val="en-US" w:eastAsia="zh-CN"/>
              </w:rPr>
              <w:t>14</w:t>
            </w:r>
          </w:p>
        </w:tc>
        <w:tc>
          <w:tcPr>
            <w:tcW w:w="1520" w:type="pct"/>
            <w:vAlign w:val="center"/>
          </w:tcPr>
          <w:p w14:paraId="32782B79">
            <w:pPr>
              <w:pStyle w:val="31"/>
              <w:bidi w:val="0"/>
              <w:jc w:val="center"/>
              <w:rPr>
                <w:rFonts w:hint="default"/>
                <w:lang w:val="en-US" w:eastAsia="zh-CN"/>
              </w:rPr>
            </w:pPr>
            <w:r>
              <w:rPr>
                <w:rFonts w:hint="eastAsia"/>
                <w:lang w:val="en-US" w:eastAsia="zh-CN"/>
              </w:rPr>
              <w:t>高门酸盐指数</w:t>
            </w:r>
          </w:p>
        </w:tc>
        <w:tc>
          <w:tcPr>
            <w:tcW w:w="1304" w:type="pct"/>
            <w:vAlign w:val="center"/>
          </w:tcPr>
          <w:p w14:paraId="2495F2B9">
            <w:pPr>
              <w:pStyle w:val="31"/>
              <w:bidi w:val="0"/>
              <w:rPr>
                <w:rFonts w:hint="default"/>
                <w:lang w:val="en-US" w:eastAsia="zh-CN"/>
              </w:rPr>
            </w:pPr>
            <w:r>
              <w:rPr>
                <w:rFonts w:hint="eastAsia"/>
                <w:lang w:val="en-US" w:eastAsia="zh-CN"/>
              </w:rPr>
              <w:t>mg/L</w:t>
            </w:r>
          </w:p>
        </w:tc>
        <w:tc>
          <w:tcPr>
            <w:tcW w:w="1520" w:type="pct"/>
            <w:vAlign w:val="center"/>
          </w:tcPr>
          <w:p w14:paraId="37248D58">
            <w:pPr>
              <w:pStyle w:val="31"/>
              <w:bidi w:val="0"/>
              <w:jc w:val="center"/>
              <w:rPr>
                <w:rFonts w:hint="default"/>
                <w:lang w:val="en-US" w:eastAsia="zh-CN"/>
              </w:rPr>
            </w:pPr>
            <w:r>
              <w:rPr>
                <w:rFonts w:hint="eastAsia"/>
                <w:lang w:val="en-US" w:eastAsia="zh-CN"/>
              </w:rPr>
              <w:t>3.0</w:t>
            </w:r>
          </w:p>
        </w:tc>
      </w:tr>
      <w:tr w14:paraId="4CED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45BA94E3">
            <w:pPr>
              <w:pStyle w:val="31"/>
              <w:bidi w:val="0"/>
              <w:jc w:val="center"/>
              <w:rPr>
                <w:rFonts w:hint="default"/>
                <w:lang w:val="en-US" w:eastAsia="zh-CN"/>
              </w:rPr>
            </w:pPr>
            <w:r>
              <w:rPr>
                <w:rFonts w:hint="eastAsia"/>
                <w:lang w:val="en-US" w:eastAsia="zh-CN"/>
              </w:rPr>
              <w:t>15</w:t>
            </w:r>
          </w:p>
        </w:tc>
        <w:tc>
          <w:tcPr>
            <w:tcW w:w="1520" w:type="pct"/>
            <w:vAlign w:val="center"/>
          </w:tcPr>
          <w:p w14:paraId="1DA74ADE">
            <w:pPr>
              <w:pStyle w:val="31"/>
              <w:bidi w:val="0"/>
              <w:jc w:val="center"/>
              <w:rPr>
                <w:rFonts w:hint="default"/>
                <w:lang w:val="en-US" w:eastAsia="zh-CN"/>
              </w:rPr>
            </w:pPr>
            <w:r>
              <w:rPr>
                <w:rFonts w:hint="eastAsia"/>
                <w:lang w:val="en-US" w:eastAsia="zh-CN"/>
              </w:rPr>
              <w:t>硝酸盐</w:t>
            </w:r>
          </w:p>
        </w:tc>
        <w:tc>
          <w:tcPr>
            <w:tcW w:w="1304" w:type="pct"/>
            <w:vAlign w:val="center"/>
          </w:tcPr>
          <w:p w14:paraId="6728DE13">
            <w:pPr>
              <w:pStyle w:val="31"/>
              <w:bidi w:val="0"/>
              <w:rPr>
                <w:rFonts w:hint="default"/>
                <w:lang w:val="en-US" w:eastAsia="zh-CN"/>
              </w:rPr>
            </w:pPr>
            <w:r>
              <w:rPr>
                <w:rFonts w:hint="eastAsia"/>
                <w:lang w:val="en-US" w:eastAsia="zh-CN"/>
              </w:rPr>
              <w:t>mg/L</w:t>
            </w:r>
          </w:p>
        </w:tc>
        <w:tc>
          <w:tcPr>
            <w:tcW w:w="1520" w:type="pct"/>
            <w:vAlign w:val="center"/>
          </w:tcPr>
          <w:p w14:paraId="5BA4440B">
            <w:pPr>
              <w:pStyle w:val="31"/>
              <w:bidi w:val="0"/>
              <w:jc w:val="center"/>
              <w:rPr>
                <w:rFonts w:hint="default"/>
                <w:lang w:val="en-US" w:eastAsia="zh-CN"/>
              </w:rPr>
            </w:pPr>
            <w:r>
              <w:rPr>
                <w:rFonts w:hint="eastAsia"/>
                <w:lang w:val="en-US" w:eastAsia="zh-CN"/>
              </w:rPr>
              <w:t>20.0</w:t>
            </w:r>
          </w:p>
        </w:tc>
      </w:tr>
      <w:tr w14:paraId="7441B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7CA5E99A">
            <w:pPr>
              <w:pStyle w:val="31"/>
              <w:bidi w:val="0"/>
              <w:jc w:val="center"/>
              <w:rPr>
                <w:rFonts w:hint="default"/>
                <w:lang w:val="en-US" w:eastAsia="zh-CN"/>
              </w:rPr>
            </w:pPr>
            <w:r>
              <w:rPr>
                <w:rFonts w:hint="eastAsia"/>
                <w:lang w:val="en-US" w:eastAsia="zh-CN"/>
              </w:rPr>
              <w:t>16</w:t>
            </w:r>
          </w:p>
        </w:tc>
        <w:tc>
          <w:tcPr>
            <w:tcW w:w="1520" w:type="pct"/>
            <w:vAlign w:val="center"/>
          </w:tcPr>
          <w:p w14:paraId="460E864B">
            <w:pPr>
              <w:pStyle w:val="31"/>
              <w:bidi w:val="0"/>
              <w:jc w:val="center"/>
              <w:rPr>
                <w:rFonts w:hint="default"/>
                <w:lang w:val="en-US" w:eastAsia="zh-CN"/>
              </w:rPr>
            </w:pPr>
            <w:r>
              <w:rPr>
                <w:rFonts w:hint="eastAsia"/>
                <w:lang w:val="en-US" w:eastAsia="zh-CN"/>
              </w:rPr>
              <w:t>亚硝酸盐</w:t>
            </w:r>
          </w:p>
        </w:tc>
        <w:tc>
          <w:tcPr>
            <w:tcW w:w="1304" w:type="pct"/>
            <w:vAlign w:val="center"/>
          </w:tcPr>
          <w:p w14:paraId="44ECBCFB">
            <w:pPr>
              <w:pStyle w:val="31"/>
              <w:bidi w:val="0"/>
              <w:rPr>
                <w:rFonts w:hint="default"/>
                <w:lang w:val="en-US" w:eastAsia="zh-CN"/>
              </w:rPr>
            </w:pPr>
            <w:r>
              <w:rPr>
                <w:rFonts w:hint="eastAsia"/>
                <w:lang w:val="en-US" w:eastAsia="zh-CN"/>
              </w:rPr>
              <w:t>mg/L</w:t>
            </w:r>
          </w:p>
        </w:tc>
        <w:tc>
          <w:tcPr>
            <w:tcW w:w="1520" w:type="pct"/>
            <w:vAlign w:val="center"/>
          </w:tcPr>
          <w:p w14:paraId="5F307C1C">
            <w:pPr>
              <w:pStyle w:val="31"/>
              <w:bidi w:val="0"/>
              <w:jc w:val="center"/>
              <w:rPr>
                <w:rFonts w:hint="default"/>
                <w:lang w:val="en-US" w:eastAsia="zh-CN"/>
              </w:rPr>
            </w:pPr>
            <w:r>
              <w:rPr>
                <w:rFonts w:hint="eastAsia"/>
                <w:lang w:val="en-US" w:eastAsia="zh-CN"/>
              </w:rPr>
              <w:t>1.00</w:t>
            </w:r>
          </w:p>
        </w:tc>
      </w:tr>
      <w:tr w14:paraId="7CDF5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4CCC1E7A">
            <w:pPr>
              <w:pStyle w:val="31"/>
              <w:bidi w:val="0"/>
              <w:jc w:val="center"/>
              <w:rPr>
                <w:rFonts w:hint="default"/>
                <w:lang w:val="en-US" w:eastAsia="zh-CN"/>
              </w:rPr>
            </w:pPr>
            <w:r>
              <w:rPr>
                <w:rFonts w:hint="eastAsia"/>
                <w:lang w:val="en-US" w:eastAsia="zh-CN"/>
              </w:rPr>
              <w:t>17</w:t>
            </w:r>
          </w:p>
        </w:tc>
        <w:tc>
          <w:tcPr>
            <w:tcW w:w="1520" w:type="pct"/>
            <w:vAlign w:val="center"/>
          </w:tcPr>
          <w:p w14:paraId="77340436">
            <w:pPr>
              <w:pStyle w:val="31"/>
              <w:bidi w:val="0"/>
              <w:jc w:val="center"/>
              <w:rPr>
                <w:rFonts w:hint="default"/>
                <w:lang w:val="en-US" w:eastAsia="zh-CN"/>
              </w:rPr>
            </w:pPr>
            <w:r>
              <w:rPr>
                <w:rFonts w:hint="eastAsia"/>
                <w:lang w:val="en-US" w:eastAsia="zh-CN"/>
              </w:rPr>
              <w:t>氟化物</w:t>
            </w:r>
          </w:p>
        </w:tc>
        <w:tc>
          <w:tcPr>
            <w:tcW w:w="1304" w:type="pct"/>
            <w:vAlign w:val="center"/>
          </w:tcPr>
          <w:p w14:paraId="6C637C5A">
            <w:pPr>
              <w:pStyle w:val="31"/>
              <w:bidi w:val="0"/>
              <w:rPr>
                <w:rFonts w:hint="default"/>
                <w:lang w:val="en-US" w:eastAsia="zh-CN"/>
              </w:rPr>
            </w:pPr>
            <w:r>
              <w:rPr>
                <w:rFonts w:hint="eastAsia"/>
                <w:lang w:val="en-US" w:eastAsia="zh-CN"/>
              </w:rPr>
              <w:t>mg/L</w:t>
            </w:r>
          </w:p>
        </w:tc>
        <w:tc>
          <w:tcPr>
            <w:tcW w:w="1520" w:type="pct"/>
            <w:vAlign w:val="center"/>
          </w:tcPr>
          <w:p w14:paraId="1B69A7CD">
            <w:pPr>
              <w:pStyle w:val="31"/>
              <w:bidi w:val="0"/>
              <w:jc w:val="center"/>
              <w:rPr>
                <w:rFonts w:hint="default"/>
                <w:lang w:val="en-US" w:eastAsia="zh-CN"/>
              </w:rPr>
            </w:pPr>
            <w:r>
              <w:rPr>
                <w:rFonts w:hint="eastAsia"/>
                <w:lang w:val="en-US" w:eastAsia="zh-CN"/>
              </w:rPr>
              <w:t>1.0</w:t>
            </w:r>
          </w:p>
        </w:tc>
      </w:tr>
      <w:tr w14:paraId="63A7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5C3F3C1E">
            <w:pPr>
              <w:pStyle w:val="31"/>
              <w:bidi w:val="0"/>
              <w:jc w:val="center"/>
              <w:rPr>
                <w:rFonts w:hint="default"/>
                <w:lang w:val="en-US" w:eastAsia="zh-CN"/>
              </w:rPr>
            </w:pPr>
            <w:r>
              <w:rPr>
                <w:rFonts w:hint="eastAsia"/>
                <w:lang w:val="en-US" w:eastAsia="zh-CN"/>
              </w:rPr>
              <w:t>18</w:t>
            </w:r>
          </w:p>
        </w:tc>
        <w:tc>
          <w:tcPr>
            <w:tcW w:w="1520" w:type="pct"/>
            <w:vAlign w:val="center"/>
          </w:tcPr>
          <w:p w14:paraId="2A0C3322">
            <w:pPr>
              <w:pStyle w:val="31"/>
              <w:bidi w:val="0"/>
              <w:jc w:val="center"/>
              <w:rPr>
                <w:rFonts w:hint="default"/>
                <w:lang w:val="en-US" w:eastAsia="zh-CN"/>
              </w:rPr>
            </w:pPr>
            <w:r>
              <w:rPr>
                <w:rFonts w:hint="eastAsia"/>
                <w:lang w:val="en-US" w:eastAsia="zh-CN"/>
              </w:rPr>
              <w:t>硫酸盐</w:t>
            </w:r>
          </w:p>
        </w:tc>
        <w:tc>
          <w:tcPr>
            <w:tcW w:w="1304" w:type="pct"/>
            <w:vAlign w:val="center"/>
          </w:tcPr>
          <w:p w14:paraId="1FBE2F3C">
            <w:pPr>
              <w:pStyle w:val="31"/>
              <w:bidi w:val="0"/>
              <w:rPr>
                <w:rFonts w:hint="default"/>
                <w:lang w:val="en-US" w:eastAsia="zh-CN"/>
              </w:rPr>
            </w:pPr>
            <w:r>
              <w:rPr>
                <w:rFonts w:hint="eastAsia"/>
                <w:lang w:val="en-US" w:eastAsia="zh-CN"/>
              </w:rPr>
              <w:t>mg/L</w:t>
            </w:r>
          </w:p>
        </w:tc>
        <w:tc>
          <w:tcPr>
            <w:tcW w:w="1520" w:type="pct"/>
            <w:vAlign w:val="center"/>
          </w:tcPr>
          <w:p w14:paraId="4A638FD6">
            <w:pPr>
              <w:pStyle w:val="31"/>
              <w:bidi w:val="0"/>
              <w:jc w:val="center"/>
              <w:rPr>
                <w:rFonts w:hint="default"/>
                <w:lang w:val="en-US" w:eastAsia="zh-CN"/>
              </w:rPr>
            </w:pPr>
            <w:r>
              <w:rPr>
                <w:rFonts w:hint="eastAsia"/>
                <w:lang w:val="en-US" w:eastAsia="zh-CN"/>
              </w:rPr>
              <w:t>250</w:t>
            </w:r>
          </w:p>
        </w:tc>
      </w:tr>
      <w:tr w14:paraId="335C8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2F28AFE1">
            <w:pPr>
              <w:pStyle w:val="31"/>
              <w:bidi w:val="0"/>
              <w:jc w:val="center"/>
              <w:rPr>
                <w:rFonts w:hint="default"/>
                <w:lang w:val="en-US" w:eastAsia="zh-CN"/>
              </w:rPr>
            </w:pPr>
            <w:r>
              <w:rPr>
                <w:rFonts w:hint="eastAsia"/>
                <w:lang w:val="en-US" w:eastAsia="zh-CN"/>
              </w:rPr>
              <w:t>19</w:t>
            </w:r>
          </w:p>
        </w:tc>
        <w:tc>
          <w:tcPr>
            <w:tcW w:w="1520" w:type="pct"/>
            <w:vAlign w:val="center"/>
          </w:tcPr>
          <w:p w14:paraId="0781BD78">
            <w:pPr>
              <w:pStyle w:val="31"/>
              <w:bidi w:val="0"/>
              <w:jc w:val="center"/>
              <w:rPr>
                <w:rFonts w:hint="eastAsia"/>
                <w:lang w:val="en-US" w:eastAsia="zh-CN"/>
              </w:rPr>
            </w:pPr>
            <w:r>
              <w:rPr>
                <w:rFonts w:hint="eastAsia"/>
                <w:lang w:val="en-US" w:eastAsia="zh-CN"/>
              </w:rPr>
              <w:t>氯化物</w:t>
            </w:r>
          </w:p>
        </w:tc>
        <w:tc>
          <w:tcPr>
            <w:tcW w:w="1304" w:type="pct"/>
            <w:vAlign w:val="center"/>
          </w:tcPr>
          <w:p w14:paraId="32606D4C">
            <w:pPr>
              <w:pStyle w:val="31"/>
              <w:bidi w:val="0"/>
              <w:rPr>
                <w:rFonts w:hint="eastAsia"/>
                <w:lang w:val="en-US" w:eastAsia="zh-CN"/>
              </w:rPr>
            </w:pPr>
            <w:r>
              <w:rPr>
                <w:rFonts w:hint="eastAsia"/>
                <w:lang w:val="en-US" w:eastAsia="zh-CN"/>
              </w:rPr>
              <w:t>mg/L</w:t>
            </w:r>
          </w:p>
        </w:tc>
        <w:tc>
          <w:tcPr>
            <w:tcW w:w="1520" w:type="pct"/>
            <w:vAlign w:val="center"/>
          </w:tcPr>
          <w:p w14:paraId="173BFDC3">
            <w:pPr>
              <w:pStyle w:val="31"/>
              <w:bidi w:val="0"/>
              <w:jc w:val="center"/>
              <w:rPr>
                <w:rFonts w:hint="default"/>
                <w:lang w:val="en-US" w:eastAsia="zh-CN"/>
              </w:rPr>
            </w:pPr>
            <w:r>
              <w:rPr>
                <w:rFonts w:hint="eastAsia"/>
                <w:lang w:val="en-US" w:eastAsia="zh-CN"/>
              </w:rPr>
              <w:t>250</w:t>
            </w:r>
          </w:p>
        </w:tc>
      </w:tr>
      <w:tr w14:paraId="4E5E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651B12FF">
            <w:pPr>
              <w:pStyle w:val="31"/>
              <w:bidi w:val="0"/>
              <w:jc w:val="center"/>
              <w:rPr>
                <w:rFonts w:hint="default"/>
                <w:lang w:val="en-US" w:eastAsia="zh-CN"/>
              </w:rPr>
            </w:pPr>
            <w:r>
              <w:rPr>
                <w:rFonts w:hint="eastAsia"/>
                <w:lang w:val="en-US" w:eastAsia="zh-CN"/>
              </w:rPr>
              <w:t>20</w:t>
            </w:r>
          </w:p>
        </w:tc>
        <w:tc>
          <w:tcPr>
            <w:tcW w:w="1520" w:type="pct"/>
            <w:vAlign w:val="center"/>
          </w:tcPr>
          <w:p w14:paraId="3E3070D2">
            <w:pPr>
              <w:pStyle w:val="31"/>
              <w:bidi w:val="0"/>
              <w:jc w:val="center"/>
              <w:rPr>
                <w:rFonts w:hint="default"/>
                <w:lang w:val="en-US" w:eastAsia="zh-CN"/>
              </w:rPr>
            </w:pPr>
            <w:r>
              <w:rPr>
                <w:rFonts w:hint="eastAsia"/>
                <w:lang w:val="en-US" w:eastAsia="zh-CN"/>
              </w:rPr>
              <w:t>总大肠菌群</w:t>
            </w:r>
          </w:p>
        </w:tc>
        <w:tc>
          <w:tcPr>
            <w:tcW w:w="1304" w:type="pct"/>
            <w:vAlign w:val="center"/>
          </w:tcPr>
          <w:p w14:paraId="06F1EDB9">
            <w:pPr>
              <w:pStyle w:val="31"/>
              <w:bidi w:val="0"/>
              <w:rPr>
                <w:rFonts w:hint="default"/>
                <w:lang w:val="en-US" w:eastAsia="zh-CN"/>
              </w:rPr>
            </w:pPr>
            <w:r>
              <w:rPr>
                <w:rFonts w:hint="eastAsia"/>
                <w:lang w:val="en-US" w:eastAsia="zh-CN"/>
              </w:rPr>
              <w:t>MPN/100ml</w:t>
            </w:r>
          </w:p>
        </w:tc>
        <w:tc>
          <w:tcPr>
            <w:tcW w:w="1520" w:type="pct"/>
            <w:vAlign w:val="center"/>
          </w:tcPr>
          <w:p w14:paraId="72B44821">
            <w:pPr>
              <w:pStyle w:val="31"/>
              <w:bidi w:val="0"/>
              <w:jc w:val="center"/>
              <w:rPr>
                <w:rFonts w:hint="default"/>
                <w:lang w:val="en-US" w:eastAsia="zh-CN"/>
              </w:rPr>
            </w:pPr>
            <w:r>
              <w:rPr>
                <w:rFonts w:hint="eastAsia"/>
                <w:lang w:val="en-US" w:eastAsia="zh-CN"/>
              </w:rPr>
              <w:t>3.0</w:t>
            </w:r>
          </w:p>
        </w:tc>
      </w:tr>
      <w:tr w14:paraId="59D10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017A795A">
            <w:pPr>
              <w:pStyle w:val="31"/>
              <w:bidi w:val="0"/>
              <w:jc w:val="center"/>
              <w:rPr>
                <w:rFonts w:hint="default"/>
                <w:lang w:val="en-US" w:eastAsia="zh-CN"/>
              </w:rPr>
            </w:pPr>
            <w:r>
              <w:rPr>
                <w:rFonts w:hint="eastAsia"/>
                <w:lang w:val="en-US" w:eastAsia="zh-CN"/>
              </w:rPr>
              <w:t>21</w:t>
            </w:r>
          </w:p>
        </w:tc>
        <w:tc>
          <w:tcPr>
            <w:tcW w:w="1520" w:type="pct"/>
            <w:vAlign w:val="center"/>
          </w:tcPr>
          <w:p w14:paraId="3AF2B126">
            <w:pPr>
              <w:pStyle w:val="31"/>
              <w:bidi w:val="0"/>
              <w:jc w:val="center"/>
              <w:rPr>
                <w:rFonts w:hint="default"/>
                <w:lang w:val="en-US" w:eastAsia="zh-CN"/>
              </w:rPr>
            </w:pPr>
            <w:r>
              <w:rPr>
                <w:rFonts w:hint="eastAsia"/>
                <w:lang w:val="en-US" w:eastAsia="zh-CN"/>
              </w:rPr>
              <w:t>菌落总数</w:t>
            </w:r>
          </w:p>
        </w:tc>
        <w:tc>
          <w:tcPr>
            <w:tcW w:w="1304" w:type="pct"/>
            <w:vAlign w:val="center"/>
          </w:tcPr>
          <w:p w14:paraId="2C970076">
            <w:pPr>
              <w:pStyle w:val="31"/>
              <w:bidi w:val="0"/>
              <w:rPr>
                <w:rFonts w:hint="default"/>
                <w:lang w:val="en-US" w:eastAsia="zh-CN"/>
              </w:rPr>
            </w:pPr>
            <w:r>
              <w:rPr>
                <w:rFonts w:hint="eastAsia"/>
                <w:lang w:val="en-US" w:eastAsia="zh-CN"/>
              </w:rPr>
              <w:t>CFU/ml</w:t>
            </w:r>
          </w:p>
        </w:tc>
        <w:tc>
          <w:tcPr>
            <w:tcW w:w="1520" w:type="pct"/>
            <w:vAlign w:val="center"/>
          </w:tcPr>
          <w:p w14:paraId="3953ADC0">
            <w:pPr>
              <w:pStyle w:val="31"/>
              <w:bidi w:val="0"/>
              <w:jc w:val="center"/>
              <w:rPr>
                <w:rFonts w:hint="default"/>
                <w:lang w:val="en-US" w:eastAsia="zh-CN"/>
              </w:rPr>
            </w:pPr>
            <w:r>
              <w:rPr>
                <w:rFonts w:hint="eastAsia"/>
                <w:lang w:val="en-US" w:eastAsia="zh-CN"/>
              </w:rPr>
              <w:t>100</w:t>
            </w:r>
          </w:p>
        </w:tc>
      </w:tr>
      <w:tr w14:paraId="6ED5E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55" w:type="pct"/>
            <w:vAlign w:val="center"/>
          </w:tcPr>
          <w:p w14:paraId="269D3242">
            <w:pPr>
              <w:pStyle w:val="31"/>
              <w:bidi w:val="0"/>
              <w:jc w:val="center"/>
              <w:rPr>
                <w:rFonts w:hint="default"/>
                <w:lang w:val="en-US" w:eastAsia="zh-CN"/>
              </w:rPr>
            </w:pPr>
            <w:r>
              <w:rPr>
                <w:rFonts w:hint="eastAsia"/>
                <w:lang w:val="en-US" w:eastAsia="zh-CN"/>
              </w:rPr>
              <w:t>22</w:t>
            </w:r>
          </w:p>
        </w:tc>
        <w:tc>
          <w:tcPr>
            <w:tcW w:w="1520" w:type="pct"/>
            <w:vAlign w:val="center"/>
          </w:tcPr>
          <w:p w14:paraId="7AE4C3CB">
            <w:pPr>
              <w:pStyle w:val="31"/>
              <w:bidi w:val="0"/>
              <w:jc w:val="center"/>
              <w:rPr>
                <w:rFonts w:hint="default"/>
                <w:vertAlign w:val="baseline"/>
                <w:lang w:val="en-US" w:eastAsia="zh-CN"/>
              </w:rPr>
            </w:pPr>
            <w:r>
              <w:rPr>
                <w:rFonts w:hint="eastAsia"/>
                <w:lang w:val="en-US" w:eastAsia="zh-CN"/>
              </w:rPr>
              <w:t>Na</w:t>
            </w:r>
            <w:r>
              <w:rPr>
                <w:rFonts w:hint="eastAsia"/>
                <w:vertAlign w:val="superscript"/>
                <w:lang w:val="en-US" w:eastAsia="zh-CN"/>
              </w:rPr>
              <w:t>+</w:t>
            </w:r>
          </w:p>
        </w:tc>
        <w:tc>
          <w:tcPr>
            <w:tcW w:w="1304" w:type="pct"/>
            <w:vAlign w:val="center"/>
          </w:tcPr>
          <w:p w14:paraId="00A20F5E">
            <w:pPr>
              <w:pStyle w:val="31"/>
              <w:bidi w:val="0"/>
              <w:rPr>
                <w:rFonts w:hint="default"/>
                <w:lang w:val="en-US" w:eastAsia="zh-CN"/>
              </w:rPr>
            </w:pPr>
            <w:r>
              <w:rPr>
                <w:rFonts w:hint="eastAsia"/>
                <w:lang w:val="en-US" w:eastAsia="zh-CN"/>
              </w:rPr>
              <w:t>mg/L</w:t>
            </w:r>
          </w:p>
        </w:tc>
        <w:tc>
          <w:tcPr>
            <w:tcW w:w="1520" w:type="pct"/>
            <w:vAlign w:val="center"/>
          </w:tcPr>
          <w:p w14:paraId="257CA5F2">
            <w:pPr>
              <w:pStyle w:val="31"/>
              <w:bidi w:val="0"/>
              <w:jc w:val="center"/>
              <w:rPr>
                <w:rFonts w:hint="default"/>
                <w:lang w:val="en-US" w:eastAsia="zh-CN"/>
              </w:rPr>
            </w:pPr>
            <w:r>
              <w:rPr>
                <w:rFonts w:hint="eastAsia"/>
                <w:lang w:val="en-US" w:eastAsia="zh-CN"/>
              </w:rPr>
              <w:t>200</w:t>
            </w:r>
          </w:p>
        </w:tc>
      </w:tr>
    </w:tbl>
    <w:p w14:paraId="1737463F">
      <w:pPr>
        <w:pStyle w:val="33"/>
      </w:pPr>
      <w:bookmarkStart w:id="61" w:name="_Toc30377"/>
      <w:bookmarkStart w:id="62" w:name="_Toc165749974"/>
      <w:bookmarkStart w:id="63" w:name="_Toc20255"/>
      <w:r>
        <w:rPr>
          <w:rFonts w:hint="eastAsia"/>
        </w:rPr>
        <w:t>2.4.3污染物排放标准</w:t>
      </w:r>
      <w:bookmarkEnd w:id="61"/>
      <w:bookmarkEnd w:id="62"/>
      <w:bookmarkEnd w:id="63"/>
    </w:p>
    <w:p w14:paraId="3E8E9C07">
      <w:pPr>
        <w:pStyle w:val="36"/>
      </w:pPr>
      <w:r>
        <w:t>2.</w:t>
      </w:r>
      <w:r>
        <w:rPr>
          <w:rFonts w:hint="eastAsia"/>
        </w:rPr>
        <w:t>4</w:t>
      </w:r>
      <w:r>
        <w:t>.3</w:t>
      </w:r>
      <w:r>
        <w:rPr>
          <w:rFonts w:hint="eastAsia"/>
        </w:rPr>
        <w:t>.</w:t>
      </w:r>
      <w:r>
        <w:t>1</w:t>
      </w:r>
      <w:r>
        <w:rPr>
          <w:rFonts w:hint="eastAsia"/>
        </w:rPr>
        <w:t>废水污染物排放标准</w:t>
      </w:r>
    </w:p>
    <w:p w14:paraId="00049AC7">
      <w:pPr>
        <w:pStyle w:val="21"/>
        <w:ind w:firstLine="480"/>
        <w:rPr>
          <w:u w:val="none"/>
        </w:rPr>
      </w:pPr>
      <w:r>
        <w:rPr>
          <w:rFonts w:hint="eastAsia"/>
          <w:u w:val="none"/>
        </w:rPr>
        <w:t>施工期间主要进行设备安装，施工人员的生活污水利用旁边厂房现有卫生间收集至厂区化粪池预处理后送入市政污水管网。</w:t>
      </w:r>
    </w:p>
    <w:p w14:paraId="4BB27CCA">
      <w:pPr>
        <w:pStyle w:val="21"/>
        <w:ind w:firstLine="480"/>
        <w:rPr>
          <w:u w:val="none"/>
        </w:rPr>
      </w:pPr>
      <w:bookmarkStart w:id="64" w:name="_Hlk157419350"/>
      <w:r>
        <w:rPr>
          <w:rFonts w:hint="eastAsia"/>
          <w:u w:val="none"/>
          <w:lang w:val="en-US" w:eastAsia="zh-CN"/>
        </w:rPr>
        <w:t>运营期生产废水、初期雨水经废水处理站处理后优先回用，不能回用部分通过罐车运输至三樟镇污水处理厂进行深度处理，原则上排入城镇污水处理厂的项目废水排放执行达到《污水综合排放标准》（GB8978-1996）三级标准后，考虑到本项目位于湘江沿岸，存在水环境风险，因此环评建议从严要求，执行达到《污水综合排放标准》（GB8978-1996）一级标准后</w:t>
      </w:r>
      <w:r>
        <w:rPr>
          <w:rFonts w:hint="eastAsia"/>
          <w:u w:val="none"/>
        </w:rPr>
        <w:t>，详见下表。</w:t>
      </w:r>
    </w:p>
    <w:p w14:paraId="196A2994">
      <w:pPr>
        <w:pStyle w:val="23"/>
        <w:bidi w:val="0"/>
      </w:pPr>
      <w:r>
        <w:t>表2.</w:t>
      </w:r>
      <w:r>
        <w:rPr>
          <w:rFonts w:hint="eastAsia"/>
        </w:rPr>
        <w:t>4</w:t>
      </w:r>
      <w:r>
        <w:t>-</w:t>
      </w:r>
      <w:r>
        <w:rPr>
          <w:rFonts w:hint="eastAsia"/>
        </w:rPr>
        <w:t>6</w:t>
      </w:r>
      <w:r>
        <w:t xml:space="preserve">  污染物</w:t>
      </w:r>
      <w:r>
        <w:rPr>
          <w:rFonts w:hint="eastAsia"/>
        </w:rPr>
        <w:t>最高允许排放浓度</w:t>
      </w:r>
      <w:r>
        <w:t xml:space="preserve">   单位：mg/L（pH无量纲）</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4008"/>
        <w:gridCol w:w="3538"/>
      </w:tblGrid>
      <w:tr w14:paraId="0910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71" w:type="pct"/>
            <w:vAlign w:val="center"/>
          </w:tcPr>
          <w:p w14:paraId="18C9CC17">
            <w:pPr>
              <w:pStyle w:val="31"/>
              <w:rPr>
                <w:u w:val="none"/>
                <w:lang w:bidi="ar"/>
              </w:rPr>
            </w:pPr>
            <w:r>
              <w:rPr>
                <w:rFonts w:hint="eastAsia"/>
                <w:u w:val="none"/>
                <w:lang w:bidi="ar"/>
              </w:rPr>
              <w:t>序号</w:t>
            </w:r>
          </w:p>
        </w:tc>
        <w:tc>
          <w:tcPr>
            <w:tcW w:w="2352" w:type="pct"/>
            <w:vAlign w:val="center"/>
          </w:tcPr>
          <w:p w14:paraId="10A7401C">
            <w:pPr>
              <w:pStyle w:val="31"/>
              <w:rPr>
                <w:u w:val="none"/>
                <w:lang w:bidi="ar"/>
              </w:rPr>
            </w:pPr>
            <w:r>
              <w:rPr>
                <w:rFonts w:hint="eastAsia"/>
                <w:u w:val="none"/>
                <w:lang w:bidi="ar"/>
              </w:rPr>
              <w:t>污染物种类</w:t>
            </w:r>
          </w:p>
        </w:tc>
        <w:tc>
          <w:tcPr>
            <w:tcW w:w="2076" w:type="pct"/>
            <w:vAlign w:val="center"/>
          </w:tcPr>
          <w:p w14:paraId="7B533D06">
            <w:pPr>
              <w:pStyle w:val="31"/>
              <w:rPr>
                <w:rFonts w:hint="default" w:eastAsia="宋体"/>
                <w:u w:val="none"/>
                <w:lang w:val="en-US" w:eastAsia="zh-CN" w:bidi="ar"/>
              </w:rPr>
            </w:pPr>
            <w:r>
              <w:rPr>
                <w:rFonts w:hint="eastAsia"/>
                <w:u w:val="none"/>
                <w:lang w:bidi="ar"/>
              </w:rPr>
              <w:t>GB8978-1996</w:t>
            </w:r>
            <w:r>
              <w:rPr>
                <w:rFonts w:hint="eastAsia"/>
                <w:u w:val="none"/>
                <w:lang w:val="en-US" w:eastAsia="zh-CN" w:bidi="ar"/>
              </w:rPr>
              <w:t>一级标准</w:t>
            </w:r>
          </w:p>
        </w:tc>
      </w:tr>
      <w:tr w14:paraId="5EB4D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4BAF2421">
            <w:pPr>
              <w:pStyle w:val="31"/>
              <w:rPr>
                <w:u w:val="none"/>
                <w:lang w:bidi="ar"/>
              </w:rPr>
            </w:pPr>
            <w:r>
              <w:rPr>
                <w:rFonts w:hint="eastAsia"/>
                <w:u w:val="none"/>
                <w:lang w:bidi="ar"/>
              </w:rPr>
              <w:t>1</w:t>
            </w:r>
          </w:p>
        </w:tc>
        <w:tc>
          <w:tcPr>
            <w:tcW w:w="2352" w:type="pct"/>
            <w:vAlign w:val="center"/>
          </w:tcPr>
          <w:p w14:paraId="1909E2E7">
            <w:pPr>
              <w:pStyle w:val="31"/>
              <w:rPr>
                <w:u w:val="none"/>
                <w:lang w:bidi="ar"/>
              </w:rPr>
            </w:pPr>
            <w:r>
              <w:rPr>
                <w:rFonts w:hint="eastAsia"/>
                <w:u w:val="none"/>
                <w:lang w:bidi="ar"/>
              </w:rPr>
              <w:t>p</w:t>
            </w:r>
            <w:r>
              <w:rPr>
                <w:u w:val="none"/>
                <w:lang w:bidi="ar"/>
              </w:rPr>
              <w:t>H</w:t>
            </w:r>
          </w:p>
        </w:tc>
        <w:tc>
          <w:tcPr>
            <w:tcW w:w="2076" w:type="pct"/>
            <w:vAlign w:val="center"/>
          </w:tcPr>
          <w:p w14:paraId="2B527463">
            <w:pPr>
              <w:pStyle w:val="31"/>
              <w:rPr>
                <w:u w:val="none"/>
                <w:lang w:bidi="ar"/>
              </w:rPr>
            </w:pPr>
            <w:r>
              <w:rPr>
                <w:rFonts w:hint="eastAsia"/>
                <w:u w:val="none"/>
                <w:lang w:bidi="ar"/>
              </w:rPr>
              <w:t>6</w:t>
            </w:r>
            <w:r>
              <w:rPr>
                <w:u w:val="none"/>
                <w:lang w:bidi="ar"/>
              </w:rPr>
              <w:t>~</w:t>
            </w:r>
            <w:r>
              <w:rPr>
                <w:rFonts w:hint="eastAsia"/>
                <w:u w:val="none"/>
                <w:lang w:bidi="ar"/>
              </w:rPr>
              <w:t>9</w:t>
            </w:r>
          </w:p>
        </w:tc>
      </w:tr>
      <w:tr w14:paraId="3A3F9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5A58936F">
            <w:pPr>
              <w:pStyle w:val="31"/>
              <w:rPr>
                <w:u w:val="none"/>
                <w:lang w:bidi="ar"/>
              </w:rPr>
            </w:pPr>
            <w:r>
              <w:rPr>
                <w:rFonts w:hint="eastAsia"/>
                <w:u w:val="none"/>
                <w:lang w:bidi="ar"/>
              </w:rPr>
              <w:t>2</w:t>
            </w:r>
          </w:p>
        </w:tc>
        <w:tc>
          <w:tcPr>
            <w:tcW w:w="2352" w:type="pct"/>
            <w:vAlign w:val="center"/>
          </w:tcPr>
          <w:p w14:paraId="131CEA49">
            <w:pPr>
              <w:pStyle w:val="31"/>
              <w:rPr>
                <w:u w:val="none"/>
                <w:lang w:bidi="ar"/>
              </w:rPr>
            </w:pPr>
            <w:r>
              <w:rPr>
                <w:rFonts w:hint="eastAsia"/>
                <w:u w:val="none"/>
                <w:lang w:bidi="ar"/>
              </w:rPr>
              <w:t>悬浮物（</w:t>
            </w:r>
            <w:r>
              <w:rPr>
                <w:u w:val="none"/>
                <w:lang w:bidi="ar"/>
              </w:rPr>
              <w:t>SS</w:t>
            </w:r>
            <w:r>
              <w:rPr>
                <w:rFonts w:hint="eastAsia"/>
                <w:u w:val="none"/>
                <w:lang w:bidi="ar"/>
              </w:rPr>
              <w:t>）</w:t>
            </w:r>
          </w:p>
        </w:tc>
        <w:tc>
          <w:tcPr>
            <w:tcW w:w="2076" w:type="pct"/>
            <w:vAlign w:val="center"/>
          </w:tcPr>
          <w:p w14:paraId="5754A7A5">
            <w:pPr>
              <w:pStyle w:val="31"/>
              <w:rPr>
                <w:rFonts w:hint="default" w:eastAsia="宋体"/>
                <w:u w:val="none"/>
                <w:lang w:val="en-US" w:eastAsia="zh-CN" w:bidi="ar"/>
              </w:rPr>
            </w:pPr>
            <w:r>
              <w:rPr>
                <w:rFonts w:hint="eastAsia"/>
                <w:u w:val="none"/>
                <w:lang w:val="en-US" w:eastAsia="zh-CN" w:bidi="ar"/>
              </w:rPr>
              <w:t>70</w:t>
            </w:r>
          </w:p>
        </w:tc>
      </w:tr>
      <w:tr w14:paraId="12211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346BEF00">
            <w:pPr>
              <w:pStyle w:val="31"/>
              <w:rPr>
                <w:u w:val="none"/>
                <w:lang w:bidi="ar"/>
              </w:rPr>
            </w:pPr>
            <w:r>
              <w:rPr>
                <w:rFonts w:hint="eastAsia"/>
                <w:u w:val="none"/>
                <w:lang w:bidi="ar"/>
              </w:rPr>
              <w:t>3</w:t>
            </w:r>
          </w:p>
        </w:tc>
        <w:tc>
          <w:tcPr>
            <w:tcW w:w="2352" w:type="pct"/>
            <w:vAlign w:val="center"/>
          </w:tcPr>
          <w:p w14:paraId="2BBCA606">
            <w:pPr>
              <w:pStyle w:val="31"/>
              <w:rPr>
                <w:u w:val="none"/>
                <w:lang w:bidi="ar"/>
              </w:rPr>
            </w:pPr>
            <w:r>
              <w:rPr>
                <w:rFonts w:hint="eastAsia"/>
                <w:u w:val="none"/>
                <w:lang w:bidi="ar"/>
              </w:rPr>
              <w:t>五日生化</w:t>
            </w:r>
            <w:r>
              <w:rPr>
                <w:u w:val="none"/>
                <w:lang w:bidi="ar"/>
              </w:rPr>
              <w:t>需氧量（</w:t>
            </w:r>
            <w:r>
              <w:rPr>
                <w:rFonts w:hint="eastAsia"/>
                <w:u w:val="none"/>
                <w:lang w:bidi="ar"/>
              </w:rPr>
              <w:t>BOD</w:t>
            </w:r>
            <w:r>
              <w:rPr>
                <w:rFonts w:hint="eastAsia"/>
                <w:u w:val="none"/>
                <w:vertAlign w:val="subscript"/>
                <w:lang w:bidi="ar"/>
              </w:rPr>
              <w:t>5</w:t>
            </w:r>
            <w:r>
              <w:rPr>
                <w:u w:val="none"/>
                <w:lang w:bidi="ar"/>
              </w:rPr>
              <w:t>）</w:t>
            </w:r>
          </w:p>
        </w:tc>
        <w:tc>
          <w:tcPr>
            <w:tcW w:w="2076" w:type="pct"/>
            <w:vAlign w:val="center"/>
          </w:tcPr>
          <w:p w14:paraId="7F39F18B">
            <w:pPr>
              <w:pStyle w:val="31"/>
              <w:rPr>
                <w:rFonts w:hint="default" w:eastAsia="宋体"/>
                <w:u w:val="none"/>
                <w:lang w:val="en-US" w:eastAsia="zh-CN" w:bidi="ar"/>
              </w:rPr>
            </w:pPr>
            <w:r>
              <w:rPr>
                <w:rFonts w:hint="eastAsia"/>
                <w:u w:val="none"/>
                <w:lang w:val="en-US" w:eastAsia="zh-CN" w:bidi="ar"/>
              </w:rPr>
              <w:t>20</w:t>
            </w:r>
          </w:p>
        </w:tc>
      </w:tr>
      <w:tr w14:paraId="2017F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1B4DC74A">
            <w:pPr>
              <w:pStyle w:val="31"/>
              <w:rPr>
                <w:u w:val="none"/>
                <w:lang w:bidi="ar"/>
              </w:rPr>
            </w:pPr>
            <w:r>
              <w:rPr>
                <w:rFonts w:hint="eastAsia"/>
                <w:u w:val="none"/>
                <w:lang w:bidi="ar"/>
              </w:rPr>
              <w:t>4</w:t>
            </w:r>
          </w:p>
        </w:tc>
        <w:tc>
          <w:tcPr>
            <w:tcW w:w="2352" w:type="pct"/>
            <w:vAlign w:val="center"/>
          </w:tcPr>
          <w:p w14:paraId="11E3355B">
            <w:pPr>
              <w:pStyle w:val="31"/>
              <w:rPr>
                <w:u w:val="none"/>
                <w:lang w:bidi="ar"/>
              </w:rPr>
            </w:pPr>
            <w:r>
              <w:rPr>
                <w:rFonts w:hint="eastAsia"/>
                <w:u w:val="none"/>
                <w:lang w:bidi="ar"/>
              </w:rPr>
              <w:t>化学</w:t>
            </w:r>
            <w:r>
              <w:rPr>
                <w:u w:val="none"/>
                <w:lang w:bidi="ar"/>
              </w:rPr>
              <w:t>需氧量（COD）</w:t>
            </w:r>
          </w:p>
        </w:tc>
        <w:tc>
          <w:tcPr>
            <w:tcW w:w="2076" w:type="pct"/>
            <w:vAlign w:val="center"/>
          </w:tcPr>
          <w:p w14:paraId="5482A4DF">
            <w:pPr>
              <w:pStyle w:val="31"/>
              <w:rPr>
                <w:rFonts w:hint="default" w:eastAsia="宋体"/>
                <w:u w:val="none"/>
                <w:lang w:val="en-US" w:eastAsia="zh-CN" w:bidi="ar"/>
              </w:rPr>
            </w:pPr>
            <w:r>
              <w:rPr>
                <w:rFonts w:hint="eastAsia"/>
                <w:u w:val="none"/>
                <w:lang w:val="en-US" w:eastAsia="zh-CN" w:bidi="ar"/>
              </w:rPr>
              <w:t>100</w:t>
            </w:r>
          </w:p>
        </w:tc>
      </w:tr>
      <w:tr w14:paraId="1552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535FE43A">
            <w:pPr>
              <w:pStyle w:val="31"/>
              <w:rPr>
                <w:u w:val="none"/>
                <w:lang w:bidi="ar"/>
              </w:rPr>
            </w:pPr>
            <w:r>
              <w:rPr>
                <w:rFonts w:hint="eastAsia"/>
                <w:u w:val="none"/>
                <w:lang w:bidi="ar"/>
              </w:rPr>
              <w:t>5</w:t>
            </w:r>
          </w:p>
        </w:tc>
        <w:tc>
          <w:tcPr>
            <w:tcW w:w="2352" w:type="pct"/>
            <w:vAlign w:val="center"/>
          </w:tcPr>
          <w:p w14:paraId="20C3602F">
            <w:pPr>
              <w:pStyle w:val="31"/>
              <w:rPr>
                <w:u w:val="none"/>
                <w:lang w:bidi="ar"/>
              </w:rPr>
            </w:pPr>
            <w:r>
              <w:rPr>
                <w:rFonts w:hint="eastAsia"/>
                <w:u w:val="none"/>
                <w:lang w:bidi="ar"/>
              </w:rPr>
              <w:t>氨氮</w:t>
            </w:r>
          </w:p>
        </w:tc>
        <w:tc>
          <w:tcPr>
            <w:tcW w:w="2076" w:type="pct"/>
            <w:vAlign w:val="center"/>
          </w:tcPr>
          <w:p w14:paraId="024DC01F">
            <w:pPr>
              <w:pStyle w:val="31"/>
              <w:rPr>
                <w:rFonts w:hint="default" w:eastAsia="宋体"/>
                <w:u w:val="none"/>
                <w:lang w:val="en-US" w:eastAsia="zh-CN" w:bidi="ar"/>
              </w:rPr>
            </w:pPr>
            <w:r>
              <w:rPr>
                <w:rFonts w:hint="eastAsia"/>
                <w:u w:val="none"/>
                <w:lang w:val="en-US" w:eastAsia="zh-CN" w:bidi="ar"/>
              </w:rPr>
              <w:t>15</w:t>
            </w:r>
          </w:p>
        </w:tc>
      </w:tr>
      <w:tr w14:paraId="295B5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71" w:type="pct"/>
            <w:vAlign w:val="center"/>
          </w:tcPr>
          <w:p w14:paraId="2988D87F">
            <w:pPr>
              <w:pStyle w:val="31"/>
              <w:rPr>
                <w:u w:val="none"/>
                <w:lang w:bidi="ar"/>
              </w:rPr>
            </w:pPr>
            <w:r>
              <w:rPr>
                <w:rFonts w:hint="eastAsia"/>
                <w:u w:val="none"/>
                <w:lang w:bidi="ar"/>
              </w:rPr>
              <w:t>6</w:t>
            </w:r>
          </w:p>
        </w:tc>
        <w:tc>
          <w:tcPr>
            <w:tcW w:w="2352" w:type="pct"/>
            <w:vAlign w:val="center"/>
          </w:tcPr>
          <w:p w14:paraId="01E63BEF">
            <w:pPr>
              <w:pStyle w:val="31"/>
              <w:rPr>
                <w:rFonts w:hint="eastAsia" w:eastAsia="宋体"/>
                <w:u w:val="none"/>
                <w:lang w:eastAsia="zh-CN" w:bidi="ar"/>
              </w:rPr>
            </w:pPr>
            <w:r>
              <w:rPr>
                <w:rFonts w:hint="eastAsia"/>
                <w:u w:val="none"/>
                <w:lang w:val="en-US" w:eastAsia="zh-CN" w:bidi="ar"/>
              </w:rPr>
              <w:t>石油类</w:t>
            </w:r>
          </w:p>
        </w:tc>
        <w:tc>
          <w:tcPr>
            <w:tcW w:w="2076" w:type="pct"/>
            <w:vAlign w:val="center"/>
          </w:tcPr>
          <w:p w14:paraId="7895F159">
            <w:pPr>
              <w:pStyle w:val="31"/>
              <w:rPr>
                <w:rFonts w:hint="default" w:eastAsia="宋体"/>
                <w:u w:val="none"/>
                <w:lang w:val="en-US" w:eastAsia="zh-CN" w:bidi="ar"/>
              </w:rPr>
            </w:pPr>
            <w:r>
              <w:rPr>
                <w:rFonts w:hint="eastAsia"/>
                <w:u w:val="none"/>
                <w:lang w:val="en-US" w:eastAsia="zh-CN" w:bidi="ar"/>
              </w:rPr>
              <w:t>5</w:t>
            </w:r>
          </w:p>
        </w:tc>
      </w:tr>
      <w:bookmarkEnd w:id="64"/>
    </w:tbl>
    <w:p w14:paraId="3025724B">
      <w:pPr>
        <w:pStyle w:val="36"/>
      </w:pPr>
      <w:r>
        <w:t>2.</w:t>
      </w:r>
      <w:r>
        <w:rPr>
          <w:rFonts w:hint="eastAsia"/>
        </w:rPr>
        <w:t>4</w:t>
      </w:r>
      <w:r>
        <w:t>.3</w:t>
      </w:r>
      <w:r>
        <w:rPr>
          <w:rFonts w:hint="eastAsia"/>
        </w:rPr>
        <w:t>.</w:t>
      </w:r>
      <w:r>
        <w:t>2</w:t>
      </w:r>
      <w:r>
        <w:rPr>
          <w:rFonts w:hint="eastAsia"/>
        </w:rPr>
        <w:t>大气污染物排放标准</w:t>
      </w:r>
    </w:p>
    <w:p w14:paraId="0051B3FA">
      <w:pPr>
        <w:pStyle w:val="21"/>
        <w:ind w:firstLine="480"/>
      </w:pPr>
      <w:r>
        <w:rPr>
          <w:rFonts w:hint="eastAsia"/>
        </w:rPr>
        <w:t>施工期的颗粒物参照执行《大气污染物综合排放标准》（GB16297-1996）表2中颗粒物排放限值；</w:t>
      </w:r>
    </w:p>
    <w:p w14:paraId="2CC28E8D">
      <w:pPr>
        <w:pStyle w:val="21"/>
        <w:ind w:firstLine="480"/>
      </w:pPr>
      <w:r>
        <w:rPr>
          <w:rFonts w:hint="eastAsia"/>
        </w:rPr>
        <w:t>营运期颗粒物、非甲烷总烃执行</w:t>
      </w:r>
      <w:r>
        <w:t>《大气污染物综合排放标准》（GB16297-1996）</w:t>
      </w:r>
      <w:r>
        <w:rPr>
          <w:rFonts w:hint="eastAsia"/>
        </w:rPr>
        <w:t>表2中的二级标准和无组织排放监控浓度限值。</w:t>
      </w:r>
    </w:p>
    <w:p w14:paraId="1349C87B">
      <w:pPr>
        <w:pStyle w:val="23"/>
      </w:pPr>
      <w:r>
        <w:t>表</w:t>
      </w:r>
      <w:r>
        <w:rPr>
          <w:rFonts w:hint="eastAsia"/>
        </w:rPr>
        <w:t>2.4-7《大气</w:t>
      </w:r>
      <w:r>
        <w:t>污染物</w:t>
      </w:r>
      <w:r>
        <w:rPr>
          <w:rFonts w:hint="eastAsia"/>
        </w:rPr>
        <w:t>综合</w:t>
      </w:r>
      <w:r>
        <w:t>排放标准</w:t>
      </w:r>
      <w:r>
        <w:rPr>
          <w:rFonts w:hint="eastAsia"/>
        </w:rPr>
        <w:t>》（GB16297-1996）</w:t>
      </w:r>
    </w:p>
    <w:tbl>
      <w:tblPr>
        <w:tblStyle w:val="15"/>
        <w:tblW w:w="85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57"/>
        <w:gridCol w:w="1095"/>
        <w:gridCol w:w="1575"/>
        <w:gridCol w:w="1710"/>
        <w:gridCol w:w="1173"/>
        <w:gridCol w:w="1592"/>
      </w:tblGrid>
      <w:tr w14:paraId="41D27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357" w:type="dxa"/>
            <w:vMerge w:val="restart"/>
            <w:vAlign w:val="center"/>
          </w:tcPr>
          <w:p w14:paraId="109CCE49">
            <w:pPr>
              <w:pStyle w:val="31"/>
            </w:pPr>
            <w:r>
              <w:rPr>
                <w:rFonts w:hint="eastAsia"/>
              </w:rPr>
              <w:t>污染物</w:t>
            </w:r>
          </w:p>
        </w:tc>
        <w:tc>
          <w:tcPr>
            <w:tcW w:w="1095" w:type="dxa"/>
            <w:vMerge w:val="restart"/>
            <w:vAlign w:val="center"/>
          </w:tcPr>
          <w:p w14:paraId="6AA27173">
            <w:pPr>
              <w:pStyle w:val="31"/>
            </w:pPr>
            <w:r>
              <w:rPr>
                <w:rFonts w:hint="eastAsia"/>
              </w:rPr>
              <w:t>排气筒高度（m）</w:t>
            </w:r>
          </w:p>
        </w:tc>
        <w:tc>
          <w:tcPr>
            <w:tcW w:w="1575" w:type="dxa"/>
            <w:vMerge w:val="restart"/>
            <w:vAlign w:val="center"/>
          </w:tcPr>
          <w:p w14:paraId="74E74C0C">
            <w:pPr>
              <w:pStyle w:val="31"/>
            </w:pPr>
            <w:r>
              <w:rPr>
                <w:rFonts w:hint="eastAsia"/>
              </w:rPr>
              <w:t xml:space="preserve">最高允许排放浓度(mg/m </w:t>
            </w:r>
            <w:r>
              <w:rPr>
                <w:rFonts w:hint="eastAsia"/>
                <w:vertAlign w:val="superscript"/>
              </w:rPr>
              <w:t>3</w:t>
            </w:r>
            <w:r>
              <w:rPr>
                <w:rFonts w:hint="eastAsia"/>
              </w:rPr>
              <w:t xml:space="preserve"> )</w:t>
            </w:r>
          </w:p>
        </w:tc>
        <w:tc>
          <w:tcPr>
            <w:tcW w:w="1710" w:type="dxa"/>
            <w:vMerge w:val="restart"/>
            <w:vAlign w:val="center"/>
          </w:tcPr>
          <w:p w14:paraId="685D718D">
            <w:pPr>
              <w:pStyle w:val="31"/>
            </w:pPr>
            <w:r>
              <w:rPr>
                <w:rFonts w:hint="eastAsia"/>
              </w:rPr>
              <w:t>二级最高允许排放速率（kg/h）</w:t>
            </w:r>
          </w:p>
        </w:tc>
        <w:tc>
          <w:tcPr>
            <w:tcW w:w="2765" w:type="dxa"/>
            <w:gridSpan w:val="2"/>
            <w:vAlign w:val="center"/>
          </w:tcPr>
          <w:p w14:paraId="63DA1E8A">
            <w:pPr>
              <w:pStyle w:val="31"/>
            </w:pPr>
            <w:r>
              <w:rPr>
                <w:rFonts w:hint="eastAsia"/>
              </w:rPr>
              <w:t>无组织排放监控浓度限值</w:t>
            </w:r>
          </w:p>
        </w:tc>
      </w:tr>
      <w:tr w14:paraId="7B64A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357" w:type="dxa"/>
            <w:vMerge w:val="continue"/>
            <w:vAlign w:val="center"/>
          </w:tcPr>
          <w:p w14:paraId="426CC8A3">
            <w:pPr>
              <w:pStyle w:val="31"/>
            </w:pPr>
          </w:p>
        </w:tc>
        <w:tc>
          <w:tcPr>
            <w:tcW w:w="1095" w:type="dxa"/>
            <w:vMerge w:val="continue"/>
            <w:vAlign w:val="center"/>
          </w:tcPr>
          <w:p w14:paraId="6259E0BE">
            <w:pPr>
              <w:pStyle w:val="31"/>
            </w:pPr>
          </w:p>
        </w:tc>
        <w:tc>
          <w:tcPr>
            <w:tcW w:w="1575" w:type="dxa"/>
            <w:vMerge w:val="continue"/>
            <w:vAlign w:val="center"/>
          </w:tcPr>
          <w:p w14:paraId="2D0FB676">
            <w:pPr>
              <w:pStyle w:val="31"/>
            </w:pPr>
          </w:p>
        </w:tc>
        <w:tc>
          <w:tcPr>
            <w:tcW w:w="1710" w:type="dxa"/>
            <w:vMerge w:val="continue"/>
            <w:vAlign w:val="center"/>
          </w:tcPr>
          <w:p w14:paraId="4ED793C0">
            <w:pPr>
              <w:pStyle w:val="31"/>
            </w:pPr>
          </w:p>
        </w:tc>
        <w:tc>
          <w:tcPr>
            <w:tcW w:w="1173" w:type="dxa"/>
            <w:vAlign w:val="center"/>
          </w:tcPr>
          <w:p w14:paraId="3F4C0025">
            <w:pPr>
              <w:pStyle w:val="31"/>
            </w:pPr>
            <w:r>
              <w:rPr>
                <w:rFonts w:hint="eastAsia"/>
              </w:rPr>
              <w:t>监控点</w:t>
            </w:r>
          </w:p>
        </w:tc>
        <w:tc>
          <w:tcPr>
            <w:tcW w:w="1592" w:type="dxa"/>
            <w:vAlign w:val="center"/>
          </w:tcPr>
          <w:p w14:paraId="61AE6BA6">
            <w:pPr>
              <w:pStyle w:val="31"/>
            </w:pPr>
            <w:r>
              <w:rPr>
                <w:rFonts w:hint="eastAsia"/>
              </w:rPr>
              <w:t xml:space="preserve">浓度(mg/m </w:t>
            </w:r>
            <w:r>
              <w:rPr>
                <w:rFonts w:hint="eastAsia"/>
                <w:vertAlign w:val="superscript"/>
              </w:rPr>
              <w:t>3</w:t>
            </w:r>
            <w:r>
              <w:rPr>
                <w:rFonts w:hint="eastAsia"/>
              </w:rPr>
              <w:t xml:space="preserve"> )</w:t>
            </w:r>
          </w:p>
        </w:tc>
      </w:tr>
      <w:tr w14:paraId="1E72A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57" w:type="dxa"/>
            <w:vAlign w:val="center"/>
          </w:tcPr>
          <w:p w14:paraId="5EA1631C">
            <w:pPr>
              <w:pStyle w:val="31"/>
            </w:pPr>
            <w:r>
              <w:rPr>
                <w:rFonts w:hint="eastAsia"/>
              </w:rPr>
              <w:t>颗粒物</w:t>
            </w:r>
          </w:p>
        </w:tc>
        <w:tc>
          <w:tcPr>
            <w:tcW w:w="1095" w:type="dxa"/>
            <w:vAlign w:val="center"/>
          </w:tcPr>
          <w:p w14:paraId="70641764">
            <w:pPr>
              <w:pStyle w:val="31"/>
            </w:pPr>
            <w:r>
              <w:rPr>
                <w:rFonts w:hint="eastAsia"/>
              </w:rPr>
              <w:t>15</w:t>
            </w:r>
          </w:p>
        </w:tc>
        <w:tc>
          <w:tcPr>
            <w:tcW w:w="1575" w:type="dxa"/>
            <w:vAlign w:val="center"/>
          </w:tcPr>
          <w:p w14:paraId="4AE23896">
            <w:pPr>
              <w:pStyle w:val="31"/>
            </w:pPr>
            <w:r>
              <w:rPr>
                <w:rFonts w:hint="eastAsia"/>
              </w:rPr>
              <w:t>120</w:t>
            </w:r>
          </w:p>
        </w:tc>
        <w:tc>
          <w:tcPr>
            <w:tcW w:w="1710" w:type="dxa"/>
            <w:vAlign w:val="center"/>
          </w:tcPr>
          <w:p w14:paraId="63A1A3A3">
            <w:pPr>
              <w:pStyle w:val="31"/>
            </w:pPr>
            <w:r>
              <w:rPr>
                <w:rFonts w:hint="eastAsia"/>
              </w:rPr>
              <w:t>3.5</w:t>
            </w:r>
          </w:p>
        </w:tc>
        <w:tc>
          <w:tcPr>
            <w:tcW w:w="1173" w:type="dxa"/>
            <w:vMerge w:val="restart"/>
            <w:vAlign w:val="center"/>
          </w:tcPr>
          <w:p w14:paraId="4B0F998D">
            <w:pPr>
              <w:pStyle w:val="31"/>
            </w:pPr>
            <w:r>
              <w:rPr>
                <w:rFonts w:hint="eastAsia"/>
              </w:rPr>
              <w:t>周界外浓度最高点</w:t>
            </w:r>
          </w:p>
        </w:tc>
        <w:tc>
          <w:tcPr>
            <w:tcW w:w="1592" w:type="dxa"/>
            <w:vAlign w:val="center"/>
          </w:tcPr>
          <w:p w14:paraId="3082A14C">
            <w:pPr>
              <w:pStyle w:val="31"/>
            </w:pPr>
            <w:r>
              <w:rPr>
                <w:rFonts w:hint="eastAsia"/>
              </w:rPr>
              <w:t>1.0</w:t>
            </w:r>
          </w:p>
        </w:tc>
      </w:tr>
      <w:tr w14:paraId="02BB5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57" w:type="dxa"/>
            <w:vAlign w:val="center"/>
          </w:tcPr>
          <w:p w14:paraId="2FE69C4A">
            <w:pPr>
              <w:pStyle w:val="31"/>
            </w:pPr>
            <w:r>
              <w:rPr>
                <w:rFonts w:hint="eastAsia"/>
              </w:rPr>
              <w:t>非甲烷总烃</w:t>
            </w:r>
          </w:p>
        </w:tc>
        <w:tc>
          <w:tcPr>
            <w:tcW w:w="1095" w:type="dxa"/>
            <w:vAlign w:val="center"/>
          </w:tcPr>
          <w:p w14:paraId="3D069A8D">
            <w:pPr>
              <w:pStyle w:val="31"/>
            </w:pPr>
            <w:r>
              <w:rPr>
                <w:rFonts w:hint="eastAsia"/>
              </w:rPr>
              <w:t>15</w:t>
            </w:r>
          </w:p>
        </w:tc>
        <w:tc>
          <w:tcPr>
            <w:tcW w:w="1575" w:type="dxa"/>
            <w:vAlign w:val="center"/>
          </w:tcPr>
          <w:p w14:paraId="4163DAA1">
            <w:pPr>
              <w:pStyle w:val="31"/>
            </w:pPr>
            <w:r>
              <w:rPr>
                <w:rFonts w:hint="eastAsia"/>
              </w:rPr>
              <w:t>120</w:t>
            </w:r>
          </w:p>
        </w:tc>
        <w:tc>
          <w:tcPr>
            <w:tcW w:w="1710" w:type="dxa"/>
            <w:vAlign w:val="center"/>
          </w:tcPr>
          <w:p w14:paraId="2EC7304D">
            <w:pPr>
              <w:pStyle w:val="31"/>
            </w:pPr>
            <w:r>
              <w:rPr>
                <w:rFonts w:hint="eastAsia"/>
              </w:rPr>
              <w:t>10</w:t>
            </w:r>
          </w:p>
        </w:tc>
        <w:tc>
          <w:tcPr>
            <w:tcW w:w="1173" w:type="dxa"/>
            <w:vMerge w:val="continue"/>
            <w:vAlign w:val="center"/>
          </w:tcPr>
          <w:p w14:paraId="2A94BD56">
            <w:pPr>
              <w:pStyle w:val="31"/>
            </w:pPr>
          </w:p>
        </w:tc>
        <w:tc>
          <w:tcPr>
            <w:tcW w:w="1592" w:type="dxa"/>
            <w:vAlign w:val="center"/>
          </w:tcPr>
          <w:p w14:paraId="27304B09">
            <w:pPr>
              <w:pStyle w:val="31"/>
            </w:pPr>
            <w:r>
              <w:rPr>
                <w:rFonts w:hint="eastAsia"/>
              </w:rPr>
              <w:t>4.0</w:t>
            </w:r>
          </w:p>
        </w:tc>
      </w:tr>
    </w:tbl>
    <w:p w14:paraId="2FF91143">
      <w:pPr>
        <w:pStyle w:val="23"/>
      </w:pPr>
      <w:r>
        <w:t>表</w:t>
      </w:r>
      <w:r>
        <w:rPr>
          <w:rFonts w:hint="eastAsia"/>
        </w:rPr>
        <w:t>2.4-8《挥发性有机物无组织排放控制标准》（GB37822-2019）</w:t>
      </w:r>
    </w:p>
    <w:tbl>
      <w:tblPr>
        <w:tblStyle w:val="1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05"/>
        <w:gridCol w:w="1261"/>
        <w:gridCol w:w="3149"/>
        <w:gridCol w:w="2787"/>
      </w:tblGrid>
      <w:tr w14:paraId="0ED19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05" w:type="dxa"/>
            <w:vAlign w:val="center"/>
          </w:tcPr>
          <w:p w14:paraId="0117F3A9">
            <w:pPr>
              <w:pStyle w:val="31"/>
            </w:pPr>
            <w:r>
              <w:rPr>
                <w:rFonts w:hint="eastAsia"/>
              </w:rPr>
              <w:t>污染物</w:t>
            </w:r>
          </w:p>
        </w:tc>
        <w:tc>
          <w:tcPr>
            <w:tcW w:w="1261" w:type="dxa"/>
            <w:vAlign w:val="center"/>
          </w:tcPr>
          <w:p w14:paraId="0EEB5657">
            <w:pPr>
              <w:pStyle w:val="31"/>
            </w:pPr>
            <w:r>
              <w:rPr>
                <w:rFonts w:hint="eastAsia"/>
              </w:rPr>
              <w:t>排放限值</w:t>
            </w:r>
          </w:p>
        </w:tc>
        <w:tc>
          <w:tcPr>
            <w:tcW w:w="3149" w:type="dxa"/>
            <w:vAlign w:val="center"/>
          </w:tcPr>
          <w:p w14:paraId="755C0711">
            <w:pPr>
              <w:pStyle w:val="31"/>
            </w:pPr>
            <w:r>
              <w:rPr>
                <w:rFonts w:hint="eastAsia"/>
              </w:rPr>
              <w:t>限值含义</w:t>
            </w:r>
          </w:p>
        </w:tc>
        <w:tc>
          <w:tcPr>
            <w:tcW w:w="2787" w:type="dxa"/>
            <w:vAlign w:val="center"/>
          </w:tcPr>
          <w:p w14:paraId="66881D1C">
            <w:pPr>
              <w:pStyle w:val="31"/>
            </w:pPr>
            <w:r>
              <w:rPr>
                <w:rFonts w:hint="eastAsia"/>
              </w:rPr>
              <w:t>监控点</w:t>
            </w:r>
          </w:p>
        </w:tc>
      </w:tr>
      <w:tr w14:paraId="1F6D6D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05" w:type="dxa"/>
            <w:vMerge w:val="restart"/>
            <w:vAlign w:val="center"/>
          </w:tcPr>
          <w:p w14:paraId="1A5C999C">
            <w:pPr>
              <w:pStyle w:val="31"/>
            </w:pPr>
            <w:r>
              <w:rPr>
                <w:rFonts w:hint="eastAsia"/>
              </w:rPr>
              <w:t>NMHC</w:t>
            </w:r>
          </w:p>
        </w:tc>
        <w:tc>
          <w:tcPr>
            <w:tcW w:w="1261" w:type="dxa"/>
            <w:vAlign w:val="center"/>
          </w:tcPr>
          <w:p w14:paraId="6D7DA4F3">
            <w:pPr>
              <w:pStyle w:val="31"/>
            </w:pPr>
            <w:r>
              <w:rPr>
                <w:rFonts w:hint="eastAsia"/>
              </w:rPr>
              <w:t>10</w:t>
            </w:r>
          </w:p>
        </w:tc>
        <w:tc>
          <w:tcPr>
            <w:tcW w:w="3149" w:type="dxa"/>
            <w:vAlign w:val="center"/>
          </w:tcPr>
          <w:p w14:paraId="082DEFB9">
            <w:pPr>
              <w:pStyle w:val="31"/>
            </w:pPr>
            <w:r>
              <w:rPr>
                <w:rFonts w:hint="eastAsia"/>
              </w:rPr>
              <w:t>监控点处1h平均浓度值</w:t>
            </w:r>
          </w:p>
        </w:tc>
        <w:tc>
          <w:tcPr>
            <w:tcW w:w="2787" w:type="dxa"/>
            <w:vMerge w:val="restart"/>
            <w:vAlign w:val="center"/>
          </w:tcPr>
          <w:p w14:paraId="65523FFB">
            <w:pPr>
              <w:pStyle w:val="31"/>
            </w:pPr>
            <w:r>
              <w:rPr>
                <w:rFonts w:hint="eastAsia"/>
              </w:rPr>
              <w:t>在厂房外设置监控点（操作工位下风向1m）</w:t>
            </w:r>
          </w:p>
        </w:tc>
      </w:tr>
      <w:tr w14:paraId="5AD77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1305" w:type="dxa"/>
            <w:vMerge w:val="continue"/>
            <w:vAlign w:val="center"/>
          </w:tcPr>
          <w:p w14:paraId="441767D7">
            <w:pPr>
              <w:pStyle w:val="31"/>
            </w:pPr>
          </w:p>
        </w:tc>
        <w:tc>
          <w:tcPr>
            <w:tcW w:w="1261" w:type="dxa"/>
            <w:vAlign w:val="center"/>
          </w:tcPr>
          <w:p w14:paraId="50F772D4">
            <w:pPr>
              <w:pStyle w:val="31"/>
            </w:pPr>
            <w:r>
              <w:rPr>
                <w:rFonts w:hint="eastAsia"/>
              </w:rPr>
              <w:t>30</w:t>
            </w:r>
          </w:p>
        </w:tc>
        <w:tc>
          <w:tcPr>
            <w:tcW w:w="3149" w:type="dxa"/>
            <w:vAlign w:val="center"/>
          </w:tcPr>
          <w:p w14:paraId="3FFD130C">
            <w:pPr>
              <w:pStyle w:val="31"/>
            </w:pPr>
            <w:r>
              <w:rPr>
                <w:rFonts w:hint="eastAsia"/>
              </w:rPr>
              <w:t>监控点处任意一次浓度值</w:t>
            </w:r>
          </w:p>
        </w:tc>
        <w:tc>
          <w:tcPr>
            <w:tcW w:w="2787" w:type="dxa"/>
            <w:vMerge w:val="continue"/>
            <w:vAlign w:val="center"/>
          </w:tcPr>
          <w:p w14:paraId="6AD079A4">
            <w:pPr>
              <w:pStyle w:val="31"/>
            </w:pPr>
          </w:p>
        </w:tc>
      </w:tr>
    </w:tbl>
    <w:p w14:paraId="6BA04682">
      <w:pPr>
        <w:pStyle w:val="36"/>
      </w:pPr>
      <w:r>
        <w:rPr>
          <w:rFonts w:hint="eastAsia"/>
        </w:rPr>
        <w:t>2.4.3.3噪声</w:t>
      </w:r>
    </w:p>
    <w:p w14:paraId="4ADEE993">
      <w:pPr>
        <w:pStyle w:val="21"/>
        <w:ind w:firstLine="480"/>
      </w:pPr>
      <w:r>
        <w:t>施工期噪声执行《建筑施工</w:t>
      </w:r>
      <w:r>
        <w:rPr>
          <w:rFonts w:hint="eastAsia"/>
        </w:rPr>
        <w:t>场界</w:t>
      </w:r>
      <w:r>
        <w:t>环境噪声排放标准》（GB12523-2011）标准，营运期厂界噪声执行《工业企业厂界环境噪声排放标准》（GB12348-2008）中的</w:t>
      </w:r>
      <w:r>
        <w:rPr>
          <w:rFonts w:hint="eastAsia"/>
        </w:rPr>
        <w:t>2</w:t>
      </w:r>
      <w:r>
        <w:t>类标准。</w:t>
      </w:r>
    </w:p>
    <w:p w14:paraId="64B38A36">
      <w:pPr>
        <w:pStyle w:val="23"/>
      </w:pPr>
      <w:r>
        <w:t>表</w:t>
      </w:r>
      <w:r>
        <w:rPr>
          <w:rFonts w:hint="eastAsia"/>
        </w:rPr>
        <w:t>2.4-9</w:t>
      </w:r>
      <w:r>
        <w:t xml:space="preserve"> </w:t>
      </w:r>
      <w:r>
        <w:rPr>
          <w:rFonts w:hint="eastAsia"/>
        </w:rPr>
        <w:t>营运期</w:t>
      </w:r>
      <w:r>
        <w:t>工业企业厂界环境噪声排放标准限值 单位：dB（A）</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9"/>
        <w:gridCol w:w="1099"/>
        <w:gridCol w:w="1443"/>
        <w:gridCol w:w="1428"/>
      </w:tblGrid>
      <w:tr w14:paraId="4A75E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4" w:type="pct"/>
            <w:gridSpan w:val="2"/>
            <w:vMerge w:val="restart"/>
            <w:vAlign w:val="center"/>
          </w:tcPr>
          <w:p w14:paraId="56CA2357">
            <w:pPr>
              <w:pStyle w:val="31"/>
            </w:pPr>
            <w:r>
              <w:t>执行标准</w:t>
            </w:r>
          </w:p>
        </w:tc>
        <w:tc>
          <w:tcPr>
            <w:tcW w:w="1685" w:type="pct"/>
            <w:gridSpan w:val="2"/>
            <w:vAlign w:val="center"/>
          </w:tcPr>
          <w:p w14:paraId="23BAA5C3">
            <w:pPr>
              <w:pStyle w:val="31"/>
            </w:pPr>
            <w:r>
              <w:t>标准值(dB(A))</w:t>
            </w:r>
          </w:p>
        </w:tc>
      </w:tr>
      <w:tr w14:paraId="1A56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4" w:type="pct"/>
            <w:gridSpan w:val="2"/>
            <w:vMerge w:val="continue"/>
            <w:vAlign w:val="center"/>
          </w:tcPr>
          <w:p w14:paraId="27F46FE0">
            <w:pPr>
              <w:pStyle w:val="31"/>
            </w:pPr>
          </w:p>
        </w:tc>
        <w:tc>
          <w:tcPr>
            <w:tcW w:w="847" w:type="pct"/>
            <w:vAlign w:val="center"/>
          </w:tcPr>
          <w:p w14:paraId="67749E71">
            <w:pPr>
              <w:pStyle w:val="31"/>
            </w:pPr>
            <w:r>
              <w:t>昼间</w:t>
            </w:r>
          </w:p>
        </w:tc>
        <w:tc>
          <w:tcPr>
            <w:tcW w:w="838" w:type="pct"/>
            <w:vAlign w:val="center"/>
          </w:tcPr>
          <w:p w14:paraId="7FEF4C7C">
            <w:pPr>
              <w:pStyle w:val="31"/>
            </w:pPr>
            <w:r>
              <w:t>夜间</w:t>
            </w:r>
          </w:p>
        </w:tc>
      </w:tr>
      <w:tr w14:paraId="70475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314" w:type="pct"/>
            <w:gridSpan w:val="2"/>
            <w:vAlign w:val="center"/>
          </w:tcPr>
          <w:p w14:paraId="750014C6">
            <w:pPr>
              <w:pStyle w:val="31"/>
              <w:rPr>
                <w:bCs/>
              </w:rPr>
            </w:pPr>
            <w:r>
              <w:rPr>
                <w:bCs/>
              </w:rPr>
              <w:t>《建筑施工场界环境噪声排放标准》（GB 12523-2011）</w:t>
            </w:r>
          </w:p>
        </w:tc>
        <w:tc>
          <w:tcPr>
            <w:tcW w:w="847" w:type="pct"/>
            <w:vAlign w:val="center"/>
          </w:tcPr>
          <w:p w14:paraId="1F29E605">
            <w:pPr>
              <w:pStyle w:val="31"/>
            </w:pPr>
            <w:r>
              <w:t>70</w:t>
            </w:r>
          </w:p>
        </w:tc>
        <w:tc>
          <w:tcPr>
            <w:tcW w:w="838" w:type="pct"/>
            <w:vAlign w:val="center"/>
          </w:tcPr>
          <w:p w14:paraId="256A0B7C">
            <w:pPr>
              <w:pStyle w:val="31"/>
            </w:pPr>
            <w:r>
              <w:t>55</w:t>
            </w:r>
          </w:p>
        </w:tc>
      </w:tr>
      <w:tr w14:paraId="38C9E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69" w:type="pct"/>
            <w:vAlign w:val="center"/>
          </w:tcPr>
          <w:p w14:paraId="7C6130E3">
            <w:pPr>
              <w:pStyle w:val="31"/>
              <w:rPr>
                <w:bCs/>
              </w:rPr>
            </w:pPr>
            <w:r>
              <w:rPr>
                <w:bCs/>
              </w:rPr>
              <w:t>《工业企业厂界环境噪声排放标准》（GB 12348-2008）</w:t>
            </w:r>
          </w:p>
        </w:tc>
        <w:tc>
          <w:tcPr>
            <w:tcW w:w="644" w:type="pct"/>
            <w:vAlign w:val="center"/>
          </w:tcPr>
          <w:p w14:paraId="379D75B8">
            <w:pPr>
              <w:pStyle w:val="31"/>
              <w:rPr>
                <w:bCs/>
              </w:rPr>
            </w:pPr>
            <w:r>
              <w:rPr>
                <w:rFonts w:hint="eastAsia"/>
                <w:bCs/>
              </w:rPr>
              <w:t>2</w:t>
            </w:r>
            <w:r>
              <w:rPr>
                <w:bCs/>
              </w:rPr>
              <w:t>类</w:t>
            </w:r>
          </w:p>
        </w:tc>
        <w:tc>
          <w:tcPr>
            <w:tcW w:w="847" w:type="pct"/>
            <w:vAlign w:val="center"/>
          </w:tcPr>
          <w:p w14:paraId="2EB9D40F">
            <w:pPr>
              <w:pStyle w:val="31"/>
            </w:pPr>
            <w:r>
              <w:rPr>
                <w:rFonts w:hint="eastAsia"/>
              </w:rPr>
              <w:t>60</w:t>
            </w:r>
          </w:p>
        </w:tc>
        <w:tc>
          <w:tcPr>
            <w:tcW w:w="838" w:type="pct"/>
            <w:vAlign w:val="center"/>
          </w:tcPr>
          <w:p w14:paraId="2A09107A">
            <w:pPr>
              <w:pStyle w:val="31"/>
            </w:pPr>
            <w:r>
              <w:t>5</w:t>
            </w:r>
            <w:r>
              <w:rPr>
                <w:rFonts w:hint="eastAsia"/>
              </w:rPr>
              <w:t>0</w:t>
            </w:r>
          </w:p>
        </w:tc>
      </w:tr>
    </w:tbl>
    <w:p w14:paraId="1D5BD93C">
      <w:pPr>
        <w:pStyle w:val="36"/>
      </w:pPr>
      <w:r>
        <w:rPr>
          <w:rFonts w:hint="eastAsia"/>
        </w:rPr>
        <w:t>2.4.3.4固体废物</w:t>
      </w:r>
    </w:p>
    <w:p w14:paraId="372AE86A">
      <w:pPr>
        <w:pStyle w:val="21"/>
        <w:ind w:firstLine="480"/>
      </w:pPr>
      <w:r>
        <w:t>固体废物分类及危险废物辨识按《国家危险废物名录》（202</w:t>
      </w:r>
      <w:r>
        <w:rPr>
          <w:rFonts w:hint="eastAsia"/>
          <w:lang w:val="en-US" w:eastAsia="zh-CN"/>
        </w:rPr>
        <w:t>5</w:t>
      </w:r>
      <w:r>
        <w:t>年版）及《固体废物鉴别标准 通则》(GB 34330-2017)、《危险废物鉴别标准》（GB 5085.1~7）的有关规定执行。</w:t>
      </w:r>
    </w:p>
    <w:p w14:paraId="2EB06305">
      <w:pPr>
        <w:pStyle w:val="21"/>
        <w:ind w:firstLine="480"/>
      </w:pPr>
      <w:r>
        <w:t>一般工业固体废物贮存执行</w:t>
      </w:r>
      <w:bookmarkStart w:id="65" w:name="_Hlk59022914"/>
      <w:r>
        <w:t>《一般工业固体废物贮存和填埋污染控制标准》（GB18599-2020）</w:t>
      </w:r>
      <w:bookmarkEnd w:id="65"/>
      <w:r>
        <w:t>的规定。危险废物贮存执行《危险废物贮存污染控制标准》（GB18597-2023）和《危险废物收集贮存运输技术规范》（HJ 2025-2012）相关标准。</w:t>
      </w:r>
    </w:p>
    <w:p w14:paraId="1511ADA3">
      <w:pPr>
        <w:pStyle w:val="28"/>
      </w:pPr>
      <w:bookmarkStart w:id="66" w:name="_Toc13855"/>
      <w:r>
        <w:rPr>
          <w:rFonts w:hint="eastAsia"/>
        </w:rPr>
        <w:t>2.5评价工作等级和评价范围</w:t>
      </w:r>
      <w:bookmarkEnd w:id="66"/>
    </w:p>
    <w:p w14:paraId="07E3EC23">
      <w:pPr>
        <w:pStyle w:val="33"/>
      </w:pPr>
      <w:bookmarkStart w:id="67" w:name="_Toc7359"/>
      <w:bookmarkStart w:id="68" w:name="_Toc15860"/>
      <w:r>
        <w:rPr>
          <w:rFonts w:hint="eastAsia"/>
        </w:rPr>
        <w:t>2.5.1大气环境影响评价工作等级及评价范围</w:t>
      </w:r>
      <w:bookmarkEnd w:id="67"/>
      <w:bookmarkEnd w:id="68"/>
    </w:p>
    <w:p w14:paraId="3386DC6F">
      <w:pPr>
        <w:pStyle w:val="21"/>
        <w:ind w:firstLine="482"/>
        <w:rPr>
          <w:b/>
          <w:bCs/>
        </w:rPr>
      </w:pPr>
      <w:r>
        <w:rPr>
          <w:b/>
          <w:bCs/>
        </w:rPr>
        <w:t>1、大气环境影响评价等级</w:t>
      </w:r>
    </w:p>
    <w:p w14:paraId="57C3544E">
      <w:pPr>
        <w:pStyle w:val="21"/>
        <w:ind w:firstLine="480"/>
      </w:pPr>
      <w:r>
        <w:t>根据《环境影响评价技术导则  大气环境》（HJ2.2-2018）的规定，选择项目污染源正常排放的主要污染物及排放参数，采用附录A推荐模型中的估算模型AERSCREEN分别计算项目污染源的最大环境影响，然后按评价工作分级判据进行分级。</w:t>
      </w:r>
    </w:p>
    <w:p w14:paraId="7B862733">
      <w:pPr>
        <w:pStyle w:val="21"/>
        <w:ind w:firstLine="480"/>
      </w:pPr>
      <w:r>
        <w:t>根据项目污染源初步调查结果，分别计算项目排放的主要污染物的最大地面空气质量浓度占标率P</w:t>
      </w:r>
      <w:r>
        <w:rPr>
          <w:vertAlign w:val="subscript"/>
        </w:rPr>
        <w:t>i</w:t>
      </w:r>
      <w:r>
        <w:t>及第i个污染物的地面空气质量浓度达到标准值的10%时所对应的最远距离D</w:t>
      </w:r>
      <w:r>
        <w:rPr>
          <w:vertAlign w:val="subscript"/>
        </w:rPr>
        <w:t>10%</w:t>
      </w:r>
      <w:r>
        <w:t>。其中，最大地面质量浓度占标率P</w:t>
      </w:r>
      <w:r>
        <w:rPr>
          <w:vertAlign w:val="subscript"/>
        </w:rPr>
        <w:t>i</w:t>
      </w:r>
      <w:r>
        <w:t>计算公式如下：</w:t>
      </w:r>
    </w:p>
    <w:p w14:paraId="649ABAD3">
      <w:pPr>
        <w:pStyle w:val="21"/>
        <w:ind w:firstLine="480"/>
      </w:pPr>
      <m:oMathPara>
        <m:oMath>
          <m:sSub>
            <m:sSubPr>
              <m:ctrlPr>
                <w:rPr>
                  <w:rFonts w:hint="default" w:ascii="Cambria Math" w:hAnsi="Cambria Math" w:cs="Times New Roman"/>
                  <w:lang w:val="zh-CN"/>
                </w:rPr>
              </m:ctrlPr>
            </m:sSubPr>
            <m:e>
              <m:r>
                <m:rPr>
                  <m:sty m:val="p"/>
                </m:rPr>
                <w:rPr>
                  <w:rFonts w:hint="default" w:ascii="Cambria Math" w:hAnsi="Cambria Math" w:cs="Times New Roman"/>
                  <w:lang w:val="zh-CN"/>
                </w:rPr>
                <m:t>P</m:t>
              </m:r>
              <m:ctrlPr>
                <w:rPr>
                  <w:rFonts w:hint="default" w:ascii="Cambria Math" w:hAnsi="Cambria Math" w:cs="Times New Roman"/>
                  <w:lang w:val="zh-CN"/>
                </w:rPr>
              </m:ctrlPr>
            </m:e>
            <m:sub>
              <m:r>
                <m:rPr>
                  <m:sty m:val="p"/>
                </m:rPr>
                <w:rPr>
                  <w:rFonts w:hint="default" w:ascii="Cambria Math" w:hAnsi="Cambria Math" w:cs="Times New Roman"/>
                  <w:lang w:val="zh-CN"/>
                </w:rPr>
                <m:t>i</m:t>
              </m:r>
              <m:ctrlPr>
                <w:rPr>
                  <w:rFonts w:hint="default" w:ascii="Cambria Math" w:hAnsi="Cambria Math" w:cs="Times New Roman"/>
                  <w:lang w:val="zh-CN"/>
                </w:rPr>
              </m:ctrlPr>
            </m:sub>
          </m:sSub>
          <m:r>
            <m:rPr>
              <m:sty m:val="p"/>
            </m:rPr>
            <w:rPr>
              <w:rFonts w:hint="default" w:ascii="Cambria Math" w:hAnsi="Cambria Math" w:cs="Times New Roman"/>
              <w:lang w:val="zh-CN"/>
            </w:rPr>
            <m:t>=</m:t>
          </m:r>
          <m:f>
            <m:fPr>
              <m:ctrlPr>
                <w:rPr>
                  <w:rFonts w:hint="default" w:ascii="Cambria Math" w:hAnsi="Cambria Math" w:cs="Times New Roman"/>
                  <w:lang w:val="zh-CN"/>
                </w:rPr>
              </m:ctrlPr>
            </m:fPr>
            <m:num>
              <m:sSub>
                <m:sSubPr>
                  <m:ctrlPr>
                    <w:rPr>
                      <w:rFonts w:hint="default" w:ascii="Cambria Math" w:hAnsi="Cambria Math" w:cs="Times New Roman"/>
                      <w:lang w:val="zh-CN"/>
                    </w:rPr>
                  </m:ctrlPr>
                </m:sSubPr>
                <m:e>
                  <m:r>
                    <m:rPr>
                      <m:sty m:val="p"/>
                    </m:rPr>
                    <w:rPr>
                      <w:rFonts w:hint="default" w:ascii="Cambria Math" w:hAnsi="Cambria Math" w:cs="Times New Roman"/>
                      <w:lang w:val="zh-CN"/>
                    </w:rPr>
                    <m:t>C</m:t>
                  </m:r>
                  <m:ctrlPr>
                    <w:rPr>
                      <w:rFonts w:hint="default" w:ascii="Cambria Math" w:hAnsi="Cambria Math" w:cs="Times New Roman"/>
                      <w:lang w:val="zh-CN"/>
                    </w:rPr>
                  </m:ctrlPr>
                </m:e>
                <m:sub>
                  <m:r>
                    <m:rPr>
                      <m:sty m:val="p"/>
                    </m:rPr>
                    <w:rPr>
                      <w:rFonts w:hint="default" w:ascii="Cambria Math" w:hAnsi="Cambria Math" w:cs="Times New Roman"/>
                      <w:lang w:val="zh-CN"/>
                    </w:rPr>
                    <m:t>i</m:t>
                  </m:r>
                  <m:ctrlPr>
                    <w:rPr>
                      <w:rFonts w:hint="default" w:ascii="Cambria Math" w:hAnsi="Cambria Math" w:cs="Times New Roman"/>
                      <w:lang w:val="zh-CN"/>
                    </w:rPr>
                  </m:ctrlPr>
                </m:sub>
              </m:sSub>
              <m:ctrlPr>
                <w:rPr>
                  <w:rFonts w:hint="default" w:ascii="Cambria Math" w:hAnsi="Cambria Math" w:cs="Times New Roman"/>
                  <w:lang w:val="zh-CN"/>
                </w:rPr>
              </m:ctrlPr>
            </m:num>
            <m:den>
              <m:sSub>
                <m:sSubPr>
                  <m:ctrlPr>
                    <w:rPr>
                      <w:rFonts w:hint="default" w:ascii="Cambria Math" w:hAnsi="Cambria Math" w:cs="Times New Roman"/>
                      <w:lang w:val="zh-CN"/>
                    </w:rPr>
                  </m:ctrlPr>
                </m:sSubPr>
                <m:e>
                  <m:r>
                    <m:rPr>
                      <m:sty m:val="p"/>
                    </m:rPr>
                    <w:rPr>
                      <w:rFonts w:hint="default" w:ascii="Cambria Math" w:hAnsi="Cambria Math" w:cs="Times New Roman"/>
                      <w:lang w:val="zh-CN"/>
                    </w:rPr>
                    <m:t>C</m:t>
                  </m:r>
                  <m:ctrlPr>
                    <w:rPr>
                      <w:rFonts w:hint="default" w:ascii="Cambria Math" w:hAnsi="Cambria Math" w:cs="Times New Roman"/>
                      <w:lang w:val="zh-CN"/>
                    </w:rPr>
                  </m:ctrlPr>
                </m:e>
                <m:sub>
                  <m:r>
                    <m:rPr>
                      <m:sty m:val="p"/>
                    </m:rPr>
                    <w:rPr>
                      <w:rFonts w:hint="default" w:ascii="Cambria Math" w:hAnsi="Cambria Math" w:cs="Times New Roman"/>
                      <w:lang w:val="zh-CN"/>
                    </w:rPr>
                    <m:t>0i</m:t>
                  </m:r>
                  <m:ctrlPr>
                    <w:rPr>
                      <w:rFonts w:hint="default" w:ascii="Cambria Math" w:hAnsi="Cambria Math" w:cs="Times New Roman"/>
                      <w:lang w:val="zh-CN"/>
                    </w:rPr>
                  </m:ctrlPr>
                </m:sub>
              </m:sSub>
              <m:ctrlPr>
                <w:rPr>
                  <w:rFonts w:hint="default" w:ascii="Cambria Math" w:hAnsi="Cambria Math" w:cs="Times New Roman"/>
                  <w:lang w:val="zh-CN"/>
                </w:rPr>
              </m:ctrlPr>
            </m:den>
          </m:f>
          <m:r>
            <m:rPr>
              <m:sty m:val="p"/>
            </m:rPr>
            <w:rPr>
              <w:rFonts w:hint="default" w:ascii="Cambria Math" w:hAnsi="Cambria Math" w:cs="Times New Roman"/>
              <w:lang w:val="zh-CN"/>
            </w:rPr>
            <m:t>脳100%</m:t>
          </m:r>
        </m:oMath>
      </m:oMathPara>
    </w:p>
    <w:p w14:paraId="1EFE0EB1">
      <w:pPr>
        <w:pStyle w:val="21"/>
        <w:ind w:firstLine="480"/>
      </w:pPr>
      <w:r>
        <w:t>式中：P</w:t>
      </w:r>
      <w:r>
        <w:rPr>
          <w:vertAlign w:val="subscript"/>
        </w:rPr>
        <w:t>i</w:t>
      </w:r>
      <w:r>
        <w:t>—第i个污染物的最大地面质量浓度占标率，%；</w:t>
      </w:r>
    </w:p>
    <w:p w14:paraId="13864E35">
      <w:pPr>
        <w:pStyle w:val="21"/>
        <w:ind w:firstLine="480"/>
      </w:pPr>
      <w:r>
        <w:t>C</w:t>
      </w:r>
      <w:r>
        <w:rPr>
          <w:vertAlign w:val="subscript"/>
        </w:rPr>
        <w:t>i</w:t>
      </w:r>
      <w:r>
        <w:t>—采用估算模式计算出的第i个污染物的最大1h地面空气质量浓度，μg/m3；</w:t>
      </w:r>
    </w:p>
    <w:p w14:paraId="2272F9AF">
      <w:pPr>
        <w:pStyle w:val="21"/>
        <w:ind w:firstLine="480"/>
      </w:pPr>
      <w:r>
        <w:t>C</w:t>
      </w:r>
      <w:r>
        <w:rPr>
          <w:vertAlign w:val="subscript"/>
        </w:rPr>
        <w:t>oi</w:t>
      </w:r>
      <w:r>
        <w:t>－第i个污染物的环境空气质量浓度标准，μg/m3。</w:t>
      </w:r>
    </w:p>
    <w:p w14:paraId="2FE16B6B">
      <w:pPr>
        <w:pStyle w:val="21"/>
        <w:ind w:firstLine="480"/>
      </w:pPr>
      <w:r>
        <w:t>大气评价等级按下表的分级判据进行划分。</w:t>
      </w:r>
    </w:p>
    <w:p w14:paraId="75E2AE3A">
      <w:pPr>
        <w:pStyle w:val="21"/>
        <w:ind w:firstLine="480"/>
      </w:pPr>
      <w:r>
        <w:t>大气评价工作分级依据见下表。</w:t>
      </w:r>
    </w:p>
    <w:p w14:paraId="1442D66B">
      <w:pPr>
        <w:pStyle w:val="23"/>
      </w:pPr>
      <w:r>
        <w:t>表</w:t>
      </w:r>
      <w:r>
        <w:rPr>
          <w:rFonts w:hint="eastAsia"/>
        </w:rPr>
        <w:t>2.5-1</w:t>
      </w:r>
      <w:r>
        <w:t xml:space="preserve">  评价等级判别表</w:t>
      </w:r>
    </w:p>
    <w:tbl>
      <w:tblPr>
        <w:tblStyle w:val="15"/>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77"/>
        <w:gridCol w:w="5927"/>
      </w:tblGrid>
      <w:tr w14:paraId="5D56C6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2" w:type="dxa"/>
            <w:tcBorders>
              <w:top w:val="single" w:color="auto" w:sz="4" w:space="0"/>
              <w:left w:val="single" w:color="auto" w:sz="4" w:space="0"/>
            </w:tcBorders>
            <w:vAlign w:val="center"/>
          </w:tcPr>
          <w:p w14:paraId="63287759">
            <w:pPr>
              <w:pStyle w:val="31"/>
            </w:pPr>
            <w:r>
              <w:t>评价工作等级</w:t>
            </w:r>
          </w:p>
        </w:tc>
        <w:tc>
          <w:tcPr>
            <w:tcW w:w="6329" w:type="dxa"/>
            <w:tcBorders>
              <w:top w:val="single" w:color="auto" w:sz="4" w:space="0"/>
              <w:right w:val="single" w:color="auto" w:sz="4" w:space="0"/>
            </w:tcBorders>
            <w:vAlign w:val="center"/>
          </w:tcPr>
          <w:p w14:paraId="22777F2E">
            <w:pPr>
              <w:pStyle w:val="31"/>
            </w:pPr>
            <w:r>
              <w:t>评价工作分级判据</w:t>
            </w:r>
          </w:p>
        </w:tc>
      </w:tr>
      <w:tr w14:paraId="553221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2" w:type="dxa"/>
            <w:tcBorders>
              <w:left w:val="single" w:color="auto" w:sz="4" w:space="0"/>
            </w:tcBorders>
            <w:vAlign w:val="center"/>
          </w:tcPr>
          <w:p w14:paraId="64FB9F3A">
            <w:pPr>
              <w:pStyle w:val="31"/>
            </w:pPr>
            <w:r>
              <w:t>一级</w:t>
            </w:r>
          </w:p>
        </w:tc>
        <w:tc>
          <w:tcPr>
            <w:tcW w:w="6329" w:type="dxa"/>
            <w:tcBorders>
              <w:right w:val="single" w:color="auto" w:sz="4" w:space="0"/>
            </w:tcBorders>
            <w:vAlign w:val="center"/>
          </w:tcPr>
          <w:p w14:paraId="2418599A">
            <w:pPr>
              <w:pStyle w:val="31"/>
            </w:pPr>
            <w:r>
              <w:t>Pmax ≥ 10%</w:t>
            </w:r>
          </w:p>
        </w:tc>
      </w:tr>
      <w:tr w14:paraId="7327E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2" w:type="dxa"/>
            <w:tcBorders>
              <w:left w:val="single" w:color="auto" w:sz="4" w:space="0"/>
            </w:tcBorders>
            <w:vAlign w:val="center"/>
          </w:tcPr>
          <w:p w14:paraId="7F2E44C1">
            <w:pPr>
              <w:pStyle w:val="31"/>
            </w:pPr>
            <w:r>
              <w:t>二级</w:t>
            </w:r>
          </w:p>
        </w:tc>
        <w:tc>
          <w:tcPr>
            <w:tcW w:w="6329" w:type="dxa"/>
            <w:tcBorders>
              <w:right w:val="single" w:color="auto" w:sz="4" w:space="0"/>
            </w:tcBorders>
            <w:vAlign w:val="center"/>
          </w:tcPr>
          <w:p w14:paraId="2D10A8C9">
            <w:pPr>
              <w:pStyle w:val="31"/>
            </w:pPr>
            <w:r>
              <w:t>1 ≤ Pmax﹤10%</w:t>
            </w:r>
          </w:p>
        </w:tc>
      </w:tr>
      <w:tr w14:paraId="530C98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42" w:type="dxa"/>
            <w:tcBorders>
              <w:left w:val="single" w:color="auto" w:sz="4" w:space="0"/>
              <w:bottom w:val="single" w:color="auto" w:sz="4" w:space="0"/>
            </w:tcBorders>
            <w:vAlign w:val="center"/>
          </w:tcPr>
          <w:p w14:paraId="5CC1F71D">
            <w:pPr>
              <w:pStyle w:val="31"/>
            </w:pPr>
            <w:r>
              <w:t>三级</w:t>
            </w:r>
          </w:p>
        </w:tc>
        <w:tc>
          <w:tcPr>
            <w:tcW w:w="6329" w:type="dxa"/>
            <w:tcBorders>
              <w:bottom w:val="single" w:color="auto" w:sz="4" w:space="0"/>
              <w:right w:val="single" w:color="auto" w:sz="4" w:space="0"/>
            </w:tcBorders>
            <w:vAlign w:val="center"/>
          </w:tcPr>
          <w:p w14:paraId="18320C3F">
            <w:pPr>
              <w:pStyle w:val="31"/>
            </w:pPr>
            <w:r>
              <w:t>Pmax﹤1%</w:t>
            </w:r>
          </w:p>
        </w:tc>
      </w:tr>
    </w:tbl>
    <w:p w14:paraId="253A3834">
      <w:pPr>
        <w:pStyle w:val="21"/>
        <w:bidi w:val="0"/>
        <w:rPr>
          <w:rFonts w:hint="eastAsia"/>
        </w:rPr>
      </w:pPr>
      <w:r>
        <w:t>本项目估算模型参数见下表。</w:t>
      </w:r>
    </w:p>
    <w:p w14:paraId="458AF204">
      <w:pPr>
        <w:pStyle w:val="23"/>
        <w:rPr>
          <w:snapToGrid w:val="0"/>
        </w:rPr>
      </w:pPr>
      <w:r>
        <w:rPr>
          <w:rFonts w:cs="Times New Roman"/>
          <w:snapToGrid w:val="0"/>
        </w:rPr>
        <w:t>表</w:t>
      </w:r>
      <w:r>
        <w:rPr>
          <w:rFonts w:hint="eastAsia" w:cs="Times New Roman"/>
          <w:snapToGrid w:val="0"/>
        </w:rPr>
        <w:t>2</w:t>
      </w:r>
      <w:r>
        <w:rPr>
          <w:rFonts w:cs="Times New Roman"/>
          <w:snapToGrid w:val="0"/>
        </w:rPr>
        <w:t>.5-2项</w:t>
      </w:r>
      <w:r>
        <w:rPr>
          <w:snapToGrid w:val="0"/>
        </w:rPr>
        <w:t>目估算模型参数表</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7"/>
        <w:gridCol w:w="3107"/>
        <w:gridCol w:w="2516"/>
      </w:tblGrid>
      <w:tr w14:paraId="01D67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523" w:type="pct"/>
            <w:gridSpan w:val="2"/>
            <w:vAlign w:val="center"/>
          </w:tcPr>
          <w:p w14:paraId="7E735618">
            <w:pPr>
              <w:pStyle w:val="31"/>
            </w:pPr>
            <w:r>
              <w:t>参数</w:t>
            </w:r>
          </w:p>
        </w:tc>
        <w:tc>
          <w:tcPr>
            <w:tcW w:w="1476" w:type="pct"/>
            <w:vAlign w:val="center"/>
          </w:tcPr>
          <w:p w14:paraId="29BAE456">
            <w:pPr>
              <w:pStyle w:val="31"/>
            </w:pPr>
            <w:r>
              <w:t>取值</w:t>
            </w:r>
          </w:p>
        </w:tc>
      </w:tr>
      <w:tr w14:paraId="65C72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1B895258">
            <w:pPr>
              <w:pStyle w:val="31"/>
            </w:pPr>
            <w:r>
              <w:t>城市/农村选项</w:t>
            </w:r>
          </w:p>
        </w:tc>
        <w:tc>
          <w:tcPr>
            <w:tcW w:w="1822" w:type="pct"/>
            <w:vAlign w:val="center"/>
          </w:tcPr>
          <w:p w14:paraId="7E28B649">
            <w:pPr>
              <w:pStyle w:val="31"/>
            </w:pPr>
            <w:r>
              <w:t>城市/农村</w:t>
            </w:r>
          </w:p>
        </w:tc>
        <w:tc>
          <w:tcPr>
            <w:tcW w:w="1476" w:type="pct"/>
            <w:vAlign w:val="center"/>
          </w:tcPr>
          <w:p w14:paraId="7AE607D3">
            <w:pPr>
              <w:pStyle w:val="31"/>
            </w:pPr>
            <w:r>
              <w:rPr>
                <w:rFonts w:hint="eastAsia" w:ascii="宋体" w:hAnsi="宋体" w:cs="宋体"/>
              </w:rPr>
              <w:t>农村</w:t>
            </w:r>
          </w:p>
        </w:tc>
      </w:tr>
      <w:tr w14:paraId="1712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25108322">
            <w:pPr>
              <w:pStyle w:val="31"/>
            </w:pPr>
          </w:p>
        </w:tc>
        <w:tc>
          <w:tcPr>
            <w:tcW w:w="1822" w:type="pct"/>
            <w:vAlign w:val="center"/>
          </w:tcPr>
          <w:p w14:paraId="05838453">
            <w:pPr>
              <w:pStyle w:val="31"/>
            </w:pPr>
            <w:r>
              <w:t>人口数（城市选项时）</w:t>
            </w:r>
          </w:p>
        </w:tc>
        <w:tc>
          <w:tcPr>
            <w:tcW w:w="1476" w:type="pct"/>
            <w:shd w:val="clear" w:color="auto" w:fill="auto"/>
            <w:vAlign w:val="center"/>
          </w:tcPr>
          <w:p w14:paraId="217816E2">
            <w:pPr>
              <w:pStyle w:val="31"/>
            </w:pPr>
            <w:r>
              <w:rPr>
                <w:rFonts w:eastAsia="Times New Roman"/>
              </w:rPr>
              <w:t>/</w:t>
            </w:r>
          </w:p>
        </w:tc>
      </w:tr>
      <w:tr w14:paraId="5F38F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3DEFD461">
            <w:pPr>
              <w:pStyle w:val="31"/>
            </w:pPr>
            <w:r>
              <w:t>最高环境温度/℃</w:t>
            </w:r>
          </w:p>
        </w:tc>
        <w:tc>
          <w:tcPr>
            <w:tcW w:w="1476" w:type="pct"/>
            <w:shd w:val="clear" w:color="auto" w:fill="auto"/>
            <w:vAlign w:val="center"/>
          </w:tcPr>
          <w:p w14:paraId="34B357B8">
            <w:pPr>
              <w:pStyle w:val="31"/>
              <w:rPr>
                <w:rFonts w:cs="Times New Roman"/>
              </w:rPr>
            </w:pPr>
            <w:r>
              <w:rPr>
                <w:rFonts w:hint="eastAsia" w:cs="Times New Roman"/>
                <w:color w:val="000000"/>
              </w:rPr>
              <w:t>41.30</w:t>
            </w:r>
            <w:r>
              <w:rPr>
                <w:rFonts w:cs="Times New Roman"/>
                <w:color w:val="000000"/>
              </w:rPr>
              <w:t>℃</w:t>
            </w:r>
          </w:p>
        </w:tc>
      </w:tr>
      <w:tr w14:paraId="52F80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275373FE">
            <w:pPr>
              <w:pStyle w:val="31"/>
            </w:pPr>
            <w:r>
              <w:t>最低环境温度/℃</w:t>
            </w:r>
          </w:p>
        </w:tc>
        <w:tc>
          <w:tcPr>
            <w:tcW w:w="1476" w:type="pct"/>
            <w:shd w:val="clear" w:color="auto" w:fill="auto"/>
            <w:vAlign w:val="center"/>
          </w:tcPr>
          <w:p w14:paraId="4795A56C">
            <w:pPr>
              <w:pStyle w:val="31"/>
              <w:rPr>
                <w:rFonts w:cs="Times New Roman"/>
              </w:rPr>
            </w:pPr>
            <w:r>
              <w:rPr>
                <w:rFonts w:cs="Times New Roman"/>
                <w:color w:val="000000"/>
              </w:rPr>
              <w:t>-7.</w:t>
            </w:r>
            <w:r>
              <w:rPr>
                <w:rFonts w:hint="eastAsia" w:cs="Times New Roman"/>
                <w:color w:val="000000"/>
              </w:rPr>
              <w:t>90</w:t>
            </w:r>
            <w:r>
              <w:rPr>
                <w:rFonts w:cs="Times New Roman"/>
                <w:color w:val="000000"/>
              </w:rPr>
              <w:t>℃</w:t>
            </w:r>
          </w:p>
        </w:tc>
      </w:tr>
      <w:tr w14:paraId="2BE95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10D97EB4">
            <w:pPr>
              <w:pStyle w:val="31"/>
            </w:pPr>
            <w:r>
              <w:t>地表类型</w:t>
            </w:r>
          </w:p>
        </w:tc>
        <w:tc>
          <w:tcPr>
            <w:tcW w:w="1476" w:type="pct"/>
            <w:shd w:val="clear" w:color="auto" w:fill="auto"/>
            <w:vAlign w:val="center"/>
          </w:tcPr>
          <w:p w14:paraId="02DE798A">
            <w:pPr>
              <w:pStyle w:val="31"/>
            </w:pPr>
            <w:r>
              <w:rPr>
                <w:rFonts w:hint="eastAsia" w:ascii="宋体" w:hAnsi="宋体" w:cs="宋体"/>
              </w:rPr>
              <w:t>建设用地</w:t>
            </w:r>
            <w:r>
              <w:rPr>
                <w:rFonts w:hint="eastAsia" w:eastAsia="Times New Roman"/>
              </w:rPr>
              <w:t>/</w:t>
            </w:r>
            <w:r>
              <w:rPr>
                <w:rFonts w:hint="eastAsia" w:ascii="宋体" w:hAnsi="宋体" w:cs="宋体"/>
              </w:rPr>
              <w:t>农作地</w:t>
            </w:r>
          </w:p>
        </w:tc>
      </w:tr>
      <w:tr w14:paraId="6444C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31677373">
            <w:pPr>
              <w:pStyle w:val="31"/>
            </w:pPr>
            <w:r>
              <w:t>区域湿度条件</w:t>
            </w:r>
          </w:p>
        </w:tc>
        <w:tc>
          <w:tcPr>
            <w:tcW w:w="1476" w:type="pct"/>
            <w:vAlign w:val="center"/>
          </w:tcPr>
          <w:p w14:paraId="68C4E2FC">
            <w:pPr>
              <w:pStyle w:val="31"/>
            </w:pPr>
            <w:r>
              <w:rPr>
                <w:rFonts w:hint="eastAsia" w:ascii="宋体" w:hAnsi="宋体" w:cs="宋体"/>
              </w:rPr>
              <w:t>潮湿气候</w:t>
            </w:r>
          </w:p>
        </w:tc>
      </w:tr>
      <w:tr w14:paraId="08F87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3C8993A3">
            <w:pPr>
              <w:pStyle w:val="31"/>
            </w:pPr>
            <w:r>
              <w:t>是否考虑地形</w:t>
            </w:r>
          </w:p>
        </w:tc>
        <w:tc>
          <w:tcPr>
            <w:tcW w:w="1822" w:type="pct"/>
            <w:vAlign w:val="center"/>
          </w:tcPr>
          <w:p w14:paraId="04F19BED">
            <w:pPr>
              <w:pStyle w:val="31"/>
            </w:pPr>
            <w:r>
              <w:t>考虑地形</w:t>
            </w:r>
          </w:p>
        </w:tc>
        <w:tc>
          <w:tcPr>
            <w:tcW w:w="1476" w:type="pct"/>
            <w:vAlign w:val="center"/>
          </w:tcPr>
          <w:p w14:paraId="43F7800E">
            <w:pPr>
              <w:pStyle w:val="31"/>
            </w:pPr>
            <w:r>
              <w:rPr>
                <w:rFonts w:hint="eastAsia" w:ascii="宋体" w:hAnsi="宋体" w:cs="宋体"/>
              </w:rPr>
              <w:t>是</w:t>
            </w:r>
          </w:p>
        </w:tc>
      </w:tr>
      <w:tr w14:paraId="4080C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3E46C0CE">
            <w:pPr>
              <w:pStyle w:val="31"/>
            </w:pPr>
          </w:p>
        </w:tc>
        <w:tc>
          <w:tcPr>
            <w:tcW w:w="1822" w:type="pct"/>
            <w:vAlign w:val="center"/>
          </w:tcPr>
          <w:p w14:paraId="3B5F72D5">
            <w:pPr>
              <w:pStyle w:val="31"/>
            </w:pPr>
            <w:r>
              <w:t>地形数据分辨率/m</w:t>
            </w:r>
          </w:p>
        </w:tc>
        <w:tc>
          <w:tcPr>
            <w:tcW w:w="1476" w:type="pct"/>
            <w:vAlign w:val="center"/>
          </w:tcPr>
          <w:p w14:paraId="57C5209B">
            <w:pPr>
              <w:pStyle w:val="31"/>
            </w:pPr>
            <w:r>
              <w:rPr>
                <w:rFonts w:cs="Times New Roman"/>
              </w:rPr>
              <w:t>90</w:t>
            </w:r>
          </w:p>
        </w:tc>
      </w:tr>
      <w:tr w14:paraId="17C0D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26A84F2A">
            <w:pPr>
              <w:pStyle w:val="31"/>
            </w:pPr>
            <w:r>
              <w:t>是否考虑岸线熏烟</w:t>
            </w:r>
          </w:p>
        </w:tc>
        <w:tc>
          <w:tcPr>
            <w:tcW w:w="1822" w:type="pct"/>
            <w:vAlign w:val="center"/>
          </w:tcPr>
          <w:p w14:paraId="21F1D028">
            <w:pPr>
              <w:pStyle w:val="31"/>
            </w:pPr>
            <w:r>
              <w:t>考虑岸线熏烟</w:t>
            </w:r>
          </w:p>
        </w:tc>
        <w:tc>
          <w:tcPr>
            <w:tcW w:w="1476" w:type="pct"/>
            <w:vAlign w:val="center"/>
          </w:tcPr>
          <w:p w14:paraId="54CB5676">
            <w:pPr>
              <w:pStyle w:val="31"/>
            </w:pPr>
            <w:r>
              <w:rPr>
                <w:rFonts w:eastAsia="Times New Roman"/>
              </w:rPr>
              <w:t>——</w:t>
            </w:r>
          </w:p>
        </w:tc>
      </w:tr>
      <w:tr w14:paraId="366AE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5BBBC698">
            <w:pPr>
              <w:pStyle w:val="31"/>
            </w:pPr>
          </w:p>
        </w:tc>
        <w:tc>
          <w:tcPr>
            <w:tcW w:w="1822" w:type="pct"/>
            <w:vAlign w:val="center"/>
          </w:tcPr>
          <w:p w14:paraId="4DBE9CFE">
            <w:pPr>
              <w:pStyle w:val="31"/>
            </w:pPr>
            <w:r>
              <w:t>岸线距离/km</w:t>
            </w:r>
          </w:p>
        </w:tc>
        <w:tc>
          <w:tcPr>
            <w:tcW w:w="1476" w:type="pct"/>
            <w:vAlign w:val="center"/>
          </w:tcPr>
          <w:p w14:paraId="2499AC12">
            <w:pPr>
              <w:pStyle w:val="31"/>
            </w:pPr>
            <w:r>
              <w:rPr>
                <w:rFonts w:eastAsia="Times New Roman"/>
              </w:rPr>
              <w:t>——</w:t>
            </w:r>
          </w:p>
        </w:tc>
      </w:tr>
      <w:tr w14:paraId="4B89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3D79049C">
            <w:pPr>
              <w:pStyle w:val="31"/>
            </w:pPr>
          </w:p>
        </w:tc>
        <w:tc>
          <w:tcPr>
            <w:tcW w:w="1822" w:type="pct"/>
            <w:vAlign w:val="center"/>
          </w:tcPr>
          <w:p w14:paraId="66B29D93">
            <w:pPr>
              <w:pStyle w:val="31"/>
            </w:pPr>
            <w:r>
              <w:t>岸线方向/°</w:t>
            </w:r>
          </w:p>
        </w:tc>
        <w:tc>
          <w:tcPr>
            <w:tcW w:w="1476" w:type="pct"/>
            <w:vAlign w:val="center"/>
          </w:tcPr>
          <w:p w14:paraId="6D54067D">
            <w:pPr>
              <w:pStyle w:val="31"/>
            </w:pPr>
            <w:r>
              <w:rPr>
                <w:rFonts w:eastAsia="Times New Roman"/>
              </w:rPr>
              <w:t>——</w:t>
            </w:r>
          </w:p>
        </w:tc>
      </w:tr>
    </w:tbl>
    <w:p w14:paraId="009B2E6A">
      <w:pPr>
        <w:pStyle w:val="21"/>
        <w:bidi w:val="0"/>
        <w:rPr>
          <w:rFonts w:hint="eastAsia"/>
          <w:spacing w:val="6"/>
          <w:szCs w:val="24"/>
        </w:rPr>
      </w:pPr>
      <w:r>
        <w:rPr>
          <w:spacing w:val="6"/>
          <w:szCs w:val="24"/>
        </w:rPr>
        <w:t>本项目</w:t>
      </w:r>
      <w:r>
        <w:rPr>
          <w:rFonts w:hint="eastAsia"/>
          <w:spacing w:val="6"/>
          <w:szCs w:val="24"/>
        </w:rPr>
        <w:t>选取有大气环境质量标准限值的污染物进行估算，</w:t>
      </w:r>
      <w:r>
        <w:rPr>
          <w:spacing w:val="6"/>
          <w:szCs w:val="24"/>
        </w:rPr>
        <w:t>估算模式预测所采用的有组织和无组织污染源强分别见表</w:t>
      </w:r>
      <w:r>
        <w:rPr>
          <w:rFonts w:hint="eastAsia" w:ascii="Times New Roman" w:hAnsi="Times New Roman" w:cs="Times New Roman"/>
          <w:spacing w:val="6"/>
          <w:szCs w:val="24"/>
        </w:rPr>
        <w:t>5.2-3</w:t>
      </w:r>
      <w:r>
        <w:rPr>
          <w:rFonts w:ascii="Times New Roman" w:hAnsi="Times New Roman" w:cs="Times New Roman"/>
          <w:spacing w:val="6"/>
          <w:szCs w:val="24"/>
        </w:rPr>
        <w:t>。</w:t>
      </w:r>
      <w:r>
        <w:rPr>
          <w:spacing w:val="6"/>
          <w:szCs w:val="24"/>
        </w:rPr>
        <w:t>项目污染源估算模型计算结果见下表。</w:t>
      </w:r>
    </w:p>
    <w:p w14:paraId="5C503B20">
      <w:pPr>
        <w:pStyle w:val="53"/>
        <w:spacing w:line="360" w:lineRule="auto"/>
        <w:rPr>
          <w:sz w:val="24"/>
          <w:szCs w:val="24"/>
        </w:rPr>
      </w:pPr>
      <w:r>
        <w:rPr>
          <w:sz w:val="24"/>
          <w:szCs w:val="24"/>
        </w:rPr>
        <w:t>表</w:t>
      </w:r>
      <w:r>
        <w:rPr>
          <w:rFonts w:hint="eastAsia"/>
          <w:sz w:val="24"/>
          <w:szCs w:val="24"/>
        </w:rPr>
        <w:t>1.5-3</w:t>
      </w:r>
      <w:r>
        <w:rPr>
          <w:sz w:val="24"/>
          <w:szCs w:val="24"/>
        </w:rPr>
        <w:t xml:space="preserve"> 大气环境影响评价等级结果</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83"/>
        <w:gridCol w:w="694"/>
        <w:gridCol w:w="1758"/>
        <w:gridCol w:w="1117"/>
        <w:gridCol w:w="1758"/>
        <w:gridCol w:w="1117"/>
      </w:tblGrid>
      <w:tr w14:paraId="57A4F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Merge w:val="restart"/>
            <w:vAlign w:val="center"/>
          </w:tcPr>
          <w:p w14:paraId="416D04FD">
            <w:pPr>
              <w:pStyle w:val="31"/>
              <w:bidi w:val="0"/>
              <w:jc w:val="center"/>
              <w:rPr>
                <w:rFonts w:hint="default"/>
                <w:lang w:val="en-US" w:eastAsia="zh-CN"/>
              </w:rPr>
            </w:pPr>
            <w:r>
              <w:rPr>
                <w:rFonts w:hint="eastAsia"/>
                <w:lang w:val="en-US" w:eastAsia="zh-CN"/>
              </w:rPr>
              <w:t>序号</w:t>
            </w:r>
          </w:p>
        </w:tc>
        <w:tc>
          <w:tcPr>
            <w:tcW w:w="811" w:type="pct"/>
            <w:vMerge w:val="restart"/>
            <w:vAlign w:val="center"/>
          </w:tcPr>
          <w:p w14:paraId="09949FA7">
            <w:pPr>
              <w:pStyle w:val="31"/>
              <w:bidi w:val="0"/>
              <w:jc w:val="center"/>
              <w:rPr>
                <w:rFonts w:hint="default"/>
                <w:lang w:val="en-US" w:eastAsia="zh-CN"/>
              </w:rPr>
            </w:pPr>
            <w:r>
              <w:rPr>
                <w:rFonts w:hint="eastAsia"/>
                <w:lang w:val="en-US" w:eastAsia="zh-CN"/>
              </w:rPr>
              <w:t>污染源名称</w:t>
            </w:r>
          </w:p>
        </w:tc>
        <w:tc>
          <w:tcPr>
            <w:tcW w:w="407" w:type="pct"/>
            <w:vMerge w:val="restart"/>
            <w:vAlign w:val="center"/>
          </w:tcPr>
          <w:p w14:paraId="5D604380">
            <w:pPr>
              <w:pStyle w:val="31"/>
              <w:bidi w:val="0"/>
              <w:jc w:val="center"/>
              <w:rPr>
                <w:rFonts w:hint="eastAsia"/>
                <w:lang w:val="en-US" w:eastAsia="zh-CN"/>
              </w:rPr>
            </w:pPr>
            <w:r>
              <w:rPr>
                <w:rFonts w:hint="eastAsia"/>
                <w:lang w:val="en-US" w:eastAsia="zh-CN"/>
              </w:rPr>
              <w:t>距离</w:t>
            </w:r>
          </w:p>
          <w:p w14:paraId="34893687">
            <w:pPr>
              <w:pStyle w:val="31"/>
              <w:bidi w:val="0"/>
              <w:jc w:val="center"/>
              <w:rPr>
                <w:rFonts w:hint="default"/>
                <w:lang w:val="en-US" w:eastAsia="zh-CN"/>
              </w:rPr>
            </w:pPr>
            <w:r>
              <w:rPr>
                <w:rFonts w:hint="eastAsia"/>
                <w:lang w:val="en-US" w:eastAsia="zh-CN"/>
              </w:rPr>
              <w:t>m</w:t>
            </w:r>
          </w:p>
        </w:tc>
        <w:tc>
          <w:tcPr>
            <w:tcW w:w="1686" w:type="pct"/>
            <w:gridSpan w:val="2"/>
            <w:vAlign w:val="center"/>
          </w:tcPr>
          <w:p w14:paraId="7CD77DBD">
            <w:pPr>
              <w:pStyle w:val="31"/>
              <w:bidi w:val="0"/>
              <w:jc w:val="center"/>
              <w:rPr>
                <w:rFonts w:hint="default"/>
                <w:lang w:val="en-US" w:eastAsia="zh-CN"/>
              </w:rPr>
            </w:pPr>
            <w:r>
              <w:rPr>
                <w:rFonts w:hint="eastAsia"/>
                <w:lang w:val="en-US" w:eastAsia="zh-CN"/>
              </w:rPr>
              <w:t>TSP</w:t>
            </w:r>
          </w:p>
        </w:tc>
        <w:tc>
          <w:tcPr>
            <w:tcW w:w="1686" w:type="pct"/>
            <w:gridSpan w:val="2"/>
            <w:vAlign w:val="center"/>
          </w:tcPr>
          <w:p w14:paraId="0CA1D99D">
            <w:pPr>
              <w:pStyle w:val="31"/>
              <w:bidi w:val="0"/>
              <w:jc w:val="center"/>
              <w:rPr>
                <w:rFonts w:hint="eastAsia"/>
                <w:lang w:val="en-US" w:eastAsia="zh-CN"/>
              </w:rPr>
            </w:pPr>
            <w:r>
              <w:rPr>
                <w:rFonts w:hint="eastAsia"/>
                <w:lang w:val="en-US" w:eastAsia="zh-CN"/>
              </w:rPr>
              <w:t>NMHC</w:t>
            </w:r>
          </w:p>
        </w:tc>
      </w:tr>
      <w:tr w14:paraId="6C597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Merge w:val="continue"/>
            <w:vAlign w:val="center"/>
          </w:tcPr>
          <w:p w14:paraId="226A8D23">
            <w:pPr>
              <w:pStyle w:val="31"/>
              <w:bidi w:val="0"/>
              <w:jc w:val="center"/>
              <w:rPr>
                <w:rFonts w:hint="default"/>
                <w:lang w:val="en-US" w:eastAsia="zh-CN"/>
              </w:rPr>
            </w:pPr>
          </w:p>
        </w:tc>
        <w:tc>
          <w:tcPr>
            <w:tcW w:w="811" w:type="pct"/>
            <w:vMerge w:val="continue"/>
            <w:vAlign w:val="center"/>
          </w:tcPr>
          <w:p w14:paraId="030E9450">
            <w:pPr>
              <w:pStyle w:val="31"/>
              <w:bidi w:val="0"/>
              <w:jc w:val="center"/>
              <w:rPr>
                <w:rFonts w:hint="default"/>
                <w:lang w:val="en-US" w:eastAsia="zh-CN"/>
              </w:rPr>
            </w:pPr>
          </w:p>
        </w:tc>
        <w:tc>
          <w:tcPr>
            <w:tcW w:w="407" w:type="pct"/>
            <w:vMerge w:val="continue"/>
            <w:vAlign w:val="center"/>
          </w:tcPr>
          <w:p w14:paraId="1D98D90B">
            <w:pPr>
              <w:pStyle w:val="31"/>
              <w:bidi w:val="0"/>
              <w:jc w:val="center"/>
              <w:rPr>
                <w:rFonts w:hint="default"/>
                <w:lang w:val="en-US" w:eastAsia="zh-CN"/>
              </w:rPr>
            </w:pPr>
          </w:p>
        </w:tc>
        <w:tc>
          <w:tcPr>
            <w:tcW w:w="1031" w:type="pct"/>
            <w:vAlign w:val="center"/>
          </w:tcPr>
          <w:p w14:paraId="4B930973">
            <w:pPr>
              <w:pStyle w:val="31"/>
              <w:bidi w:val="0"/>
              <w:jc w:val="center"/>
              <w:rPr>
                <w:rFonts w:hint="default"/>
                <w:vertAlign w:val="superscript"/>
                <w:lang w:val="en-US" w:eastAsia="zh-CN"/>
              </w:rPr>
            </w:pPr>
            <w:r>
              <w:rPr>
                <w:rFonts w:hint="eastAsia"/>
                <w:lang w:val="en-US" w:eastAsia="zh-CN"/>
              </w:rPr>
              <w:t>最大浓度ug/m</w:t>
            </w:r>
            <w:r>
              <w:rPr>
                <w:rFonts w:hint="eastAsia"/>
                <w:vertAlign w:val="superscript"/>
                <w:lang w:val="en-US" w:eastAsia="zh-CN"/>
              </w:rPr>
              <w:t>3</w:t>
            </w:r>
          </w:p>
        </w:tc>
        <w:tc>
          <w:tcPr>
            <w:tcW w:w="654" w:type="pct"/>
            <w:vAlign w:val="center"/>
          </w:tcPr>
          <w:p w14:paraId="695A8F35">
            <w:pPr>
              <w:pStyle w:val="31"/>
              <w:bidi w:val="0"/>
              <w:jc w:val="center"/>
              <w:rPr>
                <w:rFonts w:hint="default"/>
                <w:lang w:val="en-US" w:eastAsia="zh-CN"/>
              </w:rPr>
            </w:pPr>
            <w:r>
              <w:rPr>
                <w:rFonts w:hint="eastAsia"/>
                <w:lang w:val="en-US" w:eastAsia="zh-CN"/>
              </w:rPr>
              <w:t>占标率%</w:t>
            </w:r>
          </w:p>
        </w:tc>
        <w:tc>
          <w:tcPr>
            <w:tcW w:w="1031" w:type="pct"/>
            <w:shd w:val="clear" w:color="auto" w:fill="auto"/>
            <w:vAlign w:val="center"/>
          </w:tcPr>
          <w:p w14:paraId="188CB585">
            <w:pPr>
              <w:pStyle w:val="31"/>
              <w:bidi w:val="0"/>
              <w:ind w:firstLine="0" w:firstLineChars="0"/>
              <w:jc w:val="center"/>
              <w:rPr>
                <w:rFonts w:hint="default" w:ascii="Times New Roman" w:hAnsi="Times New Roman" w:eastAsia="宋体" w:cstheme="minorBidi"/>
                <w:kern w:val="2"/>
                <w:sz w:val="21"/>
                <w:szCs w:val="21"/>
                <w:vertAlign w:val="superscript"/>
                <w:lang w:val="en-US" w:eastAsia="zh-CN" w:bidi="ar-SA"/>
                <w14:ligatures w14:val="standardContextual"/>
              </w:rPr>
            </w:pPr>
            <w:r>
              <w:rPr>
                <w:rFonts w:hint="eastAsia"/>
                <w:lang w:val="en-US" w:eastAsia="zh-CN"/>
              </w:rPr>
              <w:t>最大浓度ug/m</w:t>
            </w:r>
            <w:r>
              <w:rPr>
                <w:rFonts w:hint="eastAsia"/>
                <w:vertAlign w:val="superscript"/>
                <w:lang w:val="en-US" w:eastAsia="zh-CN"/>
              </w:rPr>
              <w:t>3</w:t>
            </w:r>
          </w:p>
        </w:tc>
        <w:tc>
          <w:tcPr>
            <w:tcW w:w="654" w:type="pct"/>
            <w:shd w:val="clear" w:color="auto" w:fill="auto"/>
            <w:vAlign w:val="center"/>
          </w:tcPr>
          <w:p w14:paraId="4C9BF19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占标率%</w:t>
            </w:r>
          </w:p>
        </w:tc>
      </w:tr>
      <w:tr w14:paraId="50438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46E04D28">
            <w:pPr>
              <w:pStyle w:val="31"/>
              <w:bidi w:val="0"/>
              <w:jc w:val="center"/>
              <w:rPr>
                <w:rFonts w:hint="default"/>
                <w:lang w:val="en-US" w:eastAsia="zh-CN"/>
              </w:rPr>
            </w:pPr>
            <w:r>
              <w:rPr>
                <w:rFonts w:hint="eastAsia"/>
                <w:lang w:val="en-US" w:eastAsia="zh-CN"/>
              </w:rPr>
              <w:t>1</w:t>
            </w:r>
          </w:p>
        </w:tc>
        <w:tc>
          <w:tcPr>
            <w:tcW w:w="811" w:type="pct"/>
            <w:vAlign w:val="center"/>
          </w:tcPr>
          <w:p w14:paraId="07574776">
            <w:pPr>
              <w:pStyle w:val="31"/>
              <w:bidi w:val="0"/>
              <w:jc w:val="center"/>
              <w:rPr>
                <w:rFonts w:hint="default"/>
                <w:lang w:val="en-US" w:eastAsia="zh-CN"/>
              </w:rPr>
            </w:pPr>
            <w:r>
              <w:rPr>
                <w:rFonts w:hint="eastAsia"/>
                <w:lang w:val="en-US" w:eastAsia="zh-CN"/>
              </w:rPr>
              <w:t>拆解船台</w:t>
            </w:r>
          </w:p>
        </w:tc>
        <w:tc>
          <w:tcPr>
            <w:tcW w:w="407" w:type="pct"/>
            <w:vAlign w:val="center"/>
          </w:tcPr>
          <w:p w14:paraId="61B4F046">
            <w:pPr>
              <w:pStyle w:val="31"/>
              <w:bidi w:val="0"/>
              <w:jc w:val="center"/>
              <w:rPr>
                <w:rFonts w:hint="default"/>
                <w:lang w:val="en-US" w:eastAsia="zh-CN"/>
              </w:rPr>
            </w:pPr>
            <w:r>
              <w:rPr>
                <w:rFonts w:hint="eastAsia"/>
                <w:lang w:val="en-US" w:eastAsia="zh-CN"/>
              </w:rPr>
              <w:t>73</w:t>
            </w:r>
          </w:p>
        </w:tc>
        <w:tc>
          <w:tcPr>
            <w:tcW w:w="1031" w:type="pct"/>
            <w:vAlign w:val="center"/>
          </w:tcPr>
          <w:p w14:paraId="1C0DA52E">
            <w:pPr>
              <w:pStyle w:val="31"/>
              <w:bidi w:val="0"/>
              <w:jc w:val="center"/>
              <w:rPr>
                <w:rFonts w:hint="default"/>
                <w:lang w:val="en-US" w:eastAsia="zh-CN"/>
              </w:rPr>
            </w:pPr>
            <w:r>
              <w:rPr>
                <w:rFonts w:hint="eastAsia"/>
                <w:lang w:val="en-US" w:eastAsia="zh-CN"/>
              </w:rPr>
              <w:t>1.7051</w:t>
            </w:r>
          </w:p>
        </w:tc>
        <w:tc>
          <w:tcPr>
            <w:tcW w:w="654" w:type="pct"/>
            <w:vAlign w:val="center"/>
          </w:tcPr>
          <w:p w14:paraId="082D20DE">
            <w:pPr>
              <w:pStyle w:val="31"/>
              <w:bidi w:val="0"/>
              <w:jc w:val="center"/>
              <w:rPr>
                <w:rFonts w:hint="default"/>
                <w:lang w:val="en-US" w:eastAsia="zh-CN"/>
              </w:rPr>
            </w:pPr>
            <w:r>
              <w:rPr>
                <w:rFonts w:hint="eastAsia"/>
                <w:lang w:val="en-US" w:eastAsia="zh-CN"/>
              </w:rPr>
              <w:t>0.19</w:t>
            </w:r>
          </w:p>
        </w:tc>
        <w:tc>
          <w:tcPr>
            <w:tcW w:w="1031" w:type="pct"/>
            <w:vAlign w:val="center"/>
          </w:tcPr>
          <w:p w14:paraId="3EB071D8">
            <w:pPr>
              <w:pStyle w:val="31"/>
              <w:bidi w:val="0"/>
              <w:jc w:val="center"/>
              <w:rPr>
                <w:rFonts w:hint="default"/>
                <w:lang w:val="en-US" w:eastAsia="zh-CN"/>
              </w:rPr>
            </w:pPr>
            <w:r>
              <w:rPr>
                <w:rFonts w:hint="eastAsia"/>
                <w:lang w:val="en-US" w:eastAsia="zh-CN"/>
              </w:rPr>
              <w:t>0.6820</w:t>
            </w:r>
          </w:p>
        </w:tc>
        <w:tc>
          <w:tcPr>
            <w:tcW w:w="654" w:type="pct"/>
            <w:vAlign w:val="center"/>
          </w:tcPr>
          <w:p w14:paraId="02D30F37">
            <w:pPr>
              <w:pStyle w:val="31"/>
              <w:bidi w:val="0"/>
              <w:jc w:val="center"/>
              <w:rPr>
                <w:rFonts w:hint="default"/>
                <w:lang w:val="en-US" w:eastAsia="zh-CN"/>
              </w:rPr>
            </w:pPr>
            <w:r>
              <w:rPr>
                <w:rFonts w:hint="eastAsia"/>
                <w:lang w:val="en-US" w:eastAsia="zh-CN"/>
              </w:rPr>
              <w:t>0.03</w:t>
            </w:r>
          </w:p>
        </w:tc>
      </w:tr>
      <w:tr w14:paraId="41100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1E902215">
            <w:pPr>
              <w:pStyle w:val="31"/>
              <w:bidi w:val="0"/>
              <w:jc w:val="center"/>
              <w:rPr>
                <w:rFonts w:hint="default"/>
                <w:lang w:val="en-US" w:eastAsia="zh-CN"/>
              </w:rPr>
            </w:pPr>
            <w:r>
              <w:rPr>
                <w:rFonts w:hint="eastAsia"/>
                <w:lang w:val="en-US" w:eastAsia="zh-CN"/>
              </w:rPr>
              <w:t>2</w:t>
            </w:r>
          </w:p>
        </w:tc>
        <w:tc>
          <w:tcPr>
            <w:tcW w:w="811" w:type="pct"/>
            <w:vAlign w:val="center"/>
          </w:tcPr>
          <w:p w14:paraId="1812D7D3">
            <w:pPr>
              <w:pStyle w:val="31"/>
              <w:bidi w:val="0"/>
              <w:jc w:val="center"/>
              <w:rPr>
                <w:rFonts w:hint="default"/>
                <w:lang w:val="en-US" w:eastAsia="zh-CN"/>
              </w:rPr>
            </w:pPr>
            <w:r>
              <w:rPr>
                <w:rFonts w:hint="eastAsia"/>
                <w:lang w:val="en-US" w:eastAsia="zh-CN"/>
              </w:rPr>
              <w:t>危废暂存间</w:t>
            </w:r>
          </w:p>
        </w:tc>
        <w:tc>
          <w:tcPr>
            <w:tcW w:w="407" w:type="pct"/>
            <w:vAlign w:val="center"/>
          </w:tcPr>
          <w:p w14:paraId="675F9C18">
            <w:pPr>
              <w:pStyle w:val="31"/>
              <w:bidi w:val="0"/>
              <w:jc w:val="center"/>
              <w:rPr>
                <w:rFonts w:hint="default"/>
                <w:lang w:val="en-US" w:eastAsia="zh-CN"/>
              </w:rPr>
            </w:pPr>
            <w:r>
              <w:rPr>
                <w:rFonts w:hint="eastAsia"/>
                <w:lang w:val="en-US" w:eastAsia="zh-CN"/>
              </w:rPr>
              <w:t>10</w:t>
            </w:r>
          </w:p>
        </w:tc>
        <w:tc>
          <w:tcPr>
            <w:tcW w:w="1031" w:type="pct"/>
            <w:vAlign w:val="center"/>
          </w:tcPr>
          <w:p w14:paraId="1617DD94">
            <w:pPr>
              <w:pStyle w:val="31"/>
              <w:bidi w:val="0"/>
              <w:jc w:val="center"/>
              <w:rPr>
                <w:rFonts w:hint="default"/>
                <w:lang w:val="en-US" w:eastAsia="zh-CN"/>
              </w:rPr>
            </w:pPr>
            <w:r>
              <w:rPr>
                <w:rFonts w:hint="eastAsia"/>
                <w:lang w:val="en-US" w:eastAsia="zh-CN"/>
              </w:rPr>
              <w:t>0</w:t>
            </w:r>
          </w:p>
        </w:tc>
        <w:tc>
          <w:tcPr>
            <w:tcW w:w="654" w:type="pct"/>
            <w:vAlign w:val="center"/>
          </w:tcPr>
          <w:p w14:paraId="44F5DAA4">
            <w:pPr>
              <w:pStyle w:val="31"/>
              <w:bidi w:val="0"/>
              <w:jc w:val="center"/>
              <w:rPr>
                <w:rFonts w:hint="default"/>
                <w:lang w:val="en-US" w:eastAsia="zh-CN"/>
              </w:rPr>
            </w:pPr>
            <w:r>
              <w:rPr>
                <w:rFonts w:hint="eastAsia"/>
                <w:lang w:val="en-US" w:eastAsia="zh-CN"/>
              </w:rPr>
              <w:t>0</w:t>
            </w:r>
          </w:p>
        </w:tc>
        <w:tc>
          <w:tcPr>
            <w:tcW w:w="1031" w:type="pct"/>
            <w:vAlign w:val="center"/>
          </w:tcPr>
          <w:p w14:paraId="3CC2DDFC">
            <w:pPr>
              <w:pStyle w:val="31"/>
              <w:bidi w:val="0"/>
              <w:jc w:val="center"/>
              <w:rPr>
                <w:rFonts w:hint="default"/>
                <w:lang w:val="en-US" w:eastAsia="zh-CN"/>
              </w:rPr>
            </w:pPr>
            <w:r>
              <w:rPr>
                <w:rFonts w:hint="eastAsia"/>
                <w:lang w:val="en-US" w:eastAsia="zh-CN"/>
              </w:rPr>
              <w:t>28.0460</w:t>
            </w:r>
          </w:p>
        </w:tc>
        <w:tc>
          <w:tcPr>
            <w:tcW w:w="654" w:type="pct"/>
            <w:vAlign w:val="center"/>
          </w:tcPr>
          <w:p w14:paraId="731B4797">
            <w:pPr>
              <w:pStyle w:val="31"/>
              <w:bidi w:val="0"/>
              <w:jc w:val="center"/>
              <w:rPr>
                <w:rFonts w:hint="default"/>
                <w:lang w:val="en-US" w:eastAsia="zh-CN"/>
              </w:rPr>
            </w:pPr>
            <w:r>
              <w:rPr>
                <w:rFonts w:hint="eastAsia"/>
                <w:lang w:val="en-US" w:eastAsia="zh-CN"/>
              </w:rPr>
              <w:t>1.40</w:t>
            </w:r>
          </w:p>
        </w:tc>
      </w:tr>
    </w:tbl>
    <w:p w14:paraId="10381FCD">
      <w:pPr>
        <w:pStyle w:val="21"/>
        <w:bidi w:val="0"/>
      </w:pPr>
      <w:r>
        <w:rPr>
          <w:rFonts w:hint="eastAsia"/>
          <w:lang w:val="en-US" w:eastAsia="zh-CN"/>
        </w:rPr>
        <w:t>根据估算结果可知，最大占标率为危废暂存间排放的NMHC，最大浓度为28.046ug/m</w:t>
      </w:r>
      <w:r>
        <w:rPr>
          <w:rFonts w:hint="eastAsia"/>
          <w:vertAlign w:val="superscript"/>
          <w:lang w:val="en-US" w:eastAsia="zh-CN"/>
        </w:rPr>
        <w:t>3</w:t>
      </w:r>
      <w:r>
        <w:rPr>
          <w:rFonts w:hint="eastAsia"/>
          <w:vertAlign w:val="baseline"/>
          <w:lang w:val="en-US" w:eastAsia="zh-CN"/>
        </w:rPr>
        <w:t>，最大占标率为1.40%，因此本项目大气评价工作等级为二级</w:t>
      </w:r>
    </w:p>
    <w:p w14:paraId="5428A6C8">
      <w:pPr>
        <w:pStyle w:val="21"/>
        <w:ind w:firstLine="482"/>
        <w:rPr>
          <w:b/>
          <w:bCs/>
        </w:rPr>
      </w:pPr>
      <w:r>
        <w:rPr>
          <w:b/>
          <w:bCs/>
        </w:rPr>
        <w:t>2、大气环境影响评价范围</w:t>
      </w:r>
    </w:p>
    <w:p w14:paraId="5A7A4125">
      <w:pPr>
        <w:pStyle w:val="21"/>
        <w:ind w:firstLine="480"/>
      </w:pPr>
      <w:r>
        <w:t>根据《环境影响评价技术导则-大气环境》(HJ 2.2-2018)，二级评价项目大气环境影响评价范围定为以项目厂址为中心，边长5.0×5.0km的矩形区域。</w:t>
      </w:r>
    </w:p>
    <w:p w14:paraId="3C24B852">
      <w:pPr>
        <w:pStyle w:val="33"/>
      </w:pPr>
      <w:bookmarkStart w:id="69" w:name="_Toc7982"/>
      <w:bookmarkStart w:id="70" w:name="_Toc11047"/>
      <w:r>
        <w:rPr>
          <w:rFonts w:hint="eastAsia"/>
        </w:rPr>
        <w:t>2.5.2</w:t>
      </w:r>
      <w:r>
        <w:t>地表水环境影响评价工作等级及评价范围</w:t>
      </w:r>
      <w:bookmarkEnd w:id="69"/>
      <w:bookmarkEnd w:id="70"/>
    </w:p>
    <w:p w14:paraId="0CF1C2CD">
      <w:pPr>
        <w:pStyle w:val="21"/>
        <w:ind w:firstLine="482"/>
        <w:rPr>
          <w:b/>
          <w:bCs/>
        </w:rPr>
      </w:pPr>
      <w:r>
        <w:rPr>
          <w:b/>
          <w:bCs/>
        </w:rPr>
        <w:t>1、地表水环境影响评价等级</w:t>
      </w:r>
    </w:p>
    <w:p w14:paraId="31CADBD6">
      <w:pPr>
        <w:pStyle w:val="21"/>
        <w:ind w:firstLine="480"/>
      </w:pPr>
      <w:r>
        <w:t>《环境影响评价技术导则 地表水环境》（HJ2.3-2018）的评价等级判定依据如下表所示。</w:t>
      </w:r>
    </w:p>
    <w:p w14:paraId="4E605E68">
      <w:pPr>
        <w:pStyle w:val="23"/>
      </w:pPr>
      <w:r>
        <w:t>表</w:t>
      </w:r>
      <w:r>
        <w:rPr>
          <w:rFonts w:hint="eastAsia"/>
        </w:rPr>
        <w:t>2.5-4</w:t>
      </w:r>
      <w:r>
        <w:t>地表水环境评价工作等级判定表</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1699"/>
        <w:gridCol w:w="5449"/>
      </w:tblGrid>
      <w:tr w14:paraId="6A8D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805" w:type="pct"/>
            <w:vMerge w:val="restart"/>
            <w:vAlign w:val="center"/>
          </w:tcPr>
          <w:p w14:paraId="6212A86D">
            <w:pPr>
              <w:pStyle w:val="31"/>
            </w:pPr>
            <w:r>
              <w:t>评价等级</w:t>
            </w:r>
          </w:p>
        </w:tc>
        <w:tc>
          <w:tcPr>
            <w:tcW w:w="4194" w:type="pct"/>
            <w:gridSpan w:val="2"/>
            <w:vAlign w:val="center"/>
          </w:tcPr>
          <w:p w14:paraId="00D445FA">
            <w:pPr>
              <w:pStyle w:val="31"/>
            </w:pPr>
            <w:r>
              <w:t>受纳水体情况</w:t>
            </w:r>
          </w:p>
        </w:tc>
      </w:tr>
      <w:tr w14:paraId="5E3D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vMerge w:val="continue"/>
            <w:vAlign w:val="center"/>
          </w:tcPr>
          <w:p w14:paraId="474E029A">
            <w:pPr>
              <w:pStyle w:val="31"/>
            </w:pPr>
          </w:p>
        </w:tc>
        <w:tc>
          <w:tcPr>
            <w:tcW w:w="997" w:type="pct"/>
            <w:vAlign w:val="center"/>
          </w:tcPr>
          <w:p w14:paraId="16C6A397">
            <w:pPr>
              <w:pStyle w:val="31"/>
            </w:pPr>
            <w:r>
              <w:t>排放方式</w:t>
            </w:r>
          </w:p>
        </w:tc>
        <w:tc>
          <w:tcPr>
            <w:tcW w:w="3197" w:type="pct"/>
            <w:vAlign w:val="center"/>
          </w:tcPr>
          <w:p w14:paraId="5D7EA2EF">
            <w:pPr>
              <w:pStyle w:val="31"/>
            </w:pPr>
            <w:r>
              <w:t>废水排放量 Q/（m</w:t>
            </w:r>
            <w:r>
              <w:rPr>
                <w:vertAlign w:val="superscript"/>
              </w:rPr>
              <w:t>3</w:t>
            </w:r>
            <w:r>
              <w:t>/d）水污染物当量数 W/（无量纲）</w:t>
            </w:r>
          </w:p>
        </w:tc>
      </w:tr>
      <w:tr w14:paraId="38729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vAlign w:val="center"/>
          </w:tcPr>
          <w:p w14:paraId="791CFF2B">
            <w:pPr>
              <w:pStyle w:val="31"/>
            </w:pPr>
            <w:r>
              <w:t>一级</w:t>
            </w:r>
          </w:p>
        </w:tc>
        <w:tc>
          <w:tcPr>
            <w:tcW w:w="997" w:type="pct"/>
            <w:vAlign w:val="center"/>
          </w:tcPr>
          <w:p w14:paraId="68760C21">
            <w:pPr>
              <w:pStyle w:val="31"/>
            </w:pPr>
            <w:r>
              <w:t>直接排放</w:t>
            </w:r>
          </w:p>
        </w:tc>
        <w:tc>
          <w:tcPr>
            <w:tcW w:w="3197" w:type="pct"/>
            <w:vAlign w:val="center"/>
          </w:tcPr>
          <w:p w14:paraId="13BC4367">
            <w:pPr>
              <w:pStyle w:val="31"/>
            </w:pPr>
            <w:r>
              <w:t>Q≥20000 或 W≥600000</w:t>
            </w:r>
          </w:p>
        </w:tc>
      </w:tr>
      <w:tr w14:paraId="48E4B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vAlign w:val="center"/>
          </w:tcPr>
          <w:p w14:paraId="1E5B8E18">
            <w:pPr>
              <w:pStyle w:val="31"/>
            </w:pPr>
            <w:r>
              <w:t>二级</w:t>
            </w:r>
          </w:p>
        </w:tc>
        <w:tc>
          <w:tcPr>
            <w:tcW w:w="997" w:type="pct"/>
            <w:vAlign w:val="center"/>
          </w:tcPr>
          <w:p w14:paraId="3966ED5C">
            <w:pPr>
              <w:pStyle w:val="31"/>
            </w:pPr>
            <w:r>
              <w:t>直接排放</w:t>
            </w:r>
          </w:p>
        </w:tc>
        <w:tc>
          <w:tcPr>
            <w:tcW w:w="3197" w:type="pct"/>
            <w:vAlign w:val="center"/>
          </w:tcPr>
          <w:p w14:paraId="3CACB691">
            <w:pPr>
              <w:pStyle w:val="31"/>
            </w:pPr>
            <w:r>
              <w:t>其他</w:t>
            </w:r>
          </w:p>
        </w:tc>
      </w:tr>
      <w:tr w14:paraId="5DB59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vAlign w:val="center"/>
          </w:tcPr>
          <w:p w14:paraId="088764CB">
            <w:pPr>
              <w:pStyle w:val="31"/>
            </w:pPr>
            <w:r>
              <w:t>三级A</w:t>
            </w:r>
          </w:p>
        </w:tc>
        <w:tc>
          <w:tcPr>
            <w:tcW w:w="997" w:type="pct"/>
            <w:vAlign w:val="center"/>
          </w:tcPr>
          <w:p w14:paraId="4D32717F">
            <w:pPr>
              <w:pStyle w:val="31"/>
            </w:pPr>
            <w:r>
              <w:t>直接排放</w:t>
            </w:r>
          </w:p>
        </w:tc>
        <w:tc>
          <w:tcPr>
            <w:tcW w:w="3197" w:type="pct"/>
            <w:vAlign w:val="center"/>
          </w:tcPr>
          <w:p w14:paraId="2339065B">
            <w:pPr>
              <w:pStyle w:val="31"/>
            </w:pPr>
            <w:r>
              <w:t>Q&lt;200 且 W&lt;6000</w:t>
            </w:r>
          </w:p>
        </w:tc>
      </w:tr>
      <w:tr w14:paraId="6D1E5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pct"/>
            <w:vAlign w:val="center"/>
          </w:tcPr>
          <w:p w14:paraId="1A4DCF0D">
            <w:pPr>
              <w:pStyle w:val="31"/>
            </w:pPr>
            <w:r>
              <w:t>三级B</w:t>
            </w:r>
          </w:p>
        </w:tc>
        <w:tc>
          <w:tcPr>
            <w:tcW w:w="997" w:type="pct"/>
            <w:vAlign w:val="center"/>
          </w:tcPr>
          <w:p w14:paraId="360CF5BF">
            <w:pPr>
              <w:pStyle w:val="31"/>
            </w:pPr>
            <w:r>
              <w:t>间接排放</w:t>
            </w:r>
          </w:p>
        </w:tc>
        <w:tc>
          <w:tcPr>
            <w:tcW w:w="3197" w:type="pct"/>
            <w:vAlign w:val="center"/>
          </w:tcPr>
          <w:p w14:paraId="2A3C79ED">
            <w:pPr>
              <w:pStyle w:val="31"/>
            </w:pPr>
            <w:r>
              <w:t>—</w:t>
            </w:r>
          </w:p>
        </w:tc>
      </w:tr>
    </w:tbl>
    <w:p w14:paraId="3FB9AEDA">
      <w:pPr>
        <w:pStyle w:val="21"/>
        <w:rPr>
          <w:rFonts w:hint="default" w:eastAsia="宋体"/>
          <w:lang w:val="en-US" w:eastAsia="zh-CN"/>
        </w:rPr>
      </w:pPr>
      <w:r>
        <w:rPr>
          <w:rFonts w:hint="eastAsia"/>
          <w:lang w:val="en-US" w:eastAsia="zh-CN"/>
        </w:rPr>
        <w:t>本项目废水处理达标后优先回用，不能回用部分通过罐车运输至三樟镇污水处理厂处理，属于间接排放，因此评价等级确定为三级B。</w:t>
      </w:r>
    </w:p>
    <w:p w14:paraId="5175ADFF">
      <w:pPr>
        <w:pStyle w:val="21"/>
        <w:ind w:firstLine="482"/>
        <w:rPr>
          <w:b/>
          <w:bCs/>
        </w:rPr>
      </w:pPr>
      <w:r>
        <w:rPr>
          <w:b/>
          <w:bCs/>
        </w:rPr>
        <w:t>2、地表水环境影响评价范围</w:t>
      </w:r>
    </w:p>
    <w:p w14:paraId="6F0FAD61">
      <w:pPr>
        <w:pStyle w:val="21"/>
        <w:ind w:firstLine="480"/>
        <w:rPr>
          <w:rFonts w:hint="default" w:eastAsia="宋体"/>
          <w:szCs w:val="24"/>
          <w:lang w:val="en-US" w:eastAsia="zh-CN"/>
        </w:rPr>
      </w:pPr>
      <w:r>
        <w:rPr>
          <w:rFonts w:hint="eastAsia"/>
          <w:szCs w:val="24"/>
          <w:lang w:val="en-US" w:eastAsia="zh-CN"/>
        </w:rPr>
        <w:t>本项目评价等级为三级B，根据导则要求，主要评价废水处理措施的依托可行性，并涵盖地表水环境风险评价范围，本次地表水环境风险评价等级确定为项目上游500m至下游8km。</w:t>
      </w:r>
    </w:p>
    <w:p w14:paraId="2996DB5E">
      <w:pPr>
        <w:pStyle w:val="33"/>
      </w:pPr>
      <w:bookmarkStart w:id="71" w:name="_Toc25578"/>
      <w:bookmarkStart w:id="72" w:name="_Toc17660"/>
      <w:r>
        <w:rPr>
          <w:rFonts w:hint="eastAsia"/>
          <w:szCs w:val="24"/>
        </w:rPr>
        <w:t>2.5.3</w:t>
      </w:r>
      <w:r>
        <w:t>地下水环境影响评价工作等级及评价范围</w:t>
      </w:r>
      <w:bookmarkEnd w:id="71"/>
      <w:bookmarkEnd w:id="72"/>
    </w:p>
    <w:p w14:paraId="33FA27FE">
      <w:pPr>
        <w:pStyle w:val="21"/>
        <w:ind w:firstLine="480"/>
      </w:pPr>
      <w:r>
        <w:t>1、地下水环境影响评价等级</w:t>
      </w:r>
    </w:p>
    <w:p w14:paraId="1EDD0E25">
      <w:pPr>
        <w:pStyle w:val="21"/>
        <w:ind w:firstLine="480"/>
      </w:pPr>
      <w:r>
        <w:t>根据《环境影响评价技术导则 地下水环境》（HJ610-2016）中附录A地下水环境影响评价行业分类表，本项目属于“</w:t>
      </w:r>
      <w:r>
        <w:rPr>
          <w:rFonts w:hint="eastAsia"/>
        </w:rPr>
        <w:t>75、船舶及相关装置制造</w:t>
      </w:r>
      <w:r>
        <w:t>”</w:t>
      </w:r>
      <w:r>
        <w:rPr>
          <w:rFonts w:hint="eastAsia"/>
        </w:rPr>
        <w:t>，有电镀或喷漆工艺的；拆船、修船，地下水环境影响评价项目类别为</w:t>
      </w:r>
      <w:r>
        <w:rPr>
          <w:rFonts w:cs="Times New Roman"/>
        </w:rPr>
        <w:t>Ⅲ</w:t>
      </w:r>
      <w:r>
        <w:rPr>
          <w:rFonts w:hint="eastAsia"/>
        </w:rPr>
        <w:t>类</w:t>
      </w:r>
      <w:r>
        <w:t>，本项目位于</w:t>
      </w:r>
      <w:r>
        <w:rPr>
          <w:rFonts w:hint="eastAsia"/>
        </w:rPr>
        <w:t>衡东县三樟镇</w:t>
      </w:r>
      <w:r>
        <w:t>，</w:t>
      </w:r>
      <w:r>
        <w:rPr>
          <w:rFonts w:hint="eastAsia"/>
        </w:rPr>
        <w:t>生产、生活用水为三樟镇自来水厂给水</w:t>
      </w:r>
      <w:r>
        <w:t>，</w:t>
      </w:r>
      <w:r>
        <w:rPr>
          <w:rFonts w:hint="eastAsia"/>
        </w:rPr>
        <w:t>本项目所在区域居民生活用水由三樟镇自来水厂提供，其水源为地表水，项目区域地下水环境敏感程度为不敏感</w:t>
      </w:r>
      <w:r>
        <w:t>。</w:t>
      </w:r>
    </w:p>
    <w:p w14:paraId="2174773D">
      <w:pPr>
        <w:pStyle w:val="21"/>
        <w:ind w:firstLine="480"/>
        <w:rPr>
          <w:szCs w:val="24"/>
        </w:rPr>
      </w:pPr>
      <w:r>
        <w:t>根据《环境影响评价技术导则 地下水环境》（HJ 610-2016），项目地下水环境评价工作等级为</w:t>
      </w:r>
      <w:r>
        <w:rPr>
          <w:rFonts w:hint="eastAsia"/>
        </w:rPr>
        <w:t>三</w:t>
      </w:r>
      <w:r>
        <w:t>级</w:t>
      </w:r>
      <w:r>
        <w:rPr>
          <w:szCs w:val="24"/>
        </w:rPr>
        <w:t>评价，具体工作等级判断见</w:t>
      </w:r>
      <w:r>
        <w:rPr>
          <w:rFonts w:hint="eastAsia"/>
          <w:szCs w:val="24"/>
        </w:rPr>
        <w:t>下</w:t>
      </w:r>
      <w:r>
        <w:rPr>
          <w:szCs w:val="24"/>
        </w:rPr>
        <w:t>表。</w:t>
      </w:r>
    </w:p>
    <w:p w14:paraId="0C0F11D1">
      <w:pPr>
        <w:pStyle w:val="23"/>
      </w:pPr>
      <w:r>
        <w:t>表</w:t>
      </w:r>
      <w:r>
        <w:rPr>
          <w:rFonts w:hint="eastAsia"/>
        </w:rPr>
        <w:t>2.5-5</w:t>
      </w:r>
      <w:r>
        <w:t xml:space="preserve"> 项目地下水环境影响评价工作等级判据</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1923"/>
        <w:gridCol w:w="1923"/>
        <w:gridCol w:w="1923"/>
      </w:tblGrid>
      <w:tr w14:paraId="30C0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35" w:type="dxa"/>
            <w:tcBorders>
              <w:tl2br w:val="single" w:color="auto" w:sz="4" w:space="0"/>
            </w:tcBorders>
            <w:vAlign w:val="center"/>
          </w:tcPr>
          <w:p w14:paraId="304904FB">
            <w:pPr>
              <w:pStyle w:val="31"/>
              <w:jc w:val="right"/>
            </w:pPr>
            <w:r>
              <w:rPr>
                <w:rFonts w:hint="eastAsia"/>
              </w:rPr>
              <w:t>项目类别</w:t>
            </w:r>
          </w:p>
          <w:p w14:paraId="392B2A4F">
            <w:pPr>
              <w:pStyle w:val="31"/>
              <w:jc w:val="left"/>
            </w:pPr>
            <w:r>
              <w:t>环</w:t>
            </w:r>
          </w:p>
          <w:p w14:paraId="4802F90F">
            <w:pPr>
              <w:pStyle w:val="31"/>
              <w:jc w:val="left"/>
            </w:pPr>
            <w:r>
              <w:t>境敏感程度</w:t>
            </w:r>
          </w:p>
          <w:p w14:paraId="35197E8E">
            <w:pPr>
              <w:pStyle w:val="31"/>
              <w:jc w:val="right"/>
            </w:pPr>
          </w:p>
        </w:tc>
        <w:tc>
          <w:tcPr>
            <w:tcW w:w="1923" w:type="dxa"/>
            <w:vAlign w:val="center"/>
          </w:tcPr>
          <w:p w14:paraId="2E18D9B7">
            <w:pPr>
              <w:pStyle w:val="31"/>
            </w:pPr>
            <w:r>
              <w:t>Ⅰ类项目</w:t>
            </w:r>
          </w:p>
        </w:tc>
        <w:tc>
          <w:tcPr>
            <w:tcW w:w="1923" w:type="dxa"/>
            <w:vAlign w:val="center"/>
          </w:tcPr>
          <w:p w14:paraId="0A6509F1">
            <w:pPr>
              <w:pStyle w:val="31"/>
            </w:pPr>
            <w:r>
              <w:t>Ⅱ类项目</w:t>
            </w:r>
          </w:p>
        </w:tc>
        <w:tc>
          <w:tcPr>
            <w:tcW w:w="1923" w:type="dxa"/>
            <w:vAlign w:val="center"/>
          </w:tcPr>
          <w:p w14:paraId="613B0876">
            <w:pPr>
              <w:pStyle w:val="31"/>
            </w:pPr>
            <w:r>
              <w:t>Ⅲ类项目</w:t>
            </w:r>
          </w:p>
        </w:tc>
      </w:tr>
      <w:tr w14:paraId="2C75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66EC2528">
            <w:pPr>
              <w:pStyle w:val="31"/>
            </w:pPr>
            <w:r>
              <w:t>敏感</w:t>
            </w:r>
          </w:p>
        </w:tc>
        <w:tc>
          <w:tcPr>
            <w:tcW w:w="1923" w:type="dxa"/>
            <w:vAlign w:val="center"/>
          </w:tcPr>
          <w:p w14:paraId="0C5A6D0A">
            <w:pPr>
              <w:pStyle w:val="31"/>
            </w:pPr>
            <w:r>
              <w:t>一</w:t>
            </w:r>
          </w:p>
        </w:tc>
        <w:tc>
          <w:tcPr>
            <w:tcW w:w="1923" w:type="dxa"/>
            <w:vAlign w:val="center"/>
          </w:tcPr>
          <w:p w14:paraId="0415D5A1">
            <w:pPr>
              <w:pStyle w:val="31"/>
            </w:pPr>
            <w:r>
              <w:t>一</w:t>
            </w:r>
          </w:p>
        </w:tc>
        <w:tc>
          <w:tcPr>
            <w:tcW w:w="1923" w:type="dxa"/>
            <w:vAlign w:val="center"/>
          </w:tcPr>
          <w:p w14:paraId="54B12F6B">
            <w:pPr>
              <w:pStyle w:val="31"/>
            </w:pPr>
            <w:r>
              <w:t>二</w:t>
            </w:r>
          </w:p>
        </w:tc>
      </w:tr>
      <w:tr w14:paraId="307D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1FFFE1E7">
            <w:pPr>
              <w:pStyle w:val="31"/>
            </w:pPr>
            <w:r>
              <w:t>较敏感</w:t>
            </w:r>
          </w:p>
        </w:tc>
        <w:tc>
          <w:tcPr>
            <w:tcW w:w="1923" w:type="dxa"/>
            <w:vAlign w:val="center"/>
          </w:tcPr>
          <w:p w14:paraId="368A0D6C">
            <w:pPr>
              <w:pStyle w:val="31"/>
            </w:pPr>
            <w:r>
              <w:t>一</w:t>
            </w:r>
          </w:p>
        </w:tc>
        <w:tc>
          <w:tcPr>
            <w:tcW w:w="1923" w:type="dxa"/>
            <w:vAlign w:val="center"/>
          </w:tcPr>
          <w:p w14:paraId="6931AC0B">
            <w:pPr>
              <w:pStyle w:val="31"/>
            </w:pPr>
            <w:r>
              <w:t>二</w:t>
            </w:r>
          </w:p>
        </w:tc>
        <w:tc>
          <w:tcPr>
            <w:tcW w:w="1923" w:type="dxa"/>
            <w:vAlign w:val="center"/>
          </w:tcPr>
          <w:p w14:paraId="31A20A99">
            <w:pPr>
              <w:pStyle w:val="31"/>
            </w:pPr>
            <w:r>
              <w:t>三</w:t>
            </w:r>
          </w:p>
        </w:tc>
      </w:tr>
      <w:tr w14:paraId="36685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53C9C25B">
            <w:pPr>
              <w:pStyle w:val="31"/>
            </w:pPr>
            <w:r>
              <w:t>不敏感</w:t>
            </w:r>
          </w:p>
        </w:tc>
        <w:tc>
          <w:tcPr>
            <w:tcW w:w="1923" w:type="dxa"/>
            <w:vAlign w:val="center"/>
          </w:tcPr>
          <w:p w14:paraId="7E320EB9">
            <w:pPr>
              <w:pStyle w:val="31"/>
            </w:pPr>
            <w:r>
              <w:t>二</w:t>
            </w:r>
          </w:p>
        </w:tc>
        <w:tc>
          <w:tcPr>
            <w:tcW w:w="1923" w:type="dxa"/>
            <w:vAlign w:val="center"/>
          </w:tcPr>
          <w:p w14:paraId="616BBE19">
            <w:pPr>
              <w:pStyle w:val="31"/>
            </w:pPr>
            <w:r>
              <w:rPr>
                <w:rFonts w:cs="Times New Roman"/>
              </w:rPr>
              <w:t>三</w:t>
            </w:r>
          </w:p>
        </w:tc>
        <w:tc>
          <w:tcPr>
            <w:tcW w:w="1923" w:type="dxa"/>
            <w:vAlign w:val="center"/>
          </w:tcPr>
          <w:p w14:paraId="7D68BEB0">
            <w:pPr>
              <w:pStyle w:val="31"/>
            </w:pPr>
            <w:r>
              <w:t>三</w:t>
            </w:r>
          </w:p>
        </w:tc>
      </w:tr>
    </w:tbl>
    <w:p w14:paraId="5D00F1F6">
      <w:pPr>
        <w:pStyle w:val="21"/>
        <w:ind w:firstLine="482"/>
        <w:rPr>
          <w:b/>
          <w:bCs/>
        </w:rPr>
      </w:pPr>
      <w:r>
        <w:rPr>
          <w:b/>
          <w:bCs/>
        </w:rPr>
        <w:t>2、地下水环境影响评价范围</w:t>
      </w:r>
    </w:p>
    <w:p w14:paraId="58F3377C">
      <w:pPr>
        <w:pStyle w:val="21"/>
        <w:ind w:firstLine="480"/>
      </w:pPr>
      <w:r>
        <w:rPr>
          <w:rFonts w:hint="eastAsia"/>
        </w:rPr>
        <w:t>根据《环境影响评价技术导则—地下水环境》（HJ610-2016）相关要求，选 用查表法，确定评价范围为：以厂址为中心，小于6km</w:t>
      </w:r>
      <w:r>
        <w:rPr>
          <w:rFonts w:hint="eastAsia"/>
          <w:vertAlign w:val="superscript"/>
        </w:rPr>
        <w:t>2</w:t>
      </w:r>
      <w:r>
        <w:rPr>
          <w:rFonts w:hint="eastAsia"/>
        </w:rPr>
        <w:t>范围的水文地质区域</w:t>
      </w:r>
      <w:r>
        <w:t>。</w:t>
      </w:r>
    </w:p>
    <w:p w14:paraId="057AF990">
      <w:pPr>
        <w:pStyle w:val="33"/>
      </w:pPr>
      <w:bookmarkStart w:id="73" w:name="_Toc19771"/>
      <w:bookmarkStart w:id="74" w:name="_Toc10091"/>
      <w:r>
        <w:rPr>
          <w:rFonts w:hint="eastAsia"/>
        </w:rPr>
        <w:t>2.5.4</w:t>
      </w:r>
      <w:r>
        <w:t>声环境影响评价工作等级及评价范围</w:t>
      </w:r>
      <w:bookmarkEnd w:id="73"/>
      <w:bookmarkEnd w:id="74"/>
    </w:p>
    <w:p w14:paraId="03D78FAD">
      <w:pPr>
        <w:pStyle w:val="21"/>
        <w:ind w:firstLine="480"/>
      </w:pPr>
      <w:r>
        <w:t>1、声环境评价等级</w:t>
      </w:r>
    </w:p>
    <w:p w14:paraId="7FAF9D36">
      <w:pPr>
        <w:pStyle w:val="21"/>
        <w:ind w:firstLine="480"/>
      </w:pPr>
      <w:r>
        <w:t>本项目</w:t>
      </w:r>
      <w:r>
        <w:rPr>
          <w:rFonts w:hint="eastAsia"/>
          <w:szCs w:val="24"/>
        </w:rPr>
        <w:t>区域</w:t>
      </w:r>
      <w:r>
        <w:rPr>
          <w:rFonts w:hint="eastAsia"/>
          <w:szCs w:val="24"/>
          <w:lang w:val="zh-CN"/>
        </w:rPr>
        <w:t>属于</w:t>
      </w:r>
      <w:r>
        <w:rPr>
          <w:rFonts w:hint="eastAsia"/>
          <w:szCs w:val="24"/>
        </w:rPr>
        <w:t>2</w:t>
      </w:r>
      <w:r>
        <w:rPr>
          <w:rFonts w:hint="eastAsia"/>
          <w:szCs w:val="24"/>
          <w:lang w:val="zh-CN"/>
        </w:rPr>
        <w:t>类声环境功能区，</w:t>
      </w:r>
      <w:r>
        <w:rPr>
          <w:rFonts w:hint="eastAsia"/>
        </w:rPr>
        <w:t>评价范围内存在声环境敏感目标</w:t>
      </w:r>
      <w:r>
        <w:t>，根据《环境影响评价技术导则</w:t>
      </w:r>
      <w:r>
        <w:rPr>
          <w:rFonts w:hint="eastAsia"/>
        </w:rPr>
        <w:t xml:space="preserve"> </w:t>
      </w:r>
      <w:r>
        <w:t>声环境》（</w:t>
      </w:r>
      <w:r>
        <w:rPr>
          <w:rFonts w:hint="eastAsia"/>
        </w:rPr>
        <w:t>HJ2.4-2021</w:t>
      </w:r>
      <w:r>
        <w:t>）规定，确定声环境影响评价等级为</w:t>
      </w:r>
      <w:r>
        <w:rPr>
          <w:rFonts w:hint="eastAsia"/>
        </w:rPr>
        <w:t>二</w:t>
      </w:r>
      <w:r>
        <w:t>级。</w:t>
      </w:r>
    </w:p>
    <w:p w14:paraId="0F2F17C2">
      <w:pPr>
        <w:pStyle w:val="21"/>
        <w:ind w:firstLine="480"/>
      </w:pPr>
      <w:r>
        <w:t>2、声环境评价范围</w:t>
      </w:r>
    </w:p>
    <w:p w14:paraId="45A6CA99">
      <w:pPr>
        <w:pStyle w:val="21"/>
        <w:ind w:firstLine="480"/>
        <w:rPr>
          <w:kern w:val="24"/>
        </w:rPr>
      </w:pPr>
      <w:r>
        <w:rPr>
          <w:kern w:val="24"/>
        </w:rPr>
        <w:t>根据《环境影响评价技术导则 声环境》（</w:t>
      </w:r>
      <w:r>
        <w:rPr>
          <w:rFonts w:hint="eastAsia"/>
          <w:kern w:val="24"/>
        </w:rPr>
        <w:t>HJ2.4-2021</w:t>
      </w:r>
      <w:r>
        <w:rPr>
          <w:kern w:val="24"/>
        </w:rPr>
        <w:t>）中的有关规定，确定本项目声环境评价范围为建设项目边界外200m</w:t>
      </w:r>
      <w:r>
        <w:rPr>
          <w:rFonts w:hint="eastAsia"/>
          <w:kern w:val="24"/>
        </w:rPr>
        <w:t>为评价</w:t>
      </w:r>
      <w:r>
        <w:rPr>
          <w:kern w:val="24"/>
        </w:rPr>
        <w:t>范围。</w:t>
      </w:r>
    </w:p>
    <w:p w14:paraId="2AAF7166">
      <w:pPr>
        <w:pStyle w:val="33"/>
      </w:pPr>
      <w:bookmarkStart w:id="75" w:name="_Toc13060"/>
      <w:bookmarkStart w:id="76" w:name="_Toc22640"/>
      <w:r>
        <w:rPr>
          <w:rFonts w:hint="eastAsia"/>
        </w:rPr>
        <w:t>2.5.5土壤环境影响评价工作等级及评价范围</w:t>
      </w:r>
      <w:bookmarkEnd w:id="75"/>
      <w:bookmarkEnd w:id="76"/>
    </w:p>
    <w:p w14:paraId="27B35F90">
      <w:pPr>
        <w:pStyle w:val="21"/>
        <w:ind w:firstLine="482"/>
        <w:rPr>
          <w:b/>
          <w:bCs/>
        </w:rPr>
      </w:pPr>
      <w:r>
        <w:rPr>
          <w:b/>
          <w:bCs/>
        </w:rPr>
        <w:t>1、</w:t>
      </w:r>
      <w:r>
        <w:rPr>
          <w:rFonts w:hint="eastAsia"/>
          <w:b/>
          <w:bCs/>
        </w:rPr>
        <w:t>土壤</w:t>
      </w:r>
      <w:r>
        <w:rPr>
          <w:b/>
          <w:bCs/>
        </w:rPr>
        <w:t>环境评价等级</w:t>
      </w:r>
    </w:p>
    <w:p w14:paraId="2765D282">
      <w:pPr>
        <w:pStyle w:val="21"/>
        <w:ind w:firstLine="480"/>
        <w:rPr>
          <w:szCs w:val="24"/>
        </w:rPr>
      </w:pPr>
      <w:r>
        <w:rPr>
          <w:szCs w:val="24"/>
        </w:rPr>
        <w:t>（1）项目类型判定</w:t>
      </w:r>
    </w:p>
    <w:p w14:paraId="08498BBD">
      <w:pPr>
        <w:pStyle w:val="21"/>
        <w:ind w:firstLine="480"/>
        <w:rPr>
          <w:szCs w:val="24"/>
        </w:rPr>
      </w:pPr>
      <w:r>
        <w:rPr>
          <w:rFonts w:hint="eastAsia"/>
          <w:szCs w:val="24"/>
        </w:rPr>
        <w:t>本次扩建项目仅新增船舶拆除，现有工程船舶修理不变，</w:t>
      </w:r>
      <w:r>
        <w:rPr>
          <w:szCs w:val="24"/>
        </w:rPr>
        <w:t>根据《环境影响评价技术导则-土壤环境》(HJ964-2018)中附录A（规范性附录）土壤环境影响评价行业项目类别表，可知</w:t>
      </w:r>
      <w:r>
        <w:rPr>
          <w:rFonts w:hint="eastAsia"/>
          <w:szCs w:val="24"/>
        </w:rPr>
        <w:t>船舶拆除</w:t>
      </w:r>
      <w:r>
        <w:rPr>
          <w:szCs w:val="24"/>
        </w:rPr>
        <w:t>属于“</w:t>
      </w:r>
      <w:r>
        <w:rPr>
          <w:rFonts w:hint="eastAsia"/>
          <w:szCs w:val="24"/>
        </w:rPr>
        <w:t>制造业-设备制造、金属制品、汽车制造及其他用品制造</w:t>
      </w:r>
      <w:r>
        <w:rPr>
          <w:szCs w:val="24"/>
        </w:rPr>
        <w:t>”中的“</w:t>
      </w:r>
      <w:r>
        <w:rPr>
          <w:rFonts w:hint="eastAsia"/>
          <w:szCs w:val="24"/>
        </w:rPr>
        <w:t>其他</w:t>
      </w:r>
      <w:r>
        <w:rPr>
          <w:szCs w:val="24"/>
        </w:rPr>
        <w:t>”，类别为</w:t>
      </w:r>
      <w:r>
        <w:rPr>
          <w:rFonts w:hint="eastAsia" w:ascii="宋体" w:hAnsi="宋体" w:cs="宋体"/>
          <w:szCs w:val="24"/>
        </w:rPr>
        <w:t>III</w:t>
      </w:r>
      <w:r>
        <w:rPr>
          <w:szCs w:val="24"/>
        </w:rPr>
        <w:t>类</w:t>
      </w:r>
      <w:r>
        <w:rPr>
          <w:rFonts w:hint="eastAsia"/>
          <w:szCs w:val="24"/>
        </w:rPr>
        <w:t>。</w:t>
      </w:r>
    </w:p>
    <w:p w14:paraId="08828238">
      <w:pPr>
        <w:pStyle w:val="21"/>
        <w:ind w:firstLine="480"/>
        <w:rPr>
          <w:szCs w:val="24"/>
        </w:rPr>
      </w:pPr>
      <w:r>
        <w:rPr>
          <w:szCs w:val="24"/>
        </w:rPr>
        <w:t>（2）项目占地规模判定</w:t>
      </w:r>
    </w:p>
    <w:p w14:paraId="11CA466F">
      <w:pPr>
        <w:pStyle w:val="21"/>
        <w:ind w:firstLine="480"/>
        <w:rPr>
          <w:szCs w:val="24"/>
        </w:rPr>
      </w:pPr>
      <w:r>
        <w:rPr>
          <w:szCs w:val="24"/>
        </w:rPr>
        <w:t>本项目占地面积为</w:t>
      </w:r>
      <w:r>
        <w:rPr>
          <w:rFonts w:hint="eastAsia"/>
        </w:rPr>
        <w:t>20000</w:t>
      </w:r>
      <w:r>
        <w:rPr>
          <w:szCs w:val="24"/>
        </w:rPr>
        <w:t>m</w:t>
      </w:r>
      <w:r>
        <w:rPr>
          <w:szCs w:val="24"/>
          <w:vertAlign w:val="superscript"/>
        </w:rPr>
        <w:t>2</w:t>
      </w:r>
      <w:r>
        <w:rPr>
          <w:rFonts w:hint="eastAsia"/>
          <w:szCs w:val="24"/>
        </w:rPr>
        <w:t>，小于5</w:t>
      </w:r>
      <w:r>
        <w:rPr>
          <w:szCs w:val="24"/>
        </w:rPr>
        <w:t>hm</w:t>
      </w:r>
      <w:r>
        <w:rPr>
          <w:szCs w:val="24"/>
          <w:vertAlign w:val="superscript"/>
        </w:rPr>
        <w:t>2</w:t>
      </w:r>
      <w:r>
        <w:rPr>
          <w:szCs w:val="24"/>
        </w:rPr>
        <w:t>，占地规模属于</w:t>
      </w:r>
      <w:r>
        <w:rPr>
          <w:rFonts w:hint="eastAsia"/>
          <w:szCs w:val="24"/>
        </w:rPr>
        <w:t>小</w:t>
      </w:r>
      <w:r>
        <w:rPr>
          <w:szCs w:val="24"/>
        </w:rPr>
        <w:t>型。</w:t>
      </w:r>
    </w:p>
    <w:p w14:paraId="17FCCA9F">
      <w:pPr>
        <w:pStyle w:val="21"/>
        <w:ind w:firstLine="480"/>
        <w:rPr>
          <w:szCs w:val="24"/>
        </w:rPr>
      </w:pPr>
      <w:r>
        <w:rPr>
          <w:szCs w:val="24"/>
        </w:rPr>
        <w:t>（3）项目用地敏感程度分析</w:t>
      </w:r>
    </w:p>
    <w:p w14:paraId="57F5F560">
      <w:pPr>
        <w:pStyle w:val="21"/>
        <w:ind w:firstLine="480"/>
        <w:rPr>
          <w:szCs w:val="24"/>
        </w:rPr>
      </w:pPr>
      <w:r>
        <w:rPr>
          <w:szCs w:val="24"/>
        </w:rPr>
        <w:t>本项目属于</w:t>
      </w:r>
      <w:r>
        <w:rPr>
          <w:rFonts w:hint="eastAsia" w:ascii="宋体" w:hAnsi="宋体" w:cs="宋体"/>
          <w:szCs w:val="24"/>
        </w:rPr>
        <w:t>III</w:t>
      </w:r>
      <w:r>
        <w:rPr>
          <w:szCs w:val="24"/>
        </w:rPr>
        <w:t>类项目，占地面积为</w:t>
      </w:r>
      <w:r>
        <w:rPr>
          <w:rFonts w:hint="eastAsia"/>
          <w:szCs w:val="24"/>
        </w:rPr>
        <w:t>小</w:t>
      </w:r>
      <w:r>
        <w:rPr>
          <w:szCs w:val="24"/>
        </w:rPr>
        <w:t>型，</w:t>
      </w:r>
      <w:r>
        <w:rPr>
          <w:rFonts w:hint="eastAsia"/>
          <w:szCs w:val="24"/>
        </w:rPr>
        <w:t>最高评价等级为三级，三级评价范围为0.05km，</w:t>
      </w:r>
      <w:r>
        <w:rPr>
          <w:szCs w:val="24"/>
        </w:rPr>
        <w:t>根据现场调查，</w:t>
      </w:r>
      <w:r>
        <w:rPr>
          <w:rFonts w:hint="eastAsia"/>
          <w:szCs w:val="24"/>
        </w:rPr>
        <w:t>项目厂界周边0.05km范围倍不存在居民区、耕地等土壤敏感目标</w:t>
      </w:r>
      <w:r>
        <w:rPr>
          <w:szCs w:val="24"/>
        </w:rPr>
        <w:t>，根据《环境影响评价技术导则-土壤环境》中表3污染影响型敏感程度分级表，敏感程度为</w:t>
      </w:r>
      <w:r>
        <w:rPr>
          <w:rFonts w:hint="eastAsia"/>
          <w:szCs w:val="24"/>
        </w:rPr>
        <w:t>不</w:t>
      </w:r>
      <w:r>
        <w:rPr>
          <w:szCs w:val="24"/>
        </w:rPr>
        <w:t>敏感。</w:t>
      </w:r>
    </w:p>
    <w:p w14:paraId="11D345E2">
      <w:pPr>
        <w:pStyle w:val="21"/>
        <w:ind w:firstLine="480"/>
        <w:rPr>
          <w:szCs w:val="24"/>
        </w:rPr>
      </w:pPr>
      <w:r>
        <w:rPr>
          <w:szCs w:val="24"/>
        </w:rPr>
        <w:t>（4）土壤环境评价等级</w:t>
      </w:r>
    </w:p>
    <w:p w14:paraId="712CB90E">
      <w:pPr>
        <w:pStyle w:val="21"/>
        <w:ind w:firstLine="480"/>
        <w:rPr>
          <w:szCs w:val="24"/>
        </w:rPr>
      </w:pPr>
      <w:r>
        <w:rPr>
          <w:szCs w:val="24"/>
        </w:rPr>
        <w:t>本项目属于</w:t>
      </w:r>
      <w:r>
        <w:rPr>
          <w:rFonts w:hint="eastAsia" w:ascii="宋体" w:hAnsi="宋体" w:cs="宋体"/>
          <w:szCs w:val="24"/>
        </w:rPr>
        <w:t>III</w:t>
      </w:r>
      <w:r>
        <w:rPr>
          <w:szCs w:val="24"/>
        </w:rPr>
        <w:t>类项目，占地面积为</w:t>
      </w:r>
      <w:r>
        <w:rPr>
          <w:rFonts w:hint="eastAsia"/>
          <w:szCs w:val="24"/>
        </w:rPr>
        <w:t>小</w:t>
      </w:r>
      <w:r>
        <w:rPr>
          <w:szCs w:val="24"/>
        </w:rPr>
        <w:t>型，占地类型为敏感类型，</w:t>
      </w:r>
      <w:r>
        <w:rPr>
          <w:rFonts w:hint="eastAsia"/>
          <w:szCs w:val="24"/>
        </w:rPr>
        <w:t>故本项目土壤环评影响评价工作等级为三级。</w:t>
      </w:r>
    </w:p>
    <w:p w14:paraId="5BC432A3">
      <w:pPr>
        <w:pStyle w:val="23"/>
      </w:pPr>
      <w:r>
        <w:t>表</w:t>
      </w:r>
      <w:r>
        <w:rPr>
          <w:rFonts w:hint="eastAsia"/>
        </w:rPr>
        <w:t>2.5-6</w:t>
      </w:r>
      <w:r>
        <w:t xml:space="preserve"> 项目土壤环境影响评价工作等级判据</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5"/>
        <w:gridCol w:w="641"/>
        <w:gridCol w:w="641"/>
        <w:gridCol w:w="641"/>
        <w:gridCol w:w="641"/>
        <w:gridCol w:w="641"/>
        <w:gridCol w:w="641"/>
        <w:gridCol w:w="641"/>
        <w:gridCol w:w="641"/>
        <w:gridCol w:w="641"/>
      </w:tblGrid>
      <w:tr w14:paraId="6C808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35" w:type="dxa"/>
            <w:vMerge w:val="restart"/>
            <w:vAlign w:val="center"/>
          </w:tcPr>
          <w:p w14:paraId="10D78E6E">
            <w:pPr>
              <w:pStyle w:val="31"/>
              <w:jc w:val="right"/>
            </w:pPr>
            <w:r>
              <w:t>项目类别</w:t>
            </w:r>
          </w:p>
          <w:p w14:paraId="387FC510">
            <w:pPr>
              <w:pStyle w:val="31"/>
              <w:ind w:left="840" w:leftChars="400"/>
              <w:jc w:val="left"/>
            </w:pPr>
            <w:r>
              <w:t>环境敏感程度</w:t>
            </w:r>
          </w:p>
          <w:p w14:paraId="18B7CC02">
            <w:pPr>
              <w:pStyle w:val="31"/>
              <w:ind w:left="420" w:leftChars="200"/>
              <w:jc w:val="left"/>
            </w:pPr>
            <w:r>
              <w:t>评价工作等级</w:t>
            </w:r>
          </w:p>
          <w:p w14:paraId="5E1A305B">
            <w:pPr>
              <w:pStyle w:val="31"/>
              <w:jc w:val="left"/>
            </w:pPr>
            <w:r>
              <w:t>占地规模</w:t>
            </w:r>
          </w:p>
        </w:tc>
        <w:tc>
          <w:tcPr>
            <w:tcW w:w="1923" w:type="dxa"/>
            <w:gridSpan w:val="3"/>
            <w:vAlign w:val="center"/>
          </w:tcPr>
          <w:p w14:paraId="2DBE05C6">
            <w:pPr>
              <w:pStyle w:val="31"/>
            </w:pPr>
            <w:r>
              <w:t>Ⅰ类项目</w:t>
            </w:r>
          </w:p>
        </w:tc>
        <w:tc>
          <w:tcPr>
            <w:tcW w:w="1923" w:type="dxa"/>
            <w:gridSpan w:val="3"/>
            <w:vAlign w:val="center"/>
          </w:tcPr>
          <w:p w14:paraId="6DF05A4A">
            <w:pPr>
              <w:pStyle w:val="31"/>
            </w:pPr>
            <w:r>
              <w:t>Ⅱ类项目</w:t>
            </w:r>
          </w:p>
        </w:tc>
        <w:tc>
          <w:tcPr>
            <w:tcW w:w="1923" w:type="dxa"/>
            <w:gridSpan w:val="3"/>
            <w:vAlign w:val="center"/>
          </w:tcPr>
          <w:p w14:paraId="38C4AF29">
            <w:pPr>
              <w:pStyle w:val="31"/>
            </w:pPr>
            <w:r>
              <w:t>Ⅲ类项目</w:t>
            </w:r>
          </w:p>
        </w:tc>
      </w:tr>
      <w:tr w14:paraId="1BBA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Merge w:val="continue"/>
            <w:vAlign w:val="center"/>
          </w:tcPr>
          <w:p w14:paraId="1B0D6EDA">
            <w:pPr>
              <w:pStyle w:val="31"/>
            </w:pPr>
          </w:p>
        </w:tc>
        <w:tc>
          <w:tcPr>
            <w:tcW w:w="641" w:type="dxa"/>
            <w:vAlign w:val="center"/>
          </w:tcPr>
          <w:p w14:paraId="6D625CC3">
            <w:pPr>
              <w:pStyle w:val="31"/>
            </w:pPr>
            <w:r>
              <w:t>大</w:t>
            </w:r>
          </w:p>
        </w:tc>
        <w:tc>
          <w:tcPr>
            <w:tcW w:w="641" w:type="dxa"/>
            <w:vAlign w:val="center"/>
          </w:tcPr>
          <w:p w14:paraId="718D8E30">
            <w:pPr>
              <w:pStyle w:val="31"/>
            </w:pPr>
            <w:r>
              <w:t>中</w:t>
            </w:r>
          </w:p>
        </w:tc>
        <w:tc>
          <w:tcPr>
            <w:tcW w:w="641" w:type="dxa"/>
            <w:vAlign w:val="center"/>
          </w:tcPr>
          <w:p w14:paraId="5E94B043">
            <w:pPr>
              <w:pStyle w:val="31"/>
            </w:pPr>
            <w:r>
              <w:t>小</w:t>
            </w:r>
          </w:p>
        </w:tc>
        <w:tc>
          <w:tcPr>
            <w:tcW w:w="641" w:type="dxa"/>
            <w:vAlign w:val="center"/>
          </w:tcPr>
          <w:p w14:paraId="093AD8AE">
            <w:pPr>
              <w:pStyle w:val="31"/>
            </w:pPr>
            <w:r>
              <w:t>大</w:t>
            </w:r>
          </w:p>
        </w:tc>
        <w:tc>
          <w:tcPr>
            <w:tcW w:w="641" w:type="dxa"/>
            <w:vAlign w:val="center"/>
          </w:tcPr>
          <w:p w14:paraId="319732A0">
            <w:pPr>
              <w:pStyle w:val="31"/>
            </w:pPr>
            <w:r>
              <w:t>中</w:t>
            </w:r>
          </w:p>
        </w:tc>
        <w:tc>
          <w:tcPr>
            <w:tcW w:w="641" w:type="dxa"/>
            <w:vAlign w:val="center"/>
          </w:tcPr>
          <w:p w14:paraId="107DEC6F">
            <w:pPr>
              <w:pStyle w:val="31"/>
            </w:pPr>
            <w:r>
              <w:t>小</w:t>
            </w:r>
          </w:p>
        </w:tc>
        <w:tc>
          <w:tcPr>
            <w:tcW w:w="641" w:type="dxa"/>
            <w:vAlign w:val="center"/>
          </w:tcPr>
          <w:p w14:paraId="49E41CAA">
            <w:pPr>
              <w:pStyle w:val="31"/>
            </w:pPr>
            <w:r>
              <w:t>大</w:t>
            </w:r>
          </w:p>
        </w:tc>
        <w:tc>
          <w:tcPr>
            <w:tcW w:w="641" w:type="dxa"/>
            <w:vAlign w:val="center"/>
          </w:tcPr>
          <w:p w14:paraId="4F2C8464">
            <w:pPr>
              <w:pStyle w:val="31"/>
            </w:pPr>
            <w:r>
              <w:t>中</w:t>
            </w:r>
          </w:p>
        </w:tc>
        <w:tc>
          <w:tcPr>
            <w:tcW w:w="641" w:type="dxa"/>
            <w:vAlign w:val="center"/>
          </w:tcPr>
          <w:p w14:paraId="79DFD9F9">
            <w:pPr>
              <w:pStyle w:val="31"/>
            </w:pPr>
            <w:r>
              <w:t>小</w:t>
            </w:r>
          </w:p>
        </w:tc>
      </w:tr>
      <w:tr w14:paraId="302C4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4FEA4EA4">
            <w:pPr>
              <w:pStyle w:val="31"/>
            </w:pPr>
            <w:r>
              <w:t>敏感</w:t>
            </w:r>
          </w:p>
        </w:tc>
        <w:tc>
          <w:tcPr>
            <w:tcW w:w="641" w:type="dxa"/>
            <w:vAlign w:val="center"/>
          </w:tcPr>
          <w:p w14:paraId="6AD7C118">
            <w:pPr>
              <w:pStyle w:val="31"/>
            </w:pPr>
            <w:r>
              <w:t>一级</w:t>
            </w:r>
          </w:p>
        </w:tc>
        <w:tc>
          <w:tcPr>
            <w:tcW w:w="641" w:type="dxa"/>
            <w:vAlign w:val="center"/>
          </w:tcPr>
          <w:p w14:paraId="7217958D">
            <w:pPr>
              <w:pStyle w:val="31"/>
            </w:pPr>
            <w:r>
              <w:t>一级</w:t>
            </w:r>
          </w:p>
        </w:tc>
        <w:tc>
          <w:tcPr>
            <w:tcW w:w="641" w:type="dxa"/>
            <w:vAlign w:val="center"/>
          </w:tcPr>
          <w:p w14:paraId="0DD1285A">
            <w:pPr>
              <w:pStyle w:val="31"/>
            </w:pPr>
            <w:r>
              <w:t>一级</w:t>
            </w:r>
          </w:p>
        </w:tc>
        <w:tc>
          <w:tcPr>
            <w:tcW w:w="641" w:type="dxa"/>
            <w:vAlign w:val="center"/>
          </w:tcPr>
          <w:p w14:paraId="2C05CE5A">
            <w:pPr>
              <w:pStyle w:val="31"/>
            </w:pPr>
            <w:r>
              <w:t>二级</w:t>
            </w:r>
          </w:p>
        </w:tc>
        <w:tc>
          <w:tcPr>
            <w:tcW w:w="641" w:type="dxa"/>
            <w:vAlign w:val="center"/>
          </w:tcPr>
          <w:p w14:paraId="75CA1B5F">
            <w:pPr>
              <w:pStyle w:val="31"/>
            </w:pPr>
            <w:r>
              <w:t>二级</w:t>
            </w:r>
          </w:p>
        </w:tc>
        <w:tc>
          <w:tcPr>
            <w:tcW w:w="641" w:type="dxa"/>
            <w:vAlign w:val="center"/>
          </w:tcPr>
          <w:p w14:paraId="6589130E">
            <w:pPr>
              <w:pStyle w:val="31"/>
            </w:pPr>
            <w:r>
              <w:t>二级</w:t>
            </w:r>
          </w:p>
        </w:tc>
        <w:tc>
          <w:tcPr>
            <w:tcW w:w="641" w:type="dxa"/>
            <w:vAlign w:val="center"/>
          </w:tcPr>
          <w:p w14:paraId="56ACF08D">
            <w:pPr>
              <w:pStyle w:val="31"/>
            </w:pPr>
            <w:r>
              <w:t>三级</w:t>
            </w:r>
          </w:p>
        </w:tc>
        <w:tc>
          <w:tcPr>
            <w:tcW w:w="641" w:type="dxa"/>
            <w:vAlign w:val="center"/>
          </w:tcPr>
          <w:p w14:paraId="439543B7">
            <w:pPr>
              <w:pStyle w:val="31"/>
            </w:pPr>
            <w:r>
              <w:t>三级</w:t>
            </w:r>
          </w:p>
        </w:tc>
        <w:tc>
          <w:tcPr>
            <w:tcW w:w="641" w:type="dxa"/>
            <w:vAlign w:val="center"/>
          </w:tcPr>
          <w:p w14:paraId="50538BEF">
            <w:pPr>
              <w:pStyle w:val="31"/>
            </w:pPr>
            <w:r>
              <w:t>三级</w:t>
            </w:r>
          </w:p>
        </w:tc>
      </w:tr>
      <w:tr w14:paraId="71B1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2CFEA5A0">
            <w:pPr>
              <w:pStyle w:val="31"/>
            </w:pPr>
            <w:r>
              <w:t>较敏感</w:t>
            </w:r>
          </w:p>
        </w:tc>
        <w:tc>
          <w:tcPr>
            <w:tcW w:w="641" w:type="dxa"/>
            <w:vAlign w:val="center"/>
          </w:tcPr>
          <w:p w14:paraId="4024AF29">
            <w:pPr>
              <w:pStyle w:val="31"/>
            </w:pPr>
            <w:r>
              <w:t>一级</w:t>
            </w:r>
          </w:p>
        </w:tc>
        <w:tc>
          <w:tcPr>
            <w:tcW w:w="641" w:type="dxa"/>
            <w:vAlign w:val="center"/>
          </w:tcPr>
          <w:p w14:paraId="5A608F09">
            <w:pPr>
              <w:pStyle w:val="31"/>
            </w:pPr>
            <w:r>
              <w:t>一级</w:t>
            </w:r>
          </w:p>
        </w:tc>
        <w:tc>
          <w:tcPr>
            <w:tcW w:w="641" w:type="dxa"/>
            <w:vAlign w:val="center"/>
          </w:tcPr>
          <w:p w14:paraId="455C2FA0">
            <w:pPr>
              <w:pStyle w:val="31"/>
            </w:pPr>
            <w:r>
              <w:t>二级</w:t>
            </w:r>
          </w:p>
        </w:tc>
        <w:tc>
          <w:tcPr>
            <w:tcW w:w="641" w:type="dxa"/>
            <w:vAlign w:val="center"/>
          </w:tcPr>
          <w:p w14:paraId="7C9BE16A">
            <w:pPr>
              <w:pStyle w:val="31"/>
            </w:pPr>
            <w:r>
              <w:t>二级</w:t>
            </w:r>
          </w:p>
        </w:tc>
        <w:tc>
          <w:tcPr>
            <w:tcW w:w="641" w:type="dxa"/>
            <w:vAlign w:val="center"/>
          </w:tcPr>
          <w:p w14:paraId="0323ACFA">
            <w:pPr>
              <w:pStyle w:val="31"/>
            </w:pPr>
            <w:r>
              <w:t>二级</w:t>
            </w:r>
          </w:p>
        </w:tc>
        <w:tc>
          <w:tcPr>
            <w:tcW w:w="641" w:type="dxa"/>
            <w:vAlign w:val="center"/>
          </w:tcPr>
          <w:p w14:paraId="0AAFA3E7">
            <w:pPr>
              <w:pStyle w:val="31"/>
            </w:pPr>
            <w:r>
              <w:t>三级</w:t>
            </w:r>
          </w:p>
        </w:tc>
        <w:tc>
          <w:tcPr>
            <w:tcW w:w="641" w:type="dxa"/>
            <w:vAlign w:val="center"/>
          </w:tcPr>
          <w:p w14:paraId="0F2F876D">
            <w:pPr>
              <w:pStyle w:val="31"/>
            </w:pPr>
            <w:r>
              <w:t>三级</w:t>
            </w:r>
          </w:p>
        </w:tc>
        <w:tc>
          <w:tcPr>
            <w:tcW w:w="641" w:type="dxa"/>
            <w:vAlign w:val="center"/>
          </w:tcPr>
          <w:p w14:paraId="2D6B150A">
            <w:pPr>
              <w:pStyle w:val="31"/>
            </w:pPr>
            <w:r>
              <w:t>三级</w:t>
            </w:r>
          </w:p>
        </w:tc>
        <w:tc>
          <w:tcPr>
            <w:tcW w:w="641" w:type="dxa"/>
            <w:vAlign w:val="center"/>
          </w:tcPr>
          <w:p w14:paraId="0012F0EC">
            <w:pPr>
              <w:pStyle w:val="31"/>
            </w:pPr>
            <w:r>
              <w:t>-</w:t>
            </w:r>
          </w:p>
        </w:tc>
      </w:tr>
      <w:tr w14:paraId="3BED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5" w:type="dxa"/>
            <w:vAlign w:val="center"/>
          </w:tcPr>
          <w:p w14:paraId="38DBCDD2">
            <w:pPr>
              <w:pStyle w:val="31"/>
            </w:pPr>
            <w:r>
              <w:t>不敏感</w:t>
            </w:r>
          </w:p>
        </w:tc>
        <w:tc>
          <w:tcPr>
            <w:tcW w:w="641" w:type="dxa"/>
            <w:vAlign w:val="center"/>
          </w:tcPr>
          <w:p w14:paraId="6373C3C9">
            <w:pPr>
              <w:pStyle w:val="31"/>
            </w:pPr>
            <w:r>
              <w:t>一级</w:t>
            </w:r>
          </w:p>
        </w:tc>
        <w:tc>
          <w:tcPr>
            <w:tcW w:w="641" w:type="dxa"/>
            <w:vAlign w:val="center"/>
          </w:tcPr>
          <w:p w14:paraId="6B2ACF55">
            <w:pPr>
              <w:pStyle w:val="31"/>
            </w:pPr>
            <w:r>
              <w:t>二级</w:t>
            </w:r>
          </w:p>
        </w:tc>
        <w:tc>
          <w:tcPr>
            <w:tcW w:w="641" w:type="dxa"/>
            <w:vAlign w:val="center"/>
          </w:tcPr>
          <w:p w14:paraId="6460DD7F">
            <w:pPr>
              <w:pStyle w:val="31"/>
            </w:pPr>
            <w:r>
              <w:t>二级</w:t>
            </w:r>
          </w:p>
        </w:tc>
        <w:tc>
          <w:tcPr>
            <w:tcW w:w="641" w:type="dxa"/>
            <w:vAlign w:val="center"/>
          </w:tcPr>
          <w:p w14:paraId="731E4772">
            <w:pPr>
              <w:pStyle w:val="31"/>
            </w:pPr>
            <w:r>
              <w:t>二级</w:t>
            </w:r>
          </w:p>
        </w:tc>
        <w:tc>
          <w:tcPr>
            <w:tcW w:w="641" w:type="dxa"/>
            <w:vAlign w:val="center"/>
          </w:tcPr>
          <w:p w14:paraId="6BA7D959">
            <w:pPr>
              <w:pStyle w:val="31"/>
            </w:pPr>
            <w:r>
              <w:t>三级</w:t>
            </w:r>
          </w:p>
        </w:tc>
        <w:tc>
          <w:tcPr>
            <w:tcW w:w="641" w:type="dxa"/>
            <w:vAlign w:val="center"/>
          </w:tcPr>
          <w:p w14:paraId="214A0BC4">
            <w:pPr>
              <w:pStyle w:val="31"/>
            </w:pPr>
            <w:r>
              <w:t>三级</w:t>
            </w:r>
          </w:p>
        </w:tc>
        <w:tc>
          <w:tcPr>
            <w:tcW w:w="641" w:type="dxa"/>
            <w:vAlign w:val="center"/>
          </w:tcPr>
          <w:p w14:paraId="30B22F5A">
            <w:pPr>
              <w:pStyle w:val="31"/>
            </w:pPr>
            <w:r>
              <w:t>三级</w:t>
            </w:r>
          </w:p>
        </w:tc>
        <w:tc>
          <w:tcPr>
            <w:tcW w:w="641" w:type="dxa"/>
            <w:vAlign w:val="center"/>
          </w:tcPr>
          <w:p w14:paraId="3ECF5EAC">
            <w:pPr>
              <w:pStyle w:val="31"/>
            </w:pPr>
            <w:r>
              <w:t>-</w:t>
            </w:r>
          </w:p>
        </w:tc>
        <w:tc>
          <w:tcPr>
            <w:tcW w:w="641" w:type="dxa"/>
            <w:vAlign w:val="center"/>
          </w:tcPr>
          <w:p w14:paraId="346FB132">
            <w:pPr>
              <w:pStyle w:val="31"/>
            </w:pPr>
            <w:r>
              <w:rPr>
                <w:highlight w:val="lightGray"/>
              </w:rPr>
              <w:t>-</w:t>
            </w:r>
          </w:p>
        </w:tc>
      </w:tr>
      <w:tr w14:paraId="67A59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04" w:type="dxa"/>
            <w:gridSpan w:val="10"/>
            <w:vAlign w:val="center"/>
          </w:tcPr>
          <w:p w14:paraId="245EE5E0">
            <w:pPr>
              <w:pStyle w:val="31"/>
            </w:pPr>
            <w:r>
              <w:t>注：“-”表示可不开展土壤环境影响评价工作。</w:t>
            </w:r>
          </w:p>
        </w:tc>
      </w:tr>
    </w:tbl>
    <w:p w14:paraId="1902435F">
      <w:pPr>
        <w:pStyle w:val="21"/>
        <w:ind w:firstLine="480"/>
      </w:pPr>
      <w:r>
        <w:rPr>
          <w:rFonts w:hint="eastAsia"/>
        </w:rPr>
        <w:t>（5）土壤评价范围</w:t>
      </w:r>
    </w:p>
    <w:p w14:paraId="4D2EBA71">
      <w:pPr>
        <w:pStyle w:val="21"/>
        <w:ind w:firstLine="480"/>
      </w:pPr>
      <w:r>
        <w:rPr>
          <w:szCs w:val="24"/>
        </w:rPr>
        <w:t>根据《环境影响评价技术导则-土壤环境》</w:t>
      </w:r>
      <w:r>
        <w:rPr>
          <w:rFonts w:hint="eastAsia"/>
          <w:szCs w:val="24"/>
        </w:rPr>
        <w:t>三级评价范围为厂界周边0.05km范围。</w:t>
      </w:r>
    </w:p>
    <w:p w14:paraId="31838E9B">
      <w:pPr>
        <w:pStyle w:val="33"/>
      </w:pPr>
      <w:bookmarkStart w:id="77" w:name="_Toc11321"/>
      <w:bookmarkStart w:id="78" w:name="_Toc7046"/>
      <w:r>
        <w:rPr>
          <w:rFonts w:hint="eastAsia"/>
        </w:rPr>
        <w:t>2.5.6</w:t>
      </w:r>
      <w:r>
        <w:t>生态环境影响评价工作等级</w:t>
      </w:r>
      <w:bookmarkEnd w:id="77"/>
      <w:bookmarkEnd w:id="78"/>
    </w:p>
    <w:p w14:paraId="2B3873FA">
      <w:pPr>
        <w:pStyle w:val="21"/>
        <w:ind w:firstLine="480"/>
      </w:pPr>
      <w:r>
        <w:t>根据国家《环境影响评价技术导则 生态影响》（</w:t>
      </w:r>
      <w:r>
        <w:rPr>
          <w:rFonts w:hint="eastAsia"/>
        </w:rPr>
        <w:t>HJ19-2022</w:t>
      </w:r>
      <w:r>
        <w:t>）规定</w:t>
      </w:r>
      <w:r>
        <w:rPr>
          <w:rFonts w:hint="eastAsia"/>
        </w:rPr>
        <w:t>：符合生态环境分区管控要求且位于原厂界（或永久用地）范围内的污染影响类改扩建项目，位于已批准规划环评的产业园区内且符合规划环评要求、不涉及生态敏感区的污染影响类建设项目，可不确定评价等级，直接进行生态影响简单分析。本项目属于符合生态环境分区管控要求且位于原厂界（或永久用地）范围内的污染影响类改扩建项目。因此本项目直接进行生态影响简单分析，可不确定评价等级。</w:t>
      </w:r>
    </w:p>
    <w:p w14:paraId="653F9AAD">
      <w:pPr>
        <w:pStyle w:val="33"/>
      </w:pPr>
      <w:bookmarkStart w:id="79" w:name="_Toc13714"/>
      <w:bookmarkStart w:id="80" w:name="_Toc3725"/>
      <w:r>
        <w:rPr>
          <w:rFonts w:hint="eastAsia"/>
        </w:rPr>
        <w:t>2.5.7</w:t>
      </w:r>
      <w:r>
        <w:t>环境风险影响评价工作等级</w:t>
      </w:r>
      <w:bookmarkEnd w:id="79"/>
      <w:bookmarkEnd w:id="80"/>
    </w:p>
    <w:p w14:paraId="3BDDF523">
      <w:pPr>
        <w:pStyle w:val="21"/>
        <w:ind w:firstLine="480"/>
        <w:rPr>
          <w:color w:val="000000"/>
          <w:spacing w:val="6"/>
        </w:rPr>
      </w:pPr>
      <w:r>
        <w:rPr>
          <w:rFonts w:hint="eastAsia"/>
        </w:rPr>
        <w:t>根据</w:t>
      </w:r>
      <w:r>
        <w:t>《建设项目环境风险评价技术导则》（HJ169-2018）中的相关内容确定，本项目危险物质数量与临界量比值Q＜1，风险潜势为</w:t>
      </w:r>
      <w:r>
        <w:fldChar w:fldCharType="begin"/>
      </w:r>
      <w:r>
        <w:instrText xml:space="preserve"> = 1 \* ROMAN </w:instrText>
      </w:r>
      <w:r>
        <w:fldChar w:fldCharType="separate"/>
      </w:r>
      <w:r>
        <w:t>I</w:t>
      </w:r>
      <w:r>
        <w:fldChar w:fldCharType="end"/>
      </w:r>
      <w:r>
        <w:t>。本项目评价工作等级为简单分析</w:t>
      </w:r>
      <w:r>
        <w:rPr>
          <w:rFonts w:hint="eastAsia"/>
          <w:color w:val="000000"/>
          <w:spacing w:val="6"/>
        </w:rPr>
        <w:t>，可不设环境风险评价范围。</w:t>
      </w:r>
    </w:p>
    <w:p w14:paraId="4D120DDD">
      <w:pPr>
        <w:pStyle w:val="23"/>
      </w:pPr>
      <w:r>
        <w:t>表</w:t>
      </w:r>
      <w:r>
        <w:rPr>
          <w:rFonts w:hint="eastAsia"/>
        </w:rPr>
        <w:t>2.5</w:t>
      </w:r>
      <w:r>
        <w:t>-</w:t>
      </w:r>
      <w:r>
        <w:rPr>
          <w:rFonts w:hint="eastAsia"/>
        </w:rPr>
        <w:t>7</w:t>
      </w:r>
      <w:r>
        <w:t xml:space="preserve"> 风险评价等级划分</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28"/>
        <w:gridCol w:w="1828"/>
        <w:gridCol w:w="831"/>
        <w:gridCol w:w="829"/>
        <w:gridCol w:w="2088"/>
      </w:tblGrid>
      <w:tr w14:paraId="557BC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28" w:type="dxa"/>
            <w:tcBorders>
              <w:top w:val="single" w:color="auto" w:sz="4" w:space="0"/>
              <w:left w:val="single" w:color="auto" w:sz="4" w:space="0"/>
            </w:tcBorders>
            <w:vAlign w:val="center"/>
          </w:tcPr>
          <w:p w14:paraId="48AAC26F">
            <w:pPr>
              <w:pStyle w:val="31"/>
            </w:pPr>
            <w:r>
              <w:t>环境风险潜势</w:t>
            </w:r>
          </w:p>
        </w:tc>
        <w:tc>
          <w:tcPr>
            <w:tcW w:w="1828" w:type="dxa"/>
            <w:tcBorders>
              <w:top w:val="single" w:color="auto" w:sz="4" w:space="0"/>
            </w:tcBorders>
            <w:vAlign w:val="center"/>
          </w:tcPr>
          <w:p w14:paraId="59F1EC6C">
            <w:pPr>
              <w:pStyle w:val="31"/>
            </w:pPr>
            <w:r>
              <w:fldChar w:fldCharType="begin"/>
            </w:r>
            <w:r>
              <w:instrText xml:space="preserve"> = 4 \* ROMAN </w:instrText>
            </w:r>
            <w:r>
              <w:fldChar w:fldCharType="separate"/>
            </w:r>
            <w:r>
              <w:t>IV</w:t>
            </w:r>
            <w:r>
              <w:fldChar w:fldCharType="end"/>
            </w:r>
            <w:r>
              <w:t>、</w:t>
            </w:r>
            <w:r>
              <w:fldChar w:fldCharType="begin"/>
            </w:r>
            <w:r>
              <w:instrText xml:space="preserve"> = 4 \* ROMAN </w:instrText>
            </w:r>
            <w:r>
              <w:fldChar w:fldCharType="separate"/>
            </w:r>
            <w:r>
              <w:t>IV</w:t>
            </w:r>
            <w:r>
              <w:fldChar w:fldCharType="end"/>
            </w:r>
            <w:r>
              <w:rPr>
                <w:vertAlign w:val="superscript"/>
              </w:rPr>
              <w:t>+</w:t>
            </w:r>
          </w:p>
        </w:tc>
        <w:tc>
          <w:tcPr>
            <w:tcW w:w="831" w:type="dxa"/>
            <w:tcBorders>
              <w:top w:val="single" w:color="auto" w:sz="4" w:space="0"/>
            </w:tcBorders>
            <w:vAlign w:val="center"/>
          </w:tcPr>
          <w:p w14:paraId="3107CBBE">
            <w:pPr>
              <w:pStyle w:val="31"/>
            </w:pPr>
            <w:r>
              <w:fldChar w:fldCharType="begin"/>
            </w:r>
            <w:r>
              <w:instrText xml:space="preserve"> = 3 \* ROMAN </w:instrText>
            </w:r>
            <w:r>
              <w:fldChar w:fldCharType="separate"/>
            </w:r>
            <w:r>
              <w:t>III</w:t>
            </w:r>
            <w:r>
              <w:fldChar w:fldCharType="end"/>
            </w:r>
          </w:p>
        </w:tc>
        <w:tc>
          <w:tcPr>
            <w:tcW w:w="829" w:type="dxa"/>
            <w:tcBorders>
              <w:top w:val="single" w:color="auto" w:sz="4" w:space="0"/>
            </w:tcBorders>
            <w:vAlign w:val="center"/>
          </w:tcPr>
          <w:p w14:paraId="13201011">
            <w:pPr>
              <w:pStyle w:val="31"/>
            </w:pPr>
            <w:r>
              <w:fldChar w:fldCharType="begin"/>
            </w:r>
            <w:r>
              <w:instrText xml:space="preserve"> = 2 \* ROMAN </w:instrText>
            </w:r>
            <w:r>
              <w:fldChar w:fldCharType="separate"/>
            </w:r>
            <w:r>
              <w:t>II</w:t>
            </w:r>
            <w:r>
              <w:fldChar w:fldCharType="end"/>
            </w:r>
          </w:p>
        </w:tc>
        <w:tc>
          <w:tcPr>
            <w:tcW w:w="2088" w:type="dxa"/>
            <w:tcBorders>
              <w:top w:val="single" w:color="auto" w:sz="4" w:space="0"/>
              <w:right w:val="single" w:color="auto" w:sz="4" w:space="0"/>
            </w:tcBorders>
            <w:vAlign w:val="center"/>
          </w:tcPr>
          <w:p w14:paraId="5015200F">
            <w:pPr>
              <w:pStyle w:val="31"/>
            </w:pPr>
            <w:r>
              <w:fldChar w:fldCharType="begin"/>
            </w:r>
            <w:r>
              <w:instrText xml:space="preserve"> = 1 \* ROMAN </w:instrText>
            </w:r>
            <w:r>
              <w:fldChar w:fldCharType="separate"/>
            </w:r>
            <w:r>
              <w:t>I</w:t>
            </w:r>
            <w:r>
              <w:fldChar w:fldCharType="end"/>
            </w:r>
          </w:p>
        </w:tc>
      </w:tr>
      <w:tr w14:paraId="3467ED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928" w:type="dxa"/>
            <w:tcBorders>
              <w:left w:val="single" w:color="auto" w:sz="4" w:space="0"/>
              <w:bottom w:val="single" w:color="auto" w:sz="4" w:space="0"/>
            </w:tcBorders>
            <w:vAlign w:val="center"/>
          </w:tcPr>
          <w:p w14:paraId="09C1B80E">
            <w:pPr>
              <w:pStyle w:val="31"/>
            </w:pPr>
            <w:r>
              <w:t>评价工作等级</w:t>
            </w:r>
          </w:p>
        </w:tc>
        <w:tc>
          <w:tcPr>
            <w:tcW w:w="1828" w:type="dxa"/>
            <w:tcBorders>
              <w:bottom w:val="single" w:color="auto" w:sz="4" w:space="0"/>
            </w:tcBorders>
            <w:vAlign w:val="center"/>
          </w:tcPr>
          <w:p w14:paraId="67BE9E44">
            <w:pPr>
              <w:pStyle w:val="31"/>
            </w:pPr>
            <w:r>
              <w:t>一</w:t>
            </w:r>
          </w:p>
        </w:tc>
        <w:tc>
          <w:tcPr>
            <w:tcW w:w="831" w:type="dxa"/>
            <w:tcBorders>
              <w:bottom w:val="single" w:color="auto" w:sz="4" w:space="0"/>
            </w:tcBorders>
            <w:vAlign w:val="center"/>
          </w:tcPr>
          <w:p w14:paraId="16CA84DA">
            <w:pPr>
              <w:pStyle w:val="31"/>
            </w:pPr>
            <w:r>
              <w:t>二</w:t>
            </w:r>
          </w:p>
        </w:tc>
        <w:tc>
          <w:tcPr>
            <w:tcW w:w="829" w:type="dxa"/>
            <w:tcBorders>
              <w:bottom w:val="single" w:color="auto" w:sz="4" w:space="0"/>
            </w:tcBorders>
            <w:vAlign w:val="center"/>
          </w:tcPr>
          <w:p w14:paraId="7257531E">
            <w:pPr>
              <w:pStyle w:val="31"/>
            </w:pPr>
            <w:r>
              <w:t>三</w:t>
            </w:r>
          </w:p>
        </w:tc>
        <w:tc>
          <w:tcPr>
            <w:tcW w:w="2088" w:type="dxa"/>
            <w:tcBorders>
              <w:bottom w:val="single" w:color="auto" w:sz="4" w:space="0"/>
              <w:right w:val="single" w:color="auto" w:sz="4" w:space="0"/>
            </w:tcBorders>
            <w:vAlign w:val="center"/>
          </w:tcPr>
          <w:p w14:paraId="1B1CA162">
            <w:pPr>
              <w:pStyle w:val="31"/>
            </w:pPr>
            <w:r>
              <w:t>简单分析</w:t>
            </w:r>
          </w:p>
        </w:tc>
      </w:tr>
    </w:tbl>
    <w:p w14:paraId="59BF7618">
      <w:pPr>
        <w:pStyle w:val="28"/>
        <w:bidi w:val="0"/>
      </w:pPr>
      <w:bookmarkStart w:id="81" w:name="_Toc18736"/>
      <w:r>
        <w:rPr>
          <w:rFonts w:hint="eastAsia"/>
        </w:rPr>
        <w:t>2.6主要环境保护目标</w:t>
      </w:r>
      <w:bookmarkEnd w:id="81"/>
    </w:p>
    <w:p w14:paraId="6A57BA9A">
      <w:pPr>
        <w:pStyle w:val="21"/>
        <w:ind w:firstLine="480"/>
      </w:pPr>
      <w:bookmarkStart w:id="82" w:name="_Hlk157441259"/>
      <w:r>
        <w:rPr>
          <w:rFonts w:hint="eastAsia"/>
        </w:rPr>
        <w:t>根据现场踏勘，项目主要环境保护目标见下表。</w:t>
      </w:r>
    </w:p>
    <w:p w14:paraId="429E9F2E">
      <w:pPr>
        <w:pStyle w:val="23"/>
        <w:rPr>
          <w:rFonts w:hint="eastAsia"/>
        </w:rPr>
      </w:pPr>
      <w:r>
        <w:rPr>
          <w:rFonts w:hint="eastAsia"/>
        </w:rPr>
        <w:t>表</w:t>
      </w:r>
      <w:r>
        <w:t>2.</w:t>
      </w:r>
      <w:r>
        <w:rPr>
          <w:rFonts w:hint="eastAsia"/>
        </w:rPr>
        <w:t>7-</w:t>
      </w:r>
      <w:r>
        <w:t xml:space="preserve">1  </w:t>
      </w:r>
      <w:r>
        <w:rPr>
          <w:rFonts w:hint="eastAsia"/>
          <w:color w:val="000000" w:themeColor="text1"/>
          <w14:textFill>
            <w14:solidFill>
              <w14:schemeClr w14:val="tx1"/>
            </w14:solidFill>
          </w14:textFill>
        </w:rPr>
        <w:t>主要大气环境保护目标</w:t>
      </w:r>
      <w:r>
        <w:rPr>
          <w:rFonts w:hint="eastAsia"/>
        </w:rPr>
        <w:t>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2783"/>
        <w:gridCol w:w="580"/>
        <w:gridCol w:w="581"/>
        <w:gridCol w:w="505"/>
        <w:gridCol w:w="1701"/>
        <w:gridCol w:w="733"/>
        <w:gridCol w:w="505"/>
        <w:gridCol w:w="959"/>
      </w:tblGrid>
      <w:tr w14:paraId="5B02E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Merge w:val="restart"/>
            <w:vAlign w:val="center"/>
          </w:tcPr>
          <w:p w14:paraId="4C6B1F01">
            <w:pPr>
              <w:pStyle w:val="31"/>
              <w:bidi w:val="0"/>
              <w:jc w:val="center"/>
              <w:rPr>
                <w:rFonts w:hint="eastAsia" w:eastAsia="宋体"/>
                <w:lang w:val="en-US" w:eastAsia="zh-CN"/>
              </w:rPr>
            </w:pPr>
            <w:r>
              <w:rPr>
                <w:rFonts w:hint="eastAsia"/>
                <w:lang w:val="en-US" w:eastAsia="zh-CN"/>
              </w:rPr>
              <w:t>名称</w:t>
            </w:r>
          </w:p>
        </w:tc>
        <w:tc>
          <w:tcPr>
            <w:tcW w:w="695" w:type="pct"/>
            <w:gridSpan w:val="2"/>
            <w:vAlign w:val="center"/>
          </w:tcPr>
          <w:p w14:paraId="5FD33F10">
            <w:pPr>
              <w:pStyle w:val="31"/>
              <w:bidi w:val="0"/>
              <w:jc w:val="center"/>
              <w:rPr>
                <w:rFonts w:hint="eastAsia"/>
              </w:rPr>
            </w:pPr>
            <w:r>
              <w:rPr>
                <w:rFonts w:hint="eastAsia"/>
                <w:lang w:val="en-US" w:eastAsia="zh-CN"/>
              </w:rPr>
              <w:t>坐标/m</w:t>
            </w:r>
          </w:p>
        </w:tc>
        <w:tc>
          <w:tcPr>
            <w:tcW w:w="302" w:type="pct"/>
            <w:vMerge w:val="restart"/>
            <w:vAlign w:val="center"/>
          </w:tcPr>
          <w:p w14:paraId="6E44A550">
            <w:pPr>
              <w:pStyle w:val="31"/>
              <w:bidi w:val="0"/>
              <w:jc w:val="center"/>
              <w:rPr>
                <w:rFonts w:hint="eastAsia"/>
                <w:lang w:val="en-US" w:eastAsia="zh-CN"/>
              </w:rPr>
            </w:pPr>
            <w:r>
              <w:rPr>
                <w:rFonts w:hint="eastAsia"/>
                <w:lang w:val="en-US" w:eastAsia="zh-CN"/>
              </w:rPr>
              <w:t>保护</w:t>
            </w:r>
          </w:p>
          <w:p w14:paraId="2BCD7F47">
            <w:pPr>
              <w:pStyle w:val="31"/>
              <w:bidi w:val="0"/>
              <w:jc w:val="center"/>
              <w:rPr>
                <w:rFonts w:hint="default" w:eastAsia="宋体"/>
                <w:lang w:val="en-US" w:eastAsia="zh-CN"/>
              </w:rPr>
            </w:pPr>
            <w:r>
              <w:rPr>
                <w:rFonts w:hint="eastAsia"/>
                <w:lang w:val="en-US" w:eastAsia="zh-CN"/>
              </w:rPr>
              <w:t>对象</w:t>
            </w:r>
          </w:p>
        </w:tc>
        <w:tc>
          <w:tcPr>
            <w:tcW w:w="1018" w:type="pct"/>
            <w:vMerge w:val="restart"/>
            <w:vAlign w:val="center"/>
          </w:tcPr>
          <w:p w14:paraId="6309E091">
            <w:pPr>
              <w:pStyle w:val="31"/>
              <w:bidi w:val="0"/>
              <w:jc w:val="center"/>
              <w:rPr>
                <w:rFonts w:hint="default" w:eastAsia="宋体"/>
                <w:lang w:val="en-US" w:eastAsia="zh-CN"/>
              </w:rPr>
            </w:pPr>
            <w:r>
              <w:rPr>
                <w:rFonts w:hint="eastAsia"/>
                <w:lang w:val="en-US" w:eastAsia="zh-CN"/>
              </w:rPr>
              <w:t>保护内容</w:t>
            </w:r>
          </w:p>
        </w:tc>
        <w:tc>
          <w:tcPr>
            <w:tcW w:w="439" w:type="pct"/>
            <w:vMerge w:val="restart"/>
            <w:vAlign w:val="center"/>
          </w:tcPr>
          <w:p w14:paraId="13BE71AB">
            <w:pPr>
              <w:pStyle w:val="31"/>
              <w:bidi w:val="0"/>
              <w:jc w:val="center"/>
              <w:rPr>
                <w:rFonts w:hint="eastAsia"/>
                <w:lang w:val="en-US" w:eastAsia="zh-CN"/>
              </w:rPr>
            </w:pPr>
            <w:r>
              <w:rPr>
                <w:rFonts w:hint="eastAsia"/>
                <w:lang w:val="en-US" w:eastAsia="zh-CN"/>
              </w:rPr>
              <w:t>环境</w:t>
            </w:r>
          </w:p>
          <w:p w14:paraId="0B3BC225">
            <w:pPr>
              <w:pStyle w:val="31"/>
              <w:bidi w:val="0"/>
              <w:jc w:val="center"/>
              <w:rPr>
                <w:rFonts w:hint="default" w:eastAsia="宋体"/>
                <w:lang w:val="en-US" w:eastAsia="zh-CN"/>
              </w:rPr>
            </w:pPr>
            <w:r>
              <w:rPr>
                <w:rFonts w:hint="eastAsia"/>
                <w:lang w:val="en-US" w:eastAsia="zh-CN"/>
              </w:rPr>
              <w:t>功能区</w:t>
            </w:r>
          </w:p>
        </w:tc>
        <w:tc>
          <w:tcPr>
            <w:tcW w:w="302" w:type="pct"/>
            <w:vMerge w:val="restart"/>
            <w:vAlign w:val="center"/>
          </w:tcPr>
          <w:p w14:paraId="48102B46">
            <w:pPr>
              <w:pStyle w:val="31"/>
              <w:bidi w:val="0"/>
              <w:jc w:val="center"/>
              <w:rPr>
                <w:rFonts w:hint="eastAsia"/>
                <w:lang w:val="en-US" w:eastAsia="zh-CN"/>
              </w:rPr>
            </w:pPr>
            <w:r>
              <w:rPr>
                <w:rFonts w:hint="eastAsia"/>
                <w:lang w:val="en-US" w:eastAsia="zh-CN"/>
              </w:rPr>
              <w:t>相对</w:t>
            </w:r>
          </w:p>
          <w:p w14:paraId="37666567">
            <w:pPr>
              <w:pStyle w:val="31"/>
              <w:bidi w:val="0"/>
              <w:jc w:val="center"/>
              <w:rPr>
                <w:rFonts w:hint="eastAsia"/>
                <w:lang w:val="en-US" w:eastAsia="zh-CN"/>
              </w:rPr>
            </w:pPr>
            <w:r>
              <w:rPr>
                <w:rFonts w:hint="eastAsia"/>
                <w:lang w:val="en-US" w:eastAsia="zh-CN"/>
              </w:rPr>
              <w:t>厂址</w:t>
            </w:r>
          </w:p>
          <w:p w14:paraId="17A78794">
            <w:pPr>
              <w:pStyle w:val="31"/>
              <w:bidi w:val="0"/>
              <w:jc w:val="center"/>
              <w:rPr>
                <w:rFonts w:hint="default" w:eastAsia="宋体"/>
                <w:lang w:val="en-US" w:eastAsia="zh-CN"/>
              </w:rPr>
            </w:pPr>
            <w:r>
              <w:rPr>
                <w:rFonts w:hint="eastAsia"/>
                <w:lang w:val="en-US" w:eastAsia="zh-CN"/>
              </w:rPr>
              <w:t>方位</w:t>
            </w:r>
          </w:p>
        </w:tc>
        <w:tc>
          <w:tcPr>
            <w:tcW w:w="574" w:type="pct"/>
            <w:vMerge w:val="restart"/>
            <w:vAlign w:val="center"/>
          </w:tcPr>
          <w:p w14:paraId="2F5A4979">
            <w:pPr>
              <w:pStyle w:val="31"/>
              <w:bidi w:val="0"/>
              <w:jc w:val="center"/>
              <w:rPr>
                <w:rFonts w:hint="eastAsia"/>
                <w:lang w:val="en-US" w:eastAsia="zh-CN"/>
              </w:rPr>
            </w:pPr>
            <w:r>
              <w:rPr>
                <w:rFonts w:hint="eastAsia"/>
                <w:lang w:val="en-US" w:eastAsia="zh-CN"/>
              </w:rPr>
              <w:t>相对厂界</w:t>
            </w:r>
          </w:p>
          <w:p w14:paraId="553F3924">
            <w:pPr>
              <w:pStyle w:val="31"/>
              <w:bidi w:val="0"/>
              <w:jc w:val="center"/>
              <w:rPr>
                <w:rFonts w:hint="eastAsia"/>
                <w:lang w:val="en-US" w:eastAsia="zh-CN"/>
              </w:rPr>
            </w:pPr>
            <w:r>
              <w:rPr>
                <w:rFonts w:hint="eastAsia"/>
                <w:lang w:val="en-US" w:eastAsia="zh-CN"/>
              </w:rPr>
              <w:t>最近距离</w:t>
            </w:r>
          </w:p>
          <w:p w14:paraId="400F270F">
            <w:pPr>
              <w:pStyle w:val="31"/>
              <w:bidi w:val="0"/>
              <w:jc w:val="center"/>
              <w:rPr>
                <w:rFonts w:hint="default" w:eastAsia="宋体"/>
                <w:lang w:val="en-US" w:eastAsia="zh-CN"/>
              </w:rPr>
            </w:pPr>
            <w:r>
              <w:rPr>
                <w:rFonts w:hint="eastAsia"/>
                <w:lang w:val="en-US" w:eastAsia="zh-CN"/>
              </w:rPr>
              <w:t>/m</w:t>
            </w:r>
          </w:p>
        </w:tc>
      </w:tr>
      <w:tr w14:paraId="6E6DF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Merge w:val="continue"/>
            <w:vAlign w:val="center"/>
          </w:tcPr>
          <w:p w14:paraId="19CBB81B">
            <w:pPr>
              <w:pStyle w:val="31"/>
              <w:bidi w:val="0"/>
              <w:jc w:val="center"/>
              <w:rPr>
                <w:rFonts w:hint="eastAsia"/>
              </w:rPr>
            </w:pPr>
          </w:p>
        </w:tc>
        <w:tc>
          <w:tcPr>
            <w:tcW w:w="347" w:type="pct"/>
            <w:vAlign w:val="center"/>
          </w:tcPr>
          <w:p w14:paraId="3BF91203">
            <w:pPr>
              <w:pStyle w:val="31"/>
              <w:bidi w:val="0"/>
              <w:jc w:val="center"/>
              <w:rPr>
                <w:rFonts w:hint="eastAsia" w:eastAsia="宋体"/>
                <w:lang w:val="en-US" w:eastAsia="zh-CN"/>
              </w:rPr>
            </w:pPr>
            <w:r>
              <w:rPr>
                <w:rFonts w:hint="eastAsia"/>
                <w:lang w:val="en-US" w:eastAsia="zh-CN"/>
              </w:rPr>
              <w:t>X</w:t>
            </w:r>
          </w:p>
        </w:tc>
        <w:tc>
          <w:tcPr>
            <w:tcW w:w="347" w:type="pct"/>
            <w:vAlign w:val="center"/>
          </w:tcPr>
          <w:p w14:paraId="47C1DB01">
            <w:pPr>
              <w:pStyle w:val="31"/>
              <w:bidi w:val="0"/>
              <w:jc w:val="center"/>
              <w:rPr>
                <w:rFonts w:hint="eastAsia" w:eastAsia="宋体"/>
                <w:lang w:val="en-US" w:eastAsia="zh-CN"/>
              </w:rPr>
            </w:pPr>
            <w:r>
              <w:rPr>
                <w:rFonts w:hint="eastAsia"/>
                <w:lang w:val="en-US" w:eastAsia="zh-CN"/>
              </w:rPr>
              <w:t>Y</w:t>
            </w:r>
          </w:p>
        </w:tc>
        <w:tc>
          <w:tcPr>
            <w:tcW w:w="302" w:type="pct"/>
            <w:vMerge w:val="continue"/>
            <w:vAlign w:val="center"/>
          </w:tcPr>
          <w:p w14:paraId="06DD8B73">
            <w:pPr>
              <w:pStyle w:val="31"/>
              <w:bidi w:val="0"/>
              <w:jc w:val="center"/>
              <w:rPr>
                <w:rFonts w:hint="eastAsia"/>
              </w:rPr>
            </w:pPr>
          </w:p>
        </w:tc>
        <w:tc>
          <w:tcPr>
            <w:tcW w:w="1018" w:type="pct"/>
            <w:vMerge w:val="continue"/>
            <w:vAlign w:val="center"/>
          </w:tcPr>
          <w:p w14:paraId="3AC1C0EA">
            <w:pPr>
              <w:pStyle w:val="31"/>
              <w:bidi w:val="0"/>
              <w:jc w:val="center"/>
              <w:rPr>
                <w:rFonts w:hint="eastAsia"/>
              </w:rPr>
            </w:pPr>
          </w:p>
        </w:tc>
        <w:tc>
          <w:tcPr>
            <w:tcW w:w="439" w:type="pct"/>
            <w:vMerge w:val="continue"/>
            <w:vAlign w:val="center"/>
          </w:tcPr>
          <w:p w14:paraId="3B7B0C95">
            <w:pPr>
              <w:pStyle w:val="31"/>
              <w:bidi w:val="0"/>
              <w:jc w:val="center"/>
              <w:rPr>
                <w:rFonts w:hint="eastAsia"/>
              </w:rPr>
            </w:pPr>
          </w:p>
        </w:tc>
        <w:tc>
          <w:tcPr>
            <w:tcW w:w="302" w:type="pct"/>
            <w:vMerge w:val="continue"/>
            <w:vAlign w:val="center"/>
          </w:tcPr>
          <w:p w14:paraId="1DBBFDB8">
            <w:pPr>
              <w:pStyle w:val="31"/>
              <w:bidi w:val="0"/>
              <w:jc w:val="center"/>
              <w:rPr>
                <w:rFonts w:hint="eastAsia"/>
              </w:rPr>
            </w:pPr>
          </w:p>
        </w:tc>
        <w:tc>
          <w:tcPr>
            <w:tcW w:w="574" w:type="pct"/>
            <w:vMerge w:val="continue"/>
            <w:vAlign w:val="center"/>
          </w:tcPr>
          <w:p w14:paraId="1354AA7C">
            <w:pPr>
              <w:pStyle w:val="31"/>
              <w:bidi w:val="0"/>
              <w:jc w:val="center"/>
              <w:rPr>
                <w:rFonts w:hint="eastAsia"/>
              </w:rPr>
            </w:pPr>
          </w:p>
        </w:tc>
      </w:tr>
      <w:tr w14:paraId="0038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A492917">
            <w:pPr>
              <w:pStyle w:val="31"/>
              <w:bidi w:val="0"/>
              <w:jc w:val="center"/>
              <w:rPr>
                <w:rFonts w:hint="default"/>
                <w:lang w:val="en-US" w:eastAsia="zh-CN"/>
              </w:rPr>
            </w:pPr>
            <w:r>
              <w:rPr>
                <w:rFonts w:hint="default"/>
                <w:lang w:val="en-US" w:eastAsia="zh-CN"/>
              </w:rPr>
              <w:t>衡东县三樟镇</w:t>
            </w:r>
          </w:p>
          <w:p w14:paraId="51B7BA3E">
            <w:pPr>
              <w:pStyle w:val="31"/>
              <w:bidi w:val="0"/>
              <w:jc w:val="center"/>
              <w:rPr>
                <w:rFonts w:hint="eastAsia"/>
              </w:rPr>
            </w:pPr>
            <w:r>
              <w:rPr>
                <w:rFonts w:hint="default"/>
                <w:lang w:val="en-US" w:eastAsia="zh-CN"/>
              </w:rPr>
              <w:t>长江村林家坊</w:t>
            </w:r>
          </w:p>
        </w:tc>
        <w:tc>
          <w:tcPr>
            <w:tcW w:w="347" w:type="pct"/>
            <w:vAlign w:val="center"/>
          </w:tcPr>
          <w:p w14:paraId="5C3EC3DC">
            <w:pPr>
              <w:pStyle w:val="31"/>
              <w:bidi w:val="0"/>
              <w:jc w:val="center"/>
              <w:rPr>
                <w:rFonts w:hint="eastAsia"/>
              </w:rPr>
            </w:pPr>
            <w:r>
              <w:rPr>
                <w:rFonts w:hint="default"/>
                <w:lang w:val="en-US" w:eastAsia="zh-CN"/>
              </w:rPr>
              <w:t>137</w:t>
            </w:r>
          </w:p>
        </w:tc>
        <w:tc>
          <w:tcPr>
            <w:tcW w:w="347" w:type="pct"/>
            <w:vAlign w:val="center"/>
          </w:tcPr>
          <w:p w14:paraId="4ECA3F35">
            <w:pPr>
              <w:pStyle w:val="31"/>
              <w:bidi w:val="0"/>
              <w:jc w:val="center"/>
              <w:rPr>
                <w:rFonts w:hint="eastAsia"/>
              </w:rPr>
            </w:pPr>
            <w:r>
              <w:rPr>
                <w:rFonts w:hint="default"/>
                <w:lang w:val="en-US" w:eastAsia="zh-CN"/>
              </w:rPr>
              <w:t>-11</w:t>
            </w:r>
          </w:p>
        </w:tc>
        <w:tc>
          <w:tcPr>
            <w:tcW w:w="302" w:type="pct"/>
            <w:vAlign w:val="center"/>
          </w:tcPr>
          <w:p w14:paraId="79F454E7">
            <w:pPr>
              <w:pStyle w:val="31"/>
              <w:bidi w:val="0"/>
              <w:jc w:val="center"/>
              <w:rPr>
                <w:rFonts w:hint="eastAsia" w:eastAsia="宋体"/>
                <w:lang w:val="en-US" w:eastAsia="zh-CN"/>
              </w:rPr>
            </w:pPr>
            <w:r>
              <w:rPr>
                <w:rFonts w:hint="eastAsia"/>
                <w:lang w:val="en-US" w:eastAsia="zh-CN"/>
              </w:rPr>
              <w:t>居民</w:t>
            </w:r>
          </w:p>
        </w:tc>
        <w:tc>
          <w:tcPr>
            <w:tcW w:w="1018" w:type="pct"/>
            <w:vAlign w:val="center"/>
          </w:tcPr>
          <w:p w14:paraId="3F27B337">
            <w:pPr>
              <w:pStyle w:val="31"/>
              <w:bidi w:val="0"/>
              <w:jc w:val="center"/>
              <w:rPr>
                <w:rFonts w:hint="eastAsia"/>
              </w:rPr>
            </w:pPr>
            <w:r>
              <w:rPr>
                <w:rFonts w:hint="default"/>
                <w:lang w:val="en-US" w:eastAsia="zh-CN"/>
              </w:rPr>
              <w:t>约</w:t>
            </w:r>
            <w:r>
              <w:rPr>
                <w:rFonts w:hint="eastAsia"/>
                <w:lang w:val="en-US" w:eastAsia="zh-CN"/>
              </w:rPr>
              <w:t>18</w:t>
            </w:r>
            <w:r>
              <w:rPr>
                <w:rFonts w:hint="default"/>
                <w:lang w:val="en-US" w:eastAsia="zh-CN"/>
              </w:rPr>
              <w:t>户，70人</w:t>
            </w:r>
          </w:p>
        </w:tc>
        <w:tc>
          <w:tcPr>
            <w:tcW w:w="439" w:type="pct"/>
            <w:vAlign w:val="center"/>
          </w:tcPr>
          <w:p w14:paraId="7ABABF76">
            <w:pPr>
              <w:pStyle w:val="31"/>
              <w:bidi w:val="0"/>
              <w:jc w:val="center"/>
              <w:rPr>
                <w:rFonts w:hint="default" w:eastAsia="宋体"/>
                <w:lang w:val="en-US" w:eastAsia="zh-CN"/>
              </w:rPr>
            </w:pPr>
            <w:r>
              <w:rPr>
                <w:rFonts w:hint="eastAsia"/>
                <w:lang w:val="en-US" w:eastAsia="zh-CN"/>
              </w:rPr>
              <w:t>2类</w:t>
            </w:r>
          </w:p>
        </w:tc>
        <w:tc>
          <w:tcPr>
            <w:tcW w:w="302" w:type="pct"/>
            <w:vAlign w:val="center"/>
          </w:tcPr>
          <w:p w14:paraId="0AC4FF23">
            <w:pPr>
              <w:pStyle w:val="31"/>
              <w:bidi w:val="0"/>
              <w:jc w:val="center"/>
              <w:rPr>
                <w:rFonts w:hint="eastAsia"/>
              </w:rPr>
            </w:pPr>
            <w:r>
              <w:rPr>
                <w:rFonts w:hint="default"/>
                <w:lang w:val="en-US" w:eastAsia="zh-CN"/>
              </w:rPr>
              <w:t>SE</w:t>
            </w:r>
          </w:p>
        </w:tc>
        <w:tc>
          <w:tcPr>
            <w:tcW w:w="574" w:type="pct"/>
            <w:vAlign w:val="center"/>
          </w:tcPr>
          <w:p w14:paraId="1059BE81">
            <w:pPr>
              <w:pStyle w:val="31"/>
              <w:bidi w:val="0"/>
              <w:jc w:val="center"/>
              <w:rPr>
                <w:rFonts w:hint="eastAsia"/>
              </w:rPr>
            </w:pPr>
            <w:r>
              <w:rPr>
                <w:rFonts w:hint="default"/>
                <w:lang w:val="en-US" w:eastAsia="zh-CN"/>
              </w:rPr>
              <w:t>40</w:t>
            </w:r>
          </w:p>
        </w:tc>
      </w:tr>
      <w:tr w14:paraId="11F14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A66E63F">
            <w:pPr>
              <w:pStyle w:val="31"/>
              <w:bidi w:val="0"/>
              <w:jc w:val="center"/>
              <w:rPr>
                <w:rFonts w:hint="default"/>
                <w:lang w:val="en-US" w:eastAsia="zh-CN"/>
              </w:rPr>
            </w:pPr>
            <w:r>
              <w:rPr>
                <w:rFonts w:hint="default"/>
                <w:lang w:val="en-US" w:eastAsia="zh-CN"/>
              </w:rPr>
              <w:t>衡东县三樟镇</w:t>
            </w:r>
          </w:p>
          <w:p w14:paraId="226F757A">
            <w:pPr>
              <w:pStyle w:val="31"/>
              <w:bidi w:val="0"/>
              <w:jc w:val="center"/>
              <w:rPr>
                <w:rFonts w:hint="eastAsia"/>
              </w:rPr>
            </w:pPr>
            <w:r>
              <w:rPr>
                <w:rFonts w:hint="default"/>
                <w:lang w:val="en-US" w:eastAsia="zh-CN"/>
              </w:rPr>
              <w:t>长江村木桥港</w:t>
            </w:r>
          </w:p>
        </w:tc>
        <w:tc>
          <w:tcPr>
            <w:tcW w:w="347" w:type="pct"/>
            <w:vAlign w:val="center"/>
          </w:tcPr>
          <w:p w14:paraId="7E4CC82C">
            <w:pPr>
              <w:pStyle w:val="31"/>
              <w:bidi w:val="0"/>
              <w:jc w:val="center"/>
              <w:rPr>
                <w:rFonts w:hint="eastAsia"/>
              </w:rPr>
            </w:pPr>
            <w:r>
              <w:rPr>
                <w:rFonts w:hint="default"/>
                <w:lang w:val="en-US" w:eastAsia="zh-CN"/>
              </w:rPr>
              <w:t>41</w:t>
            </w:r>
          </w:p>
        </w:tc>
        <w:tc>
          <w:tcPr>
            <w:tcW w:w="347" w:type="pct"/>
            <w:vAlign w:val="center"/>
          </w:tcPr>
          <w:p w14:paraId="4BDFC6A0">
            <w:pPr>
              <w:pStyle w:val="31"/>
              <w:bidi w:val="0"/>
              <w:jc w:val="center"/>
              <w:rPr>
                <w:rFonts w:hint="eastAsia"/>
              </w:rPr>
            </w:pPr>
            <w:r>
              <w:rPr>
                <w:rFonts w:hint="default"/>
                <w:lang w:val="en-US" w:eastAsia="zh-CN"/>
              </w:rPr>
              <w:t>-501</w:t>
            </w:r>
          </w:p>
        </w:tc>
        <w:tc>
          <w:tcPr>
            <w:tcW w:w="302" w:type="pct"/>
            <w:vAlign w:val="center"/>
          </w:tcPr>
          <w:p w14:paraId="041E99A6">
            <w:pPr>
              <w:pStyle w:val="31"/>
              <w:bidi w:val="0"/>
              <w:ind w:firstLine="0" w:firstLineChars="0"/>
              <w:jc w:val="center"/>
              <w:rPr>
                <w:rFonts w:hint="eastAsia"/>
              </w:rPr>
            </w:pPr>
            <w:r>
              <w:rPr>
                <w:rFonts w:hint="eastAsia"/>
                <w:lang w:val="en-US" w:eastAsia="zh-CN"/>
              </w:rPr>
              <w:t>居民</w:t>
            </w:r>
          </w:p>
        </w:tc>
        <w:tc>
          <w:tcPr>
            <w:tcW w:w="1018" w:type="pct"/>
            <w:vAlign w:val="center"/>
          </w:tcPr>
          <w:p w14:paraId="6E072638">
            <w:pPr>
              <w:pStyle w:val="31"/>
              <w:bidi w:val="0"/>
              <w:jc w:val="center"/>
              <w:rPr>
                <w:rFonts w:hint="eastAsia"/>
              </w:rPr>
            </w:pPr>
            <w:r>
              <w:rPr>
                <w:rFonts w:hint="default"/>
                <w:lang w:val="en-US" w:eastAsia="zh-CN"/>
              </w:rPr>
              <w:t>约15户，53人</w:t>
            </w:r>
          </w:p>
        </w:tc>
        <w:tc>
          <w:tcPr>
            <w:tcW w:w="439" w:type="pct"/>
            <w:vAlign w:val="center"/>
          </w:tcPr>
          <w:p w14:paraId="3F0116E1">
            <w:pPr>
              <w:pStyle w:val="31"/>
              <w:bidi w:val="0"/>
              <w:ind w:firstLine="0" w:firstLineChars="0"/>
              <w:jc w:val="center"/>
              <w:rPr>
                <w:rFonts w:hint="eastAsia"/>
              </w:rPr>
            </w:pPr>
            <w:r>
              <w:rPr>
                <w:rFonts w:hint="eastAsia"/>
                <w:lang w:val="en-US" w:eastAsia="zh-CN"/>
              </w:rPr>
              <w:t>2类</w:t>
            </w:r>
          </w:p>
        </w:tc>
        <w:tc>
          <w:tcPr>
            <w:tcW w:w="302" w:type="pct"/>
            <w:vAlign w:val="center"/>
          </w:tcPr>
          <w:p w14:paraId="62191F69">
            <w:pPr>
              <w:pStyle w:val="31"/>
              <w:bidi w:val="0"/>
              <w:jc w:val="center"/>
              <w:rPr>
                <w:rFonts w:hint="eastAsia"/>
              </w:rPr>
            </w:pPr>
            <w:r>
              <w:rPr>
                <w:rFonts w:hint="default"/>
                <w:lang w:val="en-US" w:eastAsia="zh-CN"/>
              </w:rPr>
              <w:t>SE</w:t>
            </w:r>
          </w:p>
        </w:tc>
        <w:tc>
          <w:tcPr>
            <w:tcW w:w="574" w:type="pct"/>
            <w:vAlign w:val="center"/>
          </w:tcPr>
          <w:p w14:paraId="4C001CE7">
            <w:pPr>
              <w:pStyle w:val="31"/>
              <w:bidi w:val="0"/>
              <w:jc w:val="center"/>
              <w:rPr>
                <w:rFonts w:hint="eastAsia"/>
              </w:rPr>
            </w:pPr>
            <w:r>
              <w:rPr>
                <w:rFonts w:hint="default"/>
                <w:lang w:val="en-US" w:eastAsia="zh-CN"/>
              </w:rPr>
              <w:t>400</w:t>
            </w:r>
          </w:p>
        </w:tc>
      </w:tr>
      <w:tr w14:paraId="57DA0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86A5960">
            <w:pPr>
              <w:pStyle w:val="31"/>
              <w:bidi w:val="0"/>
              <w:jc w:val="center"/>
              <w:rPr>
                <w:rFonts w:hint="default"/>
                <w:lang w:val="en-US" w:eastAsia="zh-CN"/>
              </w:rPr>
            </w:pPr>
            <w:r>
              <w:rPr>
                <w:rFonts w:hint="default"/>
                <w:lang w:val="en-US" w:eastAsia="zh-CN"/>
              </w:rPr>
              <w:t>衡东县三樟镇</w:t>
            </w:r>
          </w:p>
          <w:p w14:paraId="6C9F87FF">
            <w:pPr>
              <w:pStyle w:val="31"/>
              <w:bidi w:val="0"/>
              <w:jc w:val="center"/>
              <w:rPr>
                <w:rFonts w:hint="eastAsia"/>
              </w:rPr>
            </w:pPr>
            <w:r>
              <w:rPr>
                <w:rFonts w:hint="default"/>
                <w:lang w:val="en-US" w:eastAsia="zh-CN"/>
              </w:rPr>
              <w:t>长江村大园</w:t>
            </w:r>
          </w:p>
        </w:tc>
        <w:tc>
          <w:tcPr>
            <w:tcW w:w="347" w:type="pct"/>
            <w:vAlign w:val="center"/>
          </w:tcPr>
          <w:p w14:paraId="09321794">
            <w:pPr>
              <w:pStyle w:val="31"/>
              <w:bidi w:val="0"/>
              <w:jc w:val="center"/>
              <w:rPr>
                <w:rFonts w:hint="eastAsia"/>
              </w:rPr>
            </w:pPr>
            <w:r>
              <w:rPr>
                <w:rFonts w:hint="default"/>
                <w:lang w:val="en-US" w:eastAsia="zh-CN"/>
              </w:rPr>
              <w:t>491</w:t>
            </w:r>
          </w:p>
        </w:tc>
        <w:tc>
          <w:tcPr>
            <w:tcW w:w="347" w:type="pct"/>
            <w:vAlign w:val="center"/>
          </w:tcPr>
          <w:p w14:paraId="138FF4E5">
            <w:pPr>
              <w:pStyle w:val="31"/>
              <w:bidi w:val="0"/>
              <w:jc w:val="center"/>
              <w:rPr>
                <w:rFonts w:hint="eastAsia"/>
              </w:rPr>
            </w:pPr>
            <w:r>
              <w:rPr>
                <w:rFonts w:hint="default"/>
                <w:lang w:val="en-US" w:eastAsia="zh-CN"/>
              </w:rPr>
              <w:t>-294</w:t>
            </w:r>
          </w:p>
        </w:tc>
        <w:tc>
          <w:tcPr>
            <w:tcW w:w="302" w:type="pct"/>
            <w:vAlign w:val="center"/>
          </w:tcPr>
          <w:p w14:paraId="1B881598">
            <w:pPr>
              <w:pStyle w:val="31"/>
              <w:bidi w:val="0"/>
              <w:ind w:firstLine="0" w:firstLineChars="0"/>
              <w:jc w:val="center"/>
              <w:rPr>
                <w:rFonts w:hint="eastAsia"/>
              </w:rPr>
            </w:pPr>
            <w:r>
              <w:rPr>
                <w:rFonts w:hint="eastAsia"/>
                <w:lang w:val="en-US" w:eastAsia="zh-CN"/>
              </w:rPr>
              <w:t>居民</w:t>
            </w:r>
          </w:p>
        </w:tc>
        <w:tc>
          <w:tcPr>
            <w:tcW w:w="1018" w:type="pct"/>
            <w:vAlign w:val="center"/>
          </w:tcPr>
          <w:p w14:paraId="5E437EDB">
            <w:pPr>
              <w:pStyle w:val="31"/>
              <w:bidi w:val="0"/>
              <w:jc w:val="center"/>
              <w:rPr>
                <w:rFonts w:hint="eastAsia"/>
              </w:rPr>
            </w:pPr>
            <w:r>
              <w:rPr>
                <w:rFonts w:hint="default"/>
                <w:lang w:val="en-US" w:eastAsia="zh-CN"/>
              </w:rPr>
              <w:t>约25户，88人</w:t>
            </w:r>
          </w:p>
        </w:tc>
        <w:tc>
          <w:tcPr>
            <w:tcW w:w="439" w:type="pct"/>
            <w:vAlign w:val="center"/>
          </w:tcPr>
          <w:p w14:paraId="7C4A0727">
            <w:pPr>
              <w:pStyle w:val="31"/>
              <w:bidi w:val="0"/>
              <w:ind w:firstLine="0" w:firstLineChars="0"/>
              <w:jc w:val="center"/>
              <w:rPr>
                <w:rFonts w:hint="eastAsia"/>
              </w:rPr>
            </w:pPr>
            <w:r>
              <w:rPr>
                <w:rFonts w:hint="eastAsia"/>
                <w:lang w:val="en-US" w:eastAsia="zh-CN"/>
              </w:rPr>
              <w:t>2类</w:t>
            </w:r>
          </w:p>
        </w:tc>
        <w:tc>
          <w:tcPr>
            <w:tcW w:w="302" w:type="pct"/>
            <w:vAlign w:val="center"/>
          </w:tcPr>
          <w:p w14:paraId="7CC40EB4">
            <w:pPr>
              <w:pStyle w:val="31"/>
              <w:bidi w:val="0"/>
              <w:jc w:val="center"/>
              <w:rPr>
                <w:rFonts w:hint="eastAsia"/>
              </w:rPr>
            </w:pPr>
            <w:r>
              <w:rPr>
                <w:rFonts w:hint="default"/>
                <w:lang w:val="en-US" w:eastAsia="zh-CN"/>
              </w:rPr>
              <w:t>SE</w:t>
            </w:r>
          </w:p>
        </w:tc>
        <w:tc>
          <w:tcPr>
            <w:tcW w:w="574" w:type="pct"/>
            <w:vAlign w:val="center"/>
          </w:tcPr>
          <w:p w14:paraId="45954D90">
            <w:pPr>
              <w:pStyle w:val="31"/>
              <w:bidi w:val="0"/>
              <w:jc w:val="center"/>
              <w:rPr>
                <w:rFonts w:hint="eastAsia"/>
              </w:rPr>
            </w:pPr>
            <w:r>
              <w:rPr>
                <w:rFonts w:hint="default"/>
                <w:lang w:val="en-US" w:eastAsia="zh-CN"/>
              </w:rPr>
              <w:t>470</w:t>
            </w:r>
          </w:p>
        </w:tc>
      </w:tr>
      <w:tr w14:paraId="29EF1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DCE983E">
            <w:pPr>
              <w:pStyle w:val="31"/>
              <w:bidi w:val="0"/>
              <w:jc w:val="center"/>
              <w:rPr>
                <w:rFonts w:hint="default"/>
                <w:lang w:val="en-US" w:eastAsia="zh-CN"/>
              </w:rPr>
            </w:pPr>
            <w:r>
              <w:rPr>
                <w:rFonts w:hint="default"/>
                <w:lang w:val="en-US" w:eastAsia="zh-CN"/>
              </w:rPr>
              <w:t>衡东县三樟镇</w:t>
            </w:r>
          </w:p>
          <w:p w14:paraId="19CBFF58">
            <w:pPr>
              <w:pStyle w:val="31"/>
              <w:bidi w:val="0"/>
              <w:jc w:val="center"/>
              <w:rPr>
                <w:rFonts w:hint="eastAsia"/>
              </w:rPr>
            </w:pPr>
            <w:r>
              <w:rPr>
                <w:rFonts w:hint="default"/>
                <w:lang w:val="en-US" w:eastAsia="zh-CN"/>
              </w:rPr>
              <w:t>长江村田尾子</w:t>
            </w:r>
          </w:p>
        </w:tc>
        <w:tc>
          <w:tcPr>
            <w:tcW w:w="347" w:type="pct"/>
            <w:vAlign w:val="center"/>
          </w:tcPr>
          <w:p w14:paraId="6F48CF73">
            <w:pPr>
              <w:pStyle w:val="31"/>
              <w:bidi w:val="0"/>
              <w:jc w:val="center"/>
              <w:rPr>
                <w:rFonts w:hint="eastAsia"/>
              </w:rPr>
            </w:pPr>
            <w:r>
              <w:rPr>
                <w:rFonts w:hint="default"/>
                <w:lang w:val="en-US" w:eastAsia="zh-CN"/>
              </w:rPr>
              <w:t>72</w:t>
            </w:r>
          </w:p>
        </w:tc>
        <w:tc>
          <w:tcPr>
            <w:tcW w:w="347" w:type="pct"/>
            <w:vAlign w:val="center"/>
          </w:tcPr>
          <w:p w14:paraId="46E0BFE4">
            <w:pPr>
              <w:pStyle w:val="31"/>
              <w:bidi w:val="0"/>
              <w:jc w:val="center"/>
              <w:rPr>
                <w:rFonts w:hint="eastAsia"/>
              </w:rPr>
            </w:pPr>
            <w:r>
              <w:rPr>
                <w:rFonts w:hint="default"/>
                <w:lang w:val="en-US" w:eastAsia="zh-CN"/>
              </w:rPr>
              <w:t>550</w:t>
            </w:r>
          </w:p>
        </w:tc>
        <w:tc>
          <w:tcPr>
            <w:tcW w:w="302" w:type="pct"/>
            <w:vAlign w:val="center"/>
          </w:tcPr>
          <w:p w14:paraId="03811E08">
            <w:pPr>
              <w:pStyle w:val="31"/>
              <w:bidi w:val="0"/>
              <w:ind w:firstLine="0" w:firstLineChars="0"/>
              <w:jc w:val="center"/>
              <w:rPr>
                <w:rFonts w:hint="eastAsia"/>
              </w:rPr>
            </w:pPr>
            <w:r>
              <w:rPr>
                <w:rFonts w:hint="eastAsia"/>
                <w:lang w:val="en-US" w:eastAsia="zh-CN"/>
              </w:rPr>
              <w:t>居民</w:t>
            </w:r>
          </w:p>
        </w:tc>
        <w:tc>
          <w:tcPr>
            <w:tcW w:w="1018" w:type="pct"/>
            <w:vAlign w:val="center"/>
          </w:tcPr>
          <w:p w14:paraId="3DB8BE52">
            <w:pPr>
              <w:pStyle w:val="31"/>
              <w:bidi w:val="0"/>
              <w:jc w:val="center"/>
              <w:rPr>
                <w:rFonts w:hint="eastAsia"/>
              </w:rPr>
            </w:pPr>
            <w:r>
              <w:rPr>
                <w:rFonts w:hint="default"/>
                <w:lang w:val="en-US" w:eastAsia="zh-CN"/>
              </w:rPr>
              <w:t>约35户，123人</w:t>
            </w:r>
          </w:p>
        </w:tc>
        <w:tc>
          <w:tcPr>
            <w:tcW w:w="439" w:type="pct"/>
            <w:vAlign w:val="center"/>
          </w:tcPr>
          <w:p w14:paraId="7C311480">
            <w:pPr>
              <w:pStyle w:val="31"/>
              <w:bidi w:val="0"/>
              <w:ind w:firstLine="0" w:firstLineChars="0"/>
              <w:jc w:val="center"/>
              <w:rPr>
                <w:rFonts w:hint="eastAsia"/>
              </w:rPr>
            </w:pPr>
            <w:r>
              <w:rPr>
                <w:rFonts w:hint="eastAsia"/>
                <w:lang w:val="en-US" w:eastAsia="zh-CN"/>
              </w:rPr>
              <w:t>2类</w:t>
            </w:r>
          </w:p>
        </w:tc>
        <w:tc>
          <w:tcPr>
            <w:tcW w:w="302" w:type="pct"/>
            <w:vAlign w:val="center"/>
          </w:tcPr>
          <w:p w14:paraId="6EC9C1E5">
            <w:pPr>
              <w:pStyle w:val="31"/>
              <w:bidi w:val="0"/>
              <w:jc w:val="center"/>
              <w:rPr>
                <w:rFonts w:hint="eastAsia"/>
              </w:rPr>
            </w:pPr>
            <w:r>
              <w:rPr>
                <w:rFonts w:hint="default"/>
                <w:lang w:val="en-US" w:eastAsia="zh-CN"/>
              </w:rPr>
              <w:t>NE</w:t>
            </w:r>
          </w:p>
        </w:tc>
        <w:tc>
          <w:tcPr>
            <w:tcW w:w="574" w:type="pct"/>
            <w:vAlign w:val="center"/>
          </w:tcPr>
          <w:p w14:paraId="2FDE7509">
            <w:pPr>
              <w:pStyle w:val="31"/>
              <w:bidi w:val="0"/>
              <w:jc w:val="center"/>
              <w:rPr>
                <w:rFonts w:hint="eastAsia"/>
              </w:rPr>
            </w:pPr>
            <w:r>
              <w:rPr>
                <w:rFonts w:hint="default"/>
                <w:lang w:val="en-US" w:eastAsia="zh-CN"/>
              </w:rPr>
              <w:t>460</w:t>
            </w:r>
          </w:p>
        </w:tc>
      </w:tr>
      <w:tr w14:paraId="4EA55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D160FAE">
            <w:pPr>
              <w:pStyle w:val="31"/>
              <w:bidi w:val="0"/>
              <w:jc w:val="center"/>
              <w:rPr>
                <w:rFonts w:hint="default"/>
                <w:lang w:val="en-US" w:eastAsia="zh-CN"/>
              </w:rPr>
            </w:pPr>
            <w:r>
              <w:rPr>
                <w:rFonts w:hint="default"/>
                <w:lang w:val="en-US" w:eastAsia="zh-CN"/>
              </w:rPr>
              <w:t>衡东县三樟镇</w:t>
            </w:r>
          </w:p>
          <w:p w14:paraId="2C5CD8C2">
            <w:pPr>
              <w:pStyle w:val="31"/>
              <w:bidi w:val="0"/>
              <w:jc w:val="center"/>
              <w:rPr>
                <w:rFonts w:hint="eastAsia"/>
              </w:rPr>
            </w:pPr>
            <w:r>
              <w:rPr>
                <w:rFonts w:hint="default"/>
                <w:lang w:val="en-US" w:eastAsia="zh-CN"/>
              </w:rPr>
              <w:t>长江村李子园村</w:t>
            </w:r>
          </w:p>
        </w:tc>
        <w:tc>
          <w:tcPr>
            <w:tcW w:w="347" w:type="pct"/>
            <w:vAlign w:val="center"/>
          </w:tcPr>
          <w:p w14:paraId="371F4F72">
            <w:pPr>
              <w:pStyle w:val="31"/>
              <w:bidi w:val="0"/>
              <w:jc w:val="center"/>
              <w:rPr>
                <w:rFonts w:hint="eastAsia"/>
              </w:rPr>
            </w:pPr>
            <w:r>
              <w:rPr>
                <w:rFonts w:hint="default"/>
                <w:lang w:val="en-US" w:eastAsia="zh-CN"/>
              </w:rPr>
              <w:t>562</w:t>
            </w:r>
          </w:p>
        </w:tc>
        <w:tc>
          <w:tcPr>
            <w:tcW w:w="347" w:type="pct"/>
            <w:vAlign w:val="center"/>
          </w:tcPr>
          <w:p w14:paraId="2142C72A">
            <w:pPr>
              <w:pStyle w:val="31"/>
              <w:bidi w:val="0"/>
              <w:jc w:val="center"/>
              <w:rPr>
                <w:rFonts w:hint="eastAsia"/>
              </w:rPr>
            </w:pPr>
            <w:r>
              <w:rPr>
                <w:rFonts w:hint="default"/>
                <w:lang w:val="en-US" w:eastAsia="zh-CN"/>
              </w:rPr>
              <w:t>619</w:t>
            </w:r>
          </w:p>
        </w:tc>
        <w:tc>
          <w:tcPr>
            <w:tcW w:w="302" w:type="pct"/>
            <w:vAlign w:val="center"/>
          </w:tcPr>
          <w:p w14:paraId="506FB59B">
            <w:pPr>
              <w:pStyle w:val="31"/>
              <w:bidi w:val="0"/>
              <w:ind w:firstLine="0" w:firstLineChars="0"/>
              <w:jc w:val="center"/>
              <w:rPr>
                <w:rFonts w:hint="eastAsia"/>
              </w:rPr>
            </w:pPr>
            <w:r>
              <w:rPr>
                <w:rFonts w:hint="eastAsia"/>
                <w:lang w:val="en-US" w:eastAsia="zh-CN"/>
              </w:rPr>
              <w:t>居民</w:t>
            </w:r>
          </w:p>
        </w:tc>
        <w:tc>
          <w:tcPr>
            <w:tcW w:w="1018" w:type="pct"/>
            <w:vAlign w:val="center"/>
          </w:tcPr>
          <w:p w14:paraId="419B36AB">
            <w:pPr>
              <w:pStyle w:val="31"/>
              <w:bidi w:val="0"/>
              <w:jc w:val="center"/>
              <w:rPr>
                <w:rFonts w:hint="eastAsia"/>
              </w:rPr>
            </w:pPr>
            <w:r>
              <w:rPr>
                <w:rFonts w:hint="default"/>
                <w:lang w:val="en-US" w:eastAsia="zh-CN"/>
              </w:rPr>
              <w:t>约30户，105人</w:t>
            </w:r>
          </w:p>
        </w:tc>
        <w:tc>
          <w:tcPr>
            <w:tcW w:w="439" w:type="pct"/>
            <w:vAlign w:val="center"/>
          </w:tcPr>
          <w:p w14:paraId="758DAAE3">
            <w:pPr>
              <w:pStyle w:val="31"/>
              <w:bidi w:val="0"/>
              <w:ind w:firstLine="0" w:firstLineChars="0"/>
              <w:jc w:val="center"/>
              <w:rPr>
                <w:rFonts w:hint="eastAsia"/>
              </w:rPr>
            </w:pPr>
            <w:r>
              <w:rPr>
                <w:rFonts w:hint="eastAsia"/>
                <w:lang w:val="en-US" w:eastAsia="zh-CN"/>
              </w:rPr>
              <w:t>2类</w:t>
            </w:r>
          </w:p>
        </w:tc>
        <w:tc>
          <w:tcPr>
            <w:tcW w:w="302" w:type="pct"/>
            <w:vAlign w:val="center"/>
          </w:tcPr>
          <w:p w14:paraId="7F095453">
            <w:pPr>
              <w:pStyle w:val="31"/>
              <w:bidi w:val="0"/>
              <w:jc w:val="center"/>
              <w:rPr>
                <w:rFonts w:hint="eastAsia"/>
              </w:rPr>
            </w:pPr>
            <w:r>
              <w:rPr>
                <w:rFonts w:hint="default"/>
                <w:lang w:val="en-US" w:eastAsia="zh-CN"/>
              </w:rPr>
              <w:t>NE</w:t>
            </w:r>
          </w:p>
        </w:tc>
        <w:tc>
          <w:tcPr>
            <w:tcW w:w="574" w:type="pct"/>
            <w:vAlign w:val="center"/>
          </w:tcPr>
          <w:p w14:paraId="408C51E6">
            <w:pPr>
              <w:pStyle w:val="31"/>
              <w:bidi w:val="0"/>
              <w:jc w:val="center"/>
              <w:rPr>
                <w:rFonts w:hint="eastAsia"/>
              </w:rPr>
            </w:pPr>
            <w:r>
              <w:rPr>
                <w:rFonts w:hint="default"/>
                <w:lang w:val="en-US" w:eastAsia="zh-CN"/>
              </w:rPr>
              <w:t>740</w:t>
            </w:r>
          </w:p>
        </w:tc>
      </w:tr>
      <w:tr w14:paraId="1FE38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5FEF3975">
            <w:pPr>
              <w:pStyle w:val="31"/>
              <w:bidi w:val="0"/>
              <w:jc w:val="center"/>
              <w:rPr>
                <w:rFonts w:hint="default"/>
                <w:lang w:val="en-US" w:eastAsia="zh-CN"/>
              </w:rPr>
            </w:pPr>
            <w:r>
              <w:rPr>
                <w:rFonts w:hint="default"/>
                <w:lang w:val="en-US" w:eastAsia="zh-CN"/>
              </w:rPr>
              <w:t>衡东县三樟镇</w:t>
            </w:r>
          </w:p>
          <w:p w14:paraId="60B882BD">
            <w:pPr>
              <w:pStyle w:val="31"/>
              <w:bidi w:val="0"/>
              <w:jc w:val="center"/>
              <w:rPr>
                <w:rFonts w:hint="eastAsia"/>
              </w:rPr>
            </w:pPr>
            <w:r>
              <w:rPr>
                <w:rFonts w:hint="default"/>
                <w:lang w:val="en-US" w:eastAsia="zh-CN"/>
              </w:rPr>
              <w:t>长江村苍塘湾</w:t>
            </w:r>
          </w:p>
        </w:tc>
        <w:tc>
          <w:tcPr>
            <w:tcW w:w="347" w:type="pct"/>
            <w:vAlign w:val="center"/>
          </w:tcPr>
          <w:p w14:paraId="73DB0B90">
            <w:pPr>
              <w:pStyle w:val="31"/>
              <w:bidi w:val="0"/>
              <w:jc w:val="center"/>
              <w:rPr>
                <w:rFonts w:hint="eastAsia"/>
              </w:rPr>
            </w:pPr>
            <w:r>
              <w:rPr>
                <w:rFonts w:hint="default"/>
                <w:lang w:val="en-US" w:eastAsia="zh-CN"/>
              </w:rPr>
              <w:t>701</w:t>
            </w:r>
          </w:p>
        </w:tc>
        <w:tc>
          <w:tcPr>
            <w:tcW w:w="347" w:type="pct"/>
            <w:vAlign w:val="center"/>
          </w:tcPr>
          <w:p w14:paraId="4271A4DD">
            <w:pPr>
              <w:pStyle w:val="31"/>
              <w:bidi w:val="0"/>
              <w:jc w:val="center"/>
              <w:rPr>
                <w:rFonts w:hint="eastAsia"/>
              </w:rPr>
            </w:pPr>
            <w:r>
              <w:rPr>
                <w:rFonts w:hint="default"/>
                <w:lang w:val="en-US" w:eastAsia="zh-CN"/>
              </w:rPr>
              <w:t>171</w:t>
            </w:r>
          </w:p>
        </w:tc>
        <w:tc>
          <w:tcPr>
            <w:tcW w:w="302" w:type="pct"/>
            <w:vAlign w:val="center"/>
          </w:tcPr>
          <w:p w14:paraId="3EEB58AB">
            <w:pPr>
              <w:pStyle w:val="31"/>
              <w:bidi w:val="0"/>
              <w:ind w:firstLine="0" w:firstLineChars="0"/>
              <w:jc w:val="center"/>
              <w:rPr>
                <w:rFonts w:hint="eastAsia"/>
              </w:rPr>
            </w:pPr>
            <w:r>
              <w:rPr>
                <w:rFonts w:hint="eastAsia"/>
                <w:lang w:val="en-US" w:eastAsia="zh-CN"/>
              </w:rPr>
              <w:t>居民</w:t>
            </w:r>
          </w:p>
        </w:tc>
        <w:tc>
          <w:tcPr>
            <w:tcW w:w="1018" w:type="pct"/>
            <w:vAlign w:val="center"/>
          </w:tcPr>
          <w:p w14:paraId="71F8CE0E">
            <w:pPr>
              <w:pStyle w:val="31"/>
              <w:bidi w:val="0"/>
              <w:jc w:val="center"/>
              <w:rPr>
                <w:rFonts w:hint="eastAsia"/>
              </w:rPr>
            </w:pPr>
            <w:r>
              <w:rPr>
                <w:rFonts w:hint="default"/>
                <w:lang w:val="en-US" w:eastAsia="zh-CN"/>
              </w:rPr>
              <w:t>约30户，105人</w:t>
            </w:r>
          </w:p>
        </w:tc>
        <w:tc>
          <w:tcPr>
            <w:tcW w:w="439" w:type="pct"/>
            <w:vAlign w:val="center"/>
          </w:tcPr>
          <w:p w14:paraId="78CC774C">
            <w:pPr>
              <w:pStyle w:val="31"/>
              <w:bidi w:val="0"/>
              <w:ind w:firstLine="0" w:firstLineChars="0"/>
              <w:jc w:val="center"/>
              <w:rPr>
                <w:rFonts w:hint="eastAsia"/>
              </w:rPr>
            </w:pPr>
            <w:r>
              <w:rPr>
                <w:rFonts w:hint="eastAsia"/>
                <w:lang w:val="en-US" w:eastAsia="zh-CN"/>
              </w:rPr>
              <w:t>2类</w:t>
            </w:r>
          </w:p>
        </w:tc>
        <w:tc>
          <w:tcPr>
            <w:tcW w:w="302" w:type="pct"/>
            <w:vAlign w:val="center"/>
          </w:tcPr>
          <w:p w14:paraId="3A2C39C6">
            <w:pPr>
              <w:pStyle w:val="31"/>
              <w:bidi w:val="0"/>
              <w:jc w:val="center"/>
              <w:rPr>
                <w:rFonts w:hint="eastAsia"/>
              </w:rPr>
            </w:pPr>
            <w:r>
              <w:rPr>
                <w:rFonts w:hint="default"/>
                <w:lang w:val="en-US" w:eastAsia="zh-CN"/>
              </w:rPr>
              <w:t>NE</w:t>
            </w:r>
          </w:p>
        </w:tc>
        <w:tc>
          <w:tcPr>
            <w:tcW w:w="574" w:type="pct"/>
            <w:vAlign w:val="center"/>
          </w:tcPr>
          <w:p w14:paraId="055F335E">
            <w:pPr>
              <w:pStyle w:val="31"/>
              <w:bidi w:val="0"/>
              <w:jc w:val="center"/>
              <w:rPr>
                <w:rFonts w:hint="eastAsia"/>
              </w:rPr>
            </w:pPr>
            <w:r>
              <w:rPr>
                <w:rFonts w:hint="default"/>
                <w:lang w:val="en-US" w:eastAsia="zh-CN"/>
              </w:rPr>
              <w:t>620</w:t>
            </w:r>
          </w:p>
        </w:tc>
      </w:tr>
      <w:tr w14:paraId="1FDA6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866F301">
            <w:pPr>
              <w:pStyle w:val="31"/>
              <w:bidi w:val="0"/>
              <w:jc w:val="center"/>
              <w:rPr>
                <w:rFonts w:hint="default"/>
                <w:lang w:val="en-US" w:eastAsia="zh-CN"/>
              </w:rPr>
            </w:pPr>
            <w:r>
              <w:rPr>
                <w:rFonts w:hint="default"/>
                <w:lang w:val="en-US" w:eastAsia="zh-CN"/>
              </w:rPr>
              <w:t>衡东县三樟镇</w:t>
            </w:r>
          </w:p>
          <w:p w14:paraId="19526CDD">
            <w:pPr>
              <w:pStyle w:val="31"/>
              <w:bidi w:val="0"/>
              <w:jc w:val="center"/>
              <w:rPr>
                <w:rFonts w:hint="eastAsia"/>
              </w:rPr>
            </w:pPr>
            <w:r>
              <w:rPr>
                <w:rFonts w:hint="default"/>
                <w:lang w:val="en-US" w:eastAsia="zh-CN"/>
              </w:rPr>
              <w:t>长江村老虎矶</w:t>
            </w:r>
          </w:p>
        </w:tc>
        <w:tc>
          <w:tcPr>
            <w:tcW w:w="347" w:type="pct"/>
            <w:vAlign w:val="center"/>
          </w:tcPr>
          <w:p w14:paraId="5BC4911A">
            <w:pPr>
              <w:pStyle w:val="31"/>
              <w:bidi w:val="0"/>
              <w:jc w:val="center"/>
              <w:rPr>
                <w:rFonts w:hint="eastAsia"/>
              </w:rPr>
            </w:pPr>
            <w:r>
              <w:rPr>
                <w:rFonts w:hint="default"/>
                <w:lang w:val="en-US" w:eastAsia="zh-CN"/>
              </w:rPr>
              <w:t>194</w:t>
            </w:r>
          </w:p>
        </w:tc>
        <w:tc>
          <w:tcPr>
            <w:tcW w:w="347" w:type="pct"/>
            <w:vAlign w:val="center"/>
          </w:tcPr>
          <w:p w14:paraId="11F947E3">
            <w:pPr>
              <w:pStyle w:val="31"/>
              <w:bidi w:val="0"/>
              <w:jc w:val="center"/>
              <w:rPr>
                <w:rFonts w:hint="eastAsia"/>
              </w:rPr>
            </w:pPr>
            <w:r>
              <w:rPr>
                <w:rFonts w:hint="default"/>
                <w:lang w:val="en-US" w:eastAsia="zh-CN"/>
              </w:rPr>
              <w:t>1367</w:t>
            </w:r>
          </w:p>
        </w:tc>
        <w:tc>
          <w:tcPr>
            <w:tcW w:w="302" w:type="pct"/>
            <w:vAlign w:val="center"/>
          </w:tcPr>
          <w:p w14:paraId="09B32D6A">
            <w:pPr>
              <w:pStyle w:val="31"/>
              <w:bidi w:val="0"/>
              <w:ind w:firstLine="0" w:firstLineChars="0"/>
              <w:jc w:val="center"/>
              <w:rPr>
                <w:rFonts w:hint="eastAsia"/>
              </w:rPr>
            </w:pPr>
            <w:r>
              <w:rPr>
                <w:rFonts w:hint="eastAsia"/>
                <w:lang w:val="en-US" w:eastAsia="zh-CN"/>
              </w:rPr>
              <w:t>居民</w:t>
            </w:r>
          </w:p>
        </w:tc>
        <w:tc>
          <w:tcPr>
            <w:tcW w:w="1018" w:type="pct"/>
            <w:vAlign w:val="center"/>
          </w:tcPr>
          <w:p w14:paraId="72932948">
            <w:pPr>
              <w:pStyle w:val="31"/>
              <w:bidi w:val="0"/>
              <w:jc w:val="center"/>
              <w:rPr>
                <w:rFonts w:hint="eastAsia"/>
              </w:rPr>
            </w:pPr>
            <w:r>
              <w:rPr>
                <w:rFonts w:hint="default"/>
                <w:lang w:val="en-US" w:eastAsia="zh-CN"/>
              </w:rPr>
              <w:t>约15户，53人</w:t>
            </w:r>
          </w:p>
        </w:tc>
        <w:tc>
          <w:tcPr>
            <w:tcW w:w="439" w:type="pct"/>
            <w:vAlign w:val="center"/>
          </w:tcPr>
          <w:p w14:paraId="5B8C4B30">
            <w:pPr>
              <w:pStyle w:val="31"/>
              <w:bidi w:val="0"/>
              <w:ind w:firstLine="0" w:firstLineChars="0"/>
              <w:jc w:val="center"/>
              <w:rPr>
                <w:rFonts w:hint="eastAsia"/>
              </w:rPr>
            </w:pPr>
            <w:r>
              <w:rPr>
                <w:rFonts w:hint="eastAsia"/>
                <w:lang w:val="en-US" w:eastAsia="zh-CN"/>
              </w:rPr>
              <w:t>2类</w:t>
            </w:r>
          </w:p>
        </w:tc>
        <w:tc>
          <w:tcPr>
            <w:tcW w:w="302" w:type="pct"/>
            <w:vAlign w:val="center"/>
          </w:tcPr>
          <w:p w14:paraId="71633BF6">
            <w:pPr>
              <w:pStyle w:val="31"/>
              <w:bidi w:val="0"/>
              <w:jc w:val="center"/>
              <w:rPr>
                <w:rFonts w:hint="eastAsia"/>
              </w:rPr>
            </w:pPr>
            <w:r>
              <w:rPr>
                <w:rFonts w:hint="default"/>
                <w:lang w:val="en-US" w:eastAsia="zh-CN"/>
              </w:rPr>
              <w:t>NE</w:t>
            </w:r>
          </w:p>
        </w:tc>
        <w:tc>
          <w:tcPr>
            <w:tcW w:w="574" w:type="pct"/>
            <w:vAlign w:val="center"/>
          </w:tcPr>
          <w:p w14:paraId="1302A52C">
            <w:pPr>
              <w:pStyle w:val="31"/>
              <w:bidi w:val="0"/>
              <w:jc w:val="center"/>
              <w:rPr>
                <w:rFonts w:hint="eastAsia"/>
              </w:rPr>
            </w:pPr>
            <w:r>
              <w:rPr>
                <w:rFonts w:hint="default"/>
                <w:lang w:val="en-US" w:eastAsia="zh-CN"/>
              </w:rPr>
              <w:t>1280</w:t>
            </w:r>
          </w:p>
        </w:tc>
      </w:tr>
      <w:tr w14:paraId="63B05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F8AB782">
            <w:pPr>
              <w:pStyle w:val="31"/>
              <w:bidi w:val="0"/>
              <w:jc w:val="center"/>
              <w:rPr>
                <w:rFonts w:hint="default"/>
                <w:lang w:val="en-US" w:eastAsia="zh-CN"/>
              </w:rPr>
            </w:pPr>
            <w:r>
              <w:rPr>
                <w:rFonts w:hint="default"/>
                <w:lang w:val="en-US" w:eastAsia="zh-CN"/>
              </w:rPr>
              <w:t>衡东县三樟镇</w:t>
            </w:r>
          </w:p>
          <w:p w14:paraId="38ED9778">
            <w:pPr>
              <w:pStyle w:val="31"/>
              <w:bidi w:val="0"/>
              <w:jc w:val="center"/>
              <w:rPr>
                <w:rFonts w:hint="eastAsia"/>
              </w:rPr>
            </w:pPr>
            <w:r>
              <w:rPr>
                <w:rFonts w:hint="default"/>
                <w:lang w:val="en-US" w:eastAsia="zh-CN"/>
              </w:rPr>
              <w:t>长江村北冲</w:t>
            </w:r>
          </w:p>
        </w:tc>
        <w:tc>
          <w:tcPr>
            <w:tcW w:w="347" w:type="pct"/>
            <w:vAlign w:val="center"/>
          </w:tcPr>
          <w:p w14:paraId="3A8A4E85">
            <w:pPr>
              <w:pStyle w:val="31"/>
              <w:bidi w:val="0"/>
              <w:jc w:val="center"/>
              <w:rPr>
                <w:rFonts w:hint="eastAsia"/>
              </w:rPr>
            </w:pPr>
            <w:r>
              <w:rPr>
                <w:rFonts w:hint="default"/>
                <w:lang w:val="en-US" w:eastAsia="zh-CN"/>
              </w:rPr>
              <w:t>456</w:t>
            </w:r>
          </w:p>
        </w:tc>
        <w:tc>
          <w:tcPr>
            <w:tcW w:w="347" w:type="pct"/>
            <w:vAlign w:val="center"/>
          </w:tcPr>
          <w:p w14:paraId="5018C0F5">
            <w:pPr>
              <w:pStyle w:val="31"/>
              <w:bidi w:val="0"/>
              <w:jc w:val="center"/>
              <w:rPr>
                <w:rFonts w:hint="eastAsia"/>
              </w:rPr>
            </w:pPr>
            <w:r>
              <w:rPr>
                <w:rFonts w:hint="default"/>
                <w:lang w:val="en-US" w:eastAsia="zh-CN"/>
              </w:rPr>
              <w:t>1283</w:t>
            </w:r>
          </w:p>
        </w:tc>
        <w:tc>
          <w:tcPr>
            <w:tcW w:w="302" w:type="pct"/>
            <w:vAlign w:val="center"/>
          </w:tcPr>
          <w:p w14:paraId="05FD876E">
            <w:pPr>
              <w:pStyle w:val="31"/>
              <w:bidi w:val="0"/>
              <w:ind w:firstLine="0" w:firstLineChars="0"/>
              <w:jc w:val="center"/>
              <w:rPr>
                <w:rFonts w:hint="eastAsia"/>
              </w:rPr>
            </w:pPr>
            <w:r>
              <w:rPr>
                <w:rFonts w:hint="eastAsia"/>
                <w:lang w:val="en-US" w:eastAsia="zh-CN"/>
              </w:rPr>
              <w:t>居民</w:t>
            </w:r>
          </w:p>
        </w:tc>
        <w:tc>
          <w:tcPr>
            <w:tcW w:w="1018" w:type="pct"/>
            <w:vAlign w:val="center"/>
          </w:tcPr>
          <w:p w14:paraId="5354C676">
            <w:pPr>
              <w:pStyle w:val="31"/>
              <w:bidi w:val="0"/>
              <w:jc w:val="center"/>
              <w:rPr>
                <w:rFonts w:hint="eastAsia"/>
              </w:rPr>
            </w:pPr>
            <w:r>
              <w:rPr>
                <w:rFonts w:hint="default"/>
                <w:lang w:val="en-US" w:eastAsia="zh-CN"/>
              </w:rPr>
              <w:t>约15户，53人</w:t>
            </w:r>
          </w:p>
        </w:tc>
        <w:tc>
          <w:tcPr>
            <w:tcW w:w="439" w:type="pct"/>
            <w:vAlign w:val="center"/>
          </w:tcPr>
          <w:p w14:paraId="2F2C9FDF">
            <w:pPr>
              <w:pStyle w:val="31"/>
              <w:bidi w:val="0"/>
              <w:ind w:firstLine="0" w:firstLineChars="0"/>
              <w:jc w:val="center"/>
              <w:rPr>
                <w:rFonts w:hint="eastAsia"/>
              </w:rPr>
            </w:pPr>
            <w:r>
              <w:rPr>
                <w:rFonts w:hint="eastAsia"/>
                <w:lang w:val="en-US" w:eastAsia="zh-CN"/>
              </w:rPr>
              <w:t>2类</w:t>
            </w:r>
          </w:p>
        </w:tc>
        <w:tc>
          <w:tcPr>
            <w:tcW w:w="302" w:type="pct"/>
            <w:vAlign w:val="center"/>
          </w:tcPr>
          <w:p w14:paraId="5B4F4677">
            <w:pPr>
              <w:pStyle w:val="31"/>
              <w:bidi w:val="0"/>
              <w:jc w:val="center"/>
              <w:rPr>
                <w:rFonts w:hint="eastAsia"/>
              </w:rPr>
            </w:pPr>
            <w:r>
              <w:rPr>
                <w:rFonts w:hint="default"/>
                <w:lang w:val="en-US" w:eastAsia="zh-CN"/>
              </w:rPr>
              <w:t>NE</w:t>
            </w:r>
          </w:p>
        </w:tc>
        <w:tc>
          <w:tcPr>
            <w:tcW w:w="574" w:type="pct"/>
            <w:vAlign w:val="center"/>
          </w:tcPr>
          <w:p w14:paraId="3C92B517">
            <w:pPr>
              <w:pStyle w:val="31"/>
              <w:bidi w:val="0"/>
              <w:jc w:val="center"/>
              <w:rPr>
                <w:rFonts w:hint="eastAsia"/>
              </w:rPr>
            </w:pPr>
            <w:r>
              <w:rPr>
                <w:rFonts w:hint="default"/>
                <w:lang w:val="en-US" w:eastAsia="zh-CN"/>
              </w:rPr>
              <w:t>1260</w:t>
            </w:r>
          </w:p>
        </w:tc>
      </w:tr>
      <w:tr w14:paraId="50A0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2AF18827">
            <w:pPr>
              <w:pStyle w:val="31"/>
              <w:bidi w:val="0"/>
              <w:jc w:val="center"/>
              <w:rPr>
                <w:rFonts w:hint="default"/>
                <w:lang w:val="en-US" w:eastAsia="zh-CN"/>
              </w:rPr>
            </w:pPr>
            <w:r>
              <w:rPr>
                <w:rFonts w:hint="default"/>
                <w:lang w:val="en-US" w:eastAsia="zh-CN"/>
              </w:rPr>
              <w:t>衡东县三樟镇</w:t>
            </w:r>
          </w:p>
          <w:p w14:paraId="13A0EA30">
            <w:pPr>
              <w:pStyle w:val="31"/>
              <w:bidi w:val="0"/>
              <w:jc w:val="center"/>
              <w:rPr>
                <w:rFonts w:hint="eastAsia"/>
              </w:rPr>
            </w:pPr>
            <w:r>
              <w:rPr>
                <w:rFonts w:hint="default"/>
                <w:lang w:val="en-US" w:eastAsia="zh-CN"/>
              </w:rPr>
              <w:t>油麻田村豹子矶</w:t>
            </w:r>
          </w:p>
        </w:tc>
        <w:tc>
          <w:tcPr>
            <w:tcW w:w="347" w:type="pct"/>
            <w:vAlign w:val="center"/>
          </w:tcPr>
          <w:p w14:paraId="494FEDDD">
            <w:pPr>
              <w:pStyle w:val="31"/>
              <w:bidi w:val="0"/>
              <w:jc w:val="center"/>
              <w:rPr>
                <w:rFonts w:hint="eastAsia"/>
              </w:rPr>
            </w:pPr>
            <w:r>
              <w:rPr>
                <w:rFonts w:hint="default"/>
                <w:lang w:val="en-US" w:eastAsia="zh-CN"/>
              </w:rPr>
              <w:t>27</w:t>
            </w:r>
          </w:p>
        </w:tc>
        <w:tc>
          <w:tcPr>
            <w:tcW w:w="347" w:type="pct"/>
            <w:vAlign w:val="center"/>
          </w:tcPr>
          <w:p w14:paraId="31618EBC">
            <w:pPr>
              <w:pStyle w:val="31"/>
              <w:bidi w:val="0"/>
              <w:jc w:val="center"/>
              <w:rPr>
                <w:rFonts w:hint="eastAsia"/>
              </w:rPr>
            </w:pPr>
            <w:r>
              <w:rPr>
                <w:rFonts w:hint="default"/>
                <w:lang w:val="en-US" w:eastAsia="zh-CN"/>
              </w:rPr>
              <w:t>2008</w:t>
            </w:r>
          </w:p>
        </w:tc>
        <w:tc>
          <w:tcPr>
            <w:tcW w:w="302" w:type="pct"/>
            <w:vAlign w:val="center"/>
          </w:tcPr>
          <w:p w14:paraId="4CEE1FE0">
            <w:pPr>
              <w:pStyle w:val="31"/>
              <w:bidi w:val="0"/>
              <w:ind w:firstLine="0" w:firstLineChars="0"/>
              <w:jc w:val="center"/>
              <w:rPr>
                <w:rFonts w:hint="eastAsia"/>
              </w:rPr>
            </w:pPr>
            <w:r>
              <w:rPr>
                <w:rFonts w:hint="eastAsia"/>
                <w:lang w:val="en-US" w:eastAsia="zh-CN"/>
              </w:rPr>
              <w:t>居民</w:t>
            </w:r>
          </w:p>
        </w:tc>
        <w:tc>
          <w:tcPr>
            <w:tcW w:w="1018" w:type="pct"/>
            <w:vAlign w:val="center"/>
          </w:tcPr>
          <w:p w14:paraId="642A2133">
            <w:pPr>
              <w:pStyle w:val="31"/>
              <w:bidi w:val="0"/>
              <w:jc w:val="center"/>
              <w:rPr>
                <w:rFonts w:hint="eastAsia"/>
              </w:rPr>
            </w:pPr>
            <w:r>
              <w:rPr>
                <w:rFonts w:hint="default"/>
                <w:lang w:val="en-US" w:eastAsia="zh-CN"/>
              </w:rPr>
              <w:t>约15户，53人</w:t>
            </w:r>
          </w:p>
        </w:tc>
        <w:tc>
          <w:tcPr>
            <w:tcW w:w="439" w:type="pct"/>
            <w:vAlign w:val="center"/>
          </w:tcPr>
          <w:p w14:paraId="4791AE8A">
            <w:pPr>
              <w:pStyle w:val="31"/>
              <w:bidi w:val="0"/>
              <w:ind w:firstLine="0" w:firstLineChars="0"/>
              <w:jc w:val="center"/>
              <w:rPr>
                <w:rFonts w:hint="eastAsia"/>
              </w:rPr>
            </w:pPr>
            <w:r>
              <w:rPr>
                <w:rFonts w:hint="eastAsia"/>
                <w:lang w:val="en-US" w:eastAsia="zh-CN"/>
              </w:rPr>
              <w:t>2类</w:t>
            </w:r>
          </w:p>
        </w:tc>
        <w:tc>
          <w:tcPr>
            <w:tcW w:w="302" w:type="pct"/>
            <w:vAlign w:val="center"/>
          </w:tcPr>
          <w:p w14:paraId="643B3A94">
            <w:pPr>
              <w:pStyle w:val="31"/>
              <w:bidi w:val="0"/>
              <w:jc w:val="center"/>
              <w:rPr>
                <w:rFonts w:hint="eastAsia"/>
              </w:rPr>
            </w:pPr>
            <w:r>
              <w:rPr>
                <w:rFonts w:hint="default"/>
                <w:lang w:val="en-US" w:eastAsia="zh-CN"/>
              </w:rPr>
              <w:t>NE</w:t>
            </w:r>
          </w:p>
        </w:tc>
        <w:tc>
          <w:tcPr>
            <w:tcW w:w="574" w:type="pct"/>
            <w:vAlign w:val="center"/>
          </w:tcPr>
          <w:p w14:paraId="61F7880C">
            <w:pPr>
              <w:pStyle w:val="31"/>
              <w:bidi w:val="0"/>
              <w:jc w:val="center"/>
              <w:rPr>
                <w:rFonts w:hint="eastAsia"/>
              </w:rPr>
            </w:pPr>
            <w:r>
              <w:rPr>
                <w:rFonts w:hint="default"/>
                <w:lang w:val="en-US" w:eastAsia="zh-CN"/>
              </w:rPr>
              <w:t>1910</w:t>
            </w:r>
          </w:p>
        </w:tc>
      </w:tr>
      <w:tr w14:paraId="61277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ED53C3E">
            <w:pPr>
              <w:pStyle w:val="31"/>
              <w:bidi w:val="0"/>
              <w:jc w:val="center"/>
              <w:rPr>
                <w:rFonts w:hint="default"/>
                <w:lang w:val="en-US" w:eastAsia="zh-CN"/>
              </w:rPr>
            </w:pPr>
            <w:r>
              <w:rPr>
                <w:rFonts w:hint="default"/>
                <w:lang w:val="en-US" w:eastAsia="zh-CN"/>
              </w:rPr>
              <w:t>衡东县三樟镇</w:t>
            </w:r>
          </w:p>
          <w:p w14:paraId="3B41BBE3">
            <w:pPr>
              <w:pStyle w:val="31"/>
              <w:bidi w:val="0"/>
              <w:jc w:val="center"/>
              <w:rPr>
                <w:rFonts w:hint="eastAsia"/>
              </w:rPr>
            </w:pPr>
            <w:r>
              <w:rPr>
                <w:rFonts w:hint="default"/>
                <w:lang w:val="en-US" w:eastAsia="zh-CN"/>
              </w:rPr>
              <w:t>油麻田村新潮村</w:t>
            </w:r>
          </w:p>
        </w:tc>
        <w:tc>
          <w:tcPr>
            <w:tcW w:w="347" w:type="pct"/>
            <w:vAlign w:val="center"/>
          </w:tcPr>
          <w:p w14:paraId="6C1051D7">
            <w:pPr>
              <w:pStyle w:val="31"/>
              <w:bidi w:val="0"/>
              <w:jc w:val="center"/>
              <w:rPr>
                <w:rFonts w:hint="eastAsia"/>
              </w:rPr>
            </w:pPr>
            <w:r>
              <w:rPr>
                <w:rFonts w:hint="default"/>
                <w:lang w:val="en-US" w:eastAsia="zh-CN"/>
              </w:rPr>
              <w:t>799</w:t>
            </w:r>
          </w:p>
        </w:tc>
        <w:tc>
          <w:tcPr>
            <w:tcW w:w="347" w:type="pct"/>
            <w:vAlign w:val="center"/>
          </w:tcPr>
          <w:p w14:paraId="46EC783F">
            <w:pPr>
              <w:pStyle w:val="31"/>
              <w:bidi w:val="0"/>
              <w:jc w:val="center"/>
              <w:rPr>
                <w:rFonts w:hint="eastAsia"/>
              </w:rPr>
            </w:pPr>
            <w:r>
              <w:rPr>
                <w:rFonts w:hint="default"/>
                <w:lang w:val="en-US" w:eastAsia="zh-CN"/>
              </w:rPr>
              <w:t>2102</w:t>
            </w:r>
          </w:p>
        </w:tc>
        <w:tc>
          <w:tcPr>
            <w:tcW w:w="302" w:type="pct"/>
            <w:vAlign w:val="center"/>
          </w:tcPr>
          <w:p w14:paraId="0B1DC57D">
            <w:pPr>
              <w:pStyle w:val="31"/>
              <w:bidi w:val="0"/>
              <w:ind w:firstLine="0" w:firstLineChars="0"/>
              <w:jc w:val="center"/>
              <w:rPr>
                <w:rFonts w:hint="eastAsia"/>
              </w:rPr>
            </w:pPr>
            <w:r>
              <w:rPr>
                <w:rFonts w:hint="eastAsia"/>
                <w:lang w:val="en-US" w:eastAsia="zh-CN"/>
              </w:rPr>
              <w:t>居民</w:t>
            </w:r>
          </w:p>
        </w:tc>
        <w:tc>
          <w:tcPr>
            <w:tcW w:w="1018" w:type="pct"/>
            <w:vAlign w:val="center"/>
          </w:tcPr>
          <w:p w14:paraId="10EB9755">
            <w:pPr>
              <w:pStyle w:val="31"/>
              <w:bidi w:val="0"/>
              <w:jc w:val="center"/>
              <w:rPr>
                <w:rFonts w:hint="eastAsia"/>
              </w:rPr>
            </w:pPr>
            <w:r>
              <w:rPr>
                <w:rFonts w:hint="default"/>
                <w:lang w:val="en-US" w:eastAsia="zh-CN"/>
              </w:rPr>
              <w:t>约5户，18人</w:t>
            </w:r>
          </w:p>
        </w:tc>
        <w:tc>
          <w:tcPr>
            <w:tcW w:w="439" w:type="pct"/>
            <w:vAlign w:val="center"/>
          </w:tcPr>
          <w:p w14:paraId="6270305B">
            <w:pPr>
              <w:pStyle w:val="31"/>
              <w:bidi w:val="0"/>
              <w:ind w:firstLine="0" w:firstLineChars="0"/>
              <w:jc w:val="center"/>
              <w:rPr>
                <w:rFonts w:hint="eastAsia"/>
              </w:rPr>
            </w:pPr>
            <w:r>
              <w:rPr>
                <w:rFonts w:hint="eastAsia"/>
                <w:lang w:val="en-US" w:eastAsia="zh-CN"/>
              </w:rPr>
              <w:t>2类</w:t>
            </w:r>
          </w:p>
        </w:tc>
        <w:tc>
          <w:tcPr>
            <w:tcW w:w="302" w:type="pct"/>
            <w:vAlign w:val="center"/>
          </w:tcPr>
          <w:p w14:paraId="36325BD3">
            <w:pPr>
              <w:pStyle w:val="31"/>
              <w:bidi w:val="0"/>
              <w:jc w:val="center"/>
              <w:rPr>
                <w:rFonts w:hint="eastAsia"/>
              </w:rPr>
            </w:pPr>
            <w:r>
              <w:rPr>
                <w:rFonts w:hint="default"/>
                <w:lang w:val="en-US" w:eastAsia="zh-CN"/>
              </w:rPr>
              <w:t>NE</w:t>
            </w:r>
          </w:p>
        </w:tc>
        <w:tc>
          <w:tcPr>
            <w:tcW w:w="574" w:type="pct"/>
            <w:vAlign w:val="center"/>
          </w:tcPr>
          <w:p w14:paraId="77A4D142">
            <w:pPr>
              <w:pStyle w:val="31"/>
              <w:bidi w:val="0"/>
              <w:jc w:val="center"/>
              <w:rPr>
                <w:rFonts w:hint="eastAsia"/>
              </w:rPr>
            </w:pPr>
            <w:r>
              <w:rPr>
                <w:rFonts w:hint="default"/>
                <w:lang w:val="en-US" w:eastAsia="zh-CN"/>
              </w:rPr>
              <w:t>2150</w:t>
            </w:r>
          </w:p>
        </w:tc>
      </w:tr>
      <w:tr w14:paraId="778CD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FAD589A">
            <w:pPr>
              <w:pStyle w:val="31"/>
              <w:bidi w:val="0"/>
              <w:jc w:val="center"/>
              <w:rPr>
                <w:rFonts w:hint="default"/>
                <w:lang w:val="en-US" w:eastAsia="zh-CN"/>
              </w:rPr>
            </w:pPr>
            <w:r>
              <w:rPr>
                <w:rFonts w:hint="default"/>
                <w:lang w:val="en-US" w:eastAsia="zh-CN"/>
              </w:rPr>
              <w:t>衡东县三樟镇</w:t>
            </w:r>
          </w:p>
          <w:p w14:paraId="4F8CE63A">
            <w:pPr>
              <w:pStyle w:val="31"/>
              <w:bidi w:val="0"/>
              <w:jc w:val="center"/>
              <w:rPr>
                <w:rFonts w:hint="eastAsia"/>
              </w:rPr>
            </w:pPr>
            <w:r>
              <w:rPr>
                <w:rFonts w:hint="default"/>
                <w:lang w:val="en-US" w:eastAsia="zh-CN"/>
              </w:rPr>
              <w:t>长江村西山岭</w:t>
            </w:r>
          </w:p>
        </w:tc>
        <w:tc>
          <w:tcPr>
            <w:tcW w:w="347" w:type="pct"/>
            <w:vAlign w:val="center"/>
          </w:tcPr>
          <w:p w14:paraId="056B2387">
            <w:pPr>
              <w:pStyle w:val="31"/>
              <w:bidi w:val="0"/>
              <w:jc w:val="center"/>
              <w:rPr>
                <w:rFonts w:hint="eastAsia"/>
              </w:rPr>
            </w:pPr>
            <w:r>
              <w:rPr>
                <w:rFonts w:hint="default"/>
                <w:lang w:val="en-US" w:eastAsia="zh-CN"/>
              </w:rPr>
              <w:t>516</w:t>
            </w:r>
          </w:p>
        </w:tc>
        <w:tc>
          <w:tcPr>
            <w:tcW w:w="347" w:type="pct"/>
            <w:vAlign w:val="center"/>
          </w:tcPr>
          <w:p w14:paraId="0E48EA73">
            <w:pPr>
              <w:pStyle w:val="31"/>
              <w:bidi w:val="0"/>
              <w:jc w:val="center"/>
              <w:rPr>
                <w:rFonts w:hint="eastAsia"/>
              </w:rPr>
            </w:pPr>
            <w:r>
              <w:rPr>
                <w:rFonts w:hint="default"/>
                <w:lang w:val="en-US" w:eastAsia="zh-CN"/>
              </w:rPr>
              <w:t>1799</w:t>
            </w:r>
          </w:p>
        </w:tc>
        <w:tc>
          <w:tcPr>
            <w:tcW w:w="302" w:type="pct"/>
            <w:vAlign w:val="center"/>
          </w:tcPr>
          <w:p w14:paraId="6190E0D7">
            <w:pPr>
              <w:pStyle w:val="31"/>
              <w:bidi w:val="0"/>
              <w:ind w:firstLine="0" w:firstLineChars="0"/>
              <w:jc w:val="center"/>
              <w:rPr>
                <w:rFonts w:hint="eastAsia"/>
              </w:rPr>
            </w:pPr>
            <w:r>
              <w:rPr>
                <w:rFonts w:hint="eastAsia"/>
                <w:lang w:val="en-US" w:eastAsia="zh-CN"/>
              </w:rPr>
              <w:t>居民</w:t>
            </w:r>
          </w:p>
        </w:tc>
        <w:tc>
          <w:tcPr>
            <w:tcW w:w="1018" w:type="pct"/>
            <w:vAlign w:val="center"/>
          </w:tcPr>
          <w:p w14:paraId="4F0279EC">
            <w:pPr>
              <w:pStyle w:val="31"/>
              <w:bidi w:val="0"/>
              <w:jc w:val="center"/>
              <w:rPr>
                <w:rFonts w:hint="eastAsia"/>
              </w:rPr>
            </w:pPr>
            <w:r>
              <w:rPr>
                <w:rFonts w:hint="default"/>
                <w:lang w:val="en-US" w:eastAsia="zh-CN"/>
              </w:rPr>
              <w:t>约35户，123人</w:t>
            </w:r>
          </w:p>
        </w:tc>
        <w:tc>
          <w:tcPr>
            <w:tcW w:w="439" w:type="pct"/>
            <w:vAlign w:val="center"/>
          </w:tcPr>
          <w:p w14:paraId="6FE619A4">
            <w:pPr>
              <w:pStyle w:val="31"/>
              <w:bidi w:val="0"/>
              <w:ind w:firstLine="0" w:firstLineChars="0"/>
              <w:jc w:val="center"/>
              <w:rPr>
                <w:rFonts w:hint="eastAsia"/>
              </w:rPr>
            </w:pPr>
            <w:r>
              <w:rPr>
                <w:rFonts w:hint="eastAsia"/>
                <w:lang w:val="en-US" w:eastAsia="zh-CN"/>
              </w:rPr>
              <w:t>2类</w:t>
            </w:r>
          </w:p>
        </w:tc>
        <w:tc>
          <w:tcPr>
            <w:tcW w:w="302" w:type="pct"/>
            <w:vAlign w:val="center"/>
          </w:tcPr>
          <w:p w14:paraId="18AC6FF0">
            <w:pPr>
              <w:pStyle w:val="31"/>
              <w:bidi w:val="0"/>
              <w:jc w:val="center"/>
              <w:rPr>
                <w:rFonts w:hint="eastAsia"/>
              </w:rPr>
            </w:pPr>
            <w:r>
              <w:rPr>
                <w:rFonts w:hint="default"/>
                <w:lang w:val="en-US" w:eastAsia="zh-CN"/>
              </w:rPr>
              <w:t>NE</w:t>
            </w:r>
          </w:p>
        </w:tc>
        <w:tc>
          <w:tcPr>
            <w:tcW w:w="574" w:type="pct"/>
            <w:vAlign w:val="center"/>
          </w:tcPr>
          <w:p w14:paraId="240DE09D">
            <w:pPr>
              <w:pStyle w:val="31"/>
              <w:bidi w:val="0"/>
              <w:jc w:val="center"/>
              <w:rPr>
                <w:rFonts w:hint="eastAsia"/>
              </w:rPr>
            </w:pPr>
            <w:r>
              <w:rPr>
                <w:rFonts w:hint="default"/>
                <w:lang w:val="en-US" w:eastAsia="zh-CN"/>
              </w:rPr>
              <w:t>1770</w:t>
            </w:r>
          </w:p>
        </w:tc>
      </w:tr>
      <w:tr w14:paraId="45703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7DEDD4F9">
            <w:pPr>
              <w:pStyle w:val="31"/>
              <w:bidi w:val="0"/>
              <w:jc w:val="center"/>
              <w:rPr>
                <w:rFonts w:hint="default"/>
                <w:lang w:val="en-US" w:eastAsia="zh-CN"/>
              </w:rPr>
            </w:pPr>
            <w:r>
              <w:rPr>
                <w:rFonts w:hint="default"/>
                <w:lang w:val="en-US" w:eastAsia="zh-CN"/>
              </w:rPr>
              <w:t>衡东县三樟镇</w:t>
            </w:r>
          </w:p>
          <w:p w14:paraId="1C9DD021">
            <w:pPr>
              <w:pStyle w:val="31"/>
              <w:bidi w:val="0"/>
              <w:jc w:val="center"/>
              <w:rPr>
                <w:rFonts w:hint="eastAsia"/>
              </w:rPr>
            </w:pPr>
            <w:r>
              <w:rPr>
                <w:rFonts w:hint="default"/>
                <w:lang w:val="en-US" w:eastAsia="zh-CN"/>
              </w:rPr>
              <w:t>油麻田村下梁家冲</w:t>
            </w:r>
          </w:p>
        </w:tc>
        <w:tc>
          <w:tcPr>
            <w:tcW w:w="347" w:type="pct"/>
            <w:vAlign w:val="center"/>
          </w:tcPr>
          <w:p w14:paraId="0D0C4FEC">
            <w:pPr>
              <w:pStyle w:val="31"/>
              <w:bidi w:val="0"/>
              <w:jc w:val="center"/>
              <w:rPr>
                <w:rFonts w:hint="eastAsia"/>
              </w:rPr>
            </w:pPr>
            <w:r>
              <w:rPr>
                <w:rFonts w:hint="default"/>
                <w:lang w:val="en-US" w:eastAsia="zh-CN"/>
              </w:rPr>
              <w:t>1612</w:t>
            </w:r>
          </w:p>
        </w:tc>
        <w:tc>
          <w:tcPr>
            <w:tcW w:w="347" w:type="pct"/>
            <w:vAlign w:val="center"/>
          </w:tcPr>
          <w:p w14:paraId="3D7D6BEC">
            <w:pPr>
              <w:pStyle w:val="31"/>
              <w:bidi w:val="0"/>
              <w:jc w:val="center"/>
              <w:rPr>
                <w:rFonts w:hint="eastAsia"/>
              </w:rPr>
            </w:pPr>
            <w:r>
              <w:rPr>
                <w:rFonts w:hint="default"/>
                <w:lang w:val="en-US" w:eastAsia="zh-CN"/>
              </w:rPr>
              <w:t>1921</w:t>
            </w:r>
          </w:p>
        </w:tc>
        <w:tc>
          <w:tcPr>
            <w:tcW w:w="302" w:type="pct"/>
            <w:vAlign w:val="center"/>
          </w:tcPr>
          <w:p w14:paraId="0C7B0C77">
            <w:pPr>
              <w:pStyle w:val="31"/>
              <w:bidi w:val="0"/>
              <w:ind w:firstLine="0" w:firstLineChars="0"/>
              <w:jc w:val="center"/>
              <w:rPr>
                <w:rFonts w:hint="eastAsia"/>
              </w:rPr>
            </w:pPr>
            <w:r>
              <w:rPr>
                <w:rFonts w:hint="eastAsia"/>
                <w:lang w:val="en-US" w:eastAsia="zh-CN"/>
              </w:rPr>
              <w:t>居民</w:t>
            </w:r>
          </w:p>
        </w:tc>
        <w:tc>
          <w:tcPr>
            <w:tcW w:w="1018" w:type="pct"/>
            <w:vAlign w:val="center"/>
          </w:tcPr>
          <w:p w14:paraId="0F4D9983">
            <w:pPr>
              <w:pStyle w:val="31"/>
              <w:bidi w:val="0"/>
              <w:jc w:val="center"/>
              <w:rPr>
                <w:rFonts w:hint="eastAsia"/>
              </w:rPr>
            </w:pPr>
            <w:r>
              <w:rPr>
                <w:rFonts w:hint="default"/>
                <w:lang w:val="en-US" w:eastAsia="zh-CN"/>
              </w:rPr>
              <w:t>约35户，123人</w:t>
            </w:r>
          </w:p>
        </w:tc>
        <w:tc>
          <w:tcPr>
            <w:tcW w:w="439" w:type="pct"/>
            <w:vAlign w:val="center"/>
          </w:tcPr>
          <w:p w14:paraId="53CB7E39">
            <w:pPr>
              <w:pStyle w:val="31"/>
              <w:bidi w:val="0"/>
              <w:ind w:firstLine="0" w:firstLineChars="0"/>
              <w:jc w:val="center"/>
              <w:rPr>
                <w:rFonts w:hint="eastAsia"/>
              </w:rPr>
            </w:pPr>
            <w:r>
              <w:rPr>
                <w:rFonts w:hint="eastAsia"/>
                <w:lang w:val="en-US" w:eastAsia="zh-CN"/>
              </w:rPr>
              <w:t>2类</w:t>
            </w:r>
          </w:p>
        </w:tc>
        <w:tc>
          <w:tcPr>
            <w:tcW w:w="302" w:type="pct"/>
            <w:vAlign w:val="center"/>
          </w:tcPr>
          <w:p w14:paraId="758F13DC">
            <w:pPr>
              <w:pStyle w:val="31"/>
              <w:bidi w:val="0"/>
              <w:jc w:val="center"/>
              <w:rPr>
                <w:rFonts w:hint="eastAsia"/>
              </w:rPr>
            </w:pPr>
            <w:r>
              <w:rPr>
                <w:rFonts w:hint="default"/>
                <w:lang w:val="en-US" w:eastAsia="zh-CN"/>
              </w:rPr>
              <w:t>NE</w:t>
            </w:r>
          </w:p>
        </w:tc>
        <w:tc>
          <w:tcPr>
            <w:tcW w:w="574" w:type="pct"/>
            <w:vAlign w:val="center"/>
          </w:tcPr>
          <w:p w14:paraId="72928955">
            <w:pPr>
              <w:pStyle w:val="31"/>
              <w:bidi w:val="0"/>
              <w:jc w:val="center"/>
              <w:rPr>
                <w:rFonts w:hint="eastAsia"/>
              </w:rPr>
            </w:pPr>
            <w:r>
              <w:rPr>
                <w:rFonts w:hint="default"/>
                <w:lang w:val="en-US" w:eastAsia="zh-CN"/>
              </w:rPr>
              <w:t>2410</w:t>
            </w:r>
          </w:p>
        </w:tc>
      </w:tr>
      <w:tr w14:paraId="26FFD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648020E">
            <w:pPr>
              <w:pStyle w:val="31"/>
              <w:bidi w:val="0"/>
              <w:jc w:val="center"/>
              <w:rPr>
                <w:rFonts w:hint="default"/>
                <w:lang w:val="en-US" w:eastAsia="zh-CN"/>
              </w:rPr>
            </w:pPr>
            <w:r>
              <w:rPr>
                <w:rFonts w:hint="default"/>
                <w:lang w:val="en-US" w:eastAsia="zh-CN"/>
              </w:rPr>
              <w:t>衡东县三樟镇</w:t>
            </w:r>
          </w:p>
          <w:p w14:paraId="40C94734">
            <w:pPr>
              <w:pStyle w:val="31"/>
              <w:bidi w:val="0"/>
              <w:jc w:val="center"/>
              <w:rPr>
                <w:rFonts w:hint="eastAsia"/>
              </w:rPr>
            </w:pPr>
            <w:r>
              <w:rPr>
                <w:rFonts w:hint="default"/>
                <w:lang w:val="en-US" w:eastAsia="zh-CN"/>
              </w:rPr>
              <w:t>油麻田村梁家冲</w:t>
            </w:r>
          </w:p>
        </w:tc>
        <w:tc>
          <w:tcPr>
            <w:tcW w:w="347" w:type="pct"/>
            <w:vAlign w:val="center"/>
          </w:tcPr>
          <w:p w14:paraId="0B6CB569">
            <w:pPr>
              <w:pStyle w:val="31"/>
              <w:bidi w:val="0"/>
              <w:jc w:val="center"/>
              <w:rPr>
                <w:rFonts w:hint="eastAsia"/>
              </w:rPr>
            </w:pPr>
            <w:r>
              <w:rPr>
                <w:rFonts w:hint="default"/>
                <w:lang w:val="en-US" w:eastAsia="zh-CN"/>
              </w:rPr>
              <w:t>1661</w:t>
            </w:r>
          </w:p>
        </w:tc>
        <w:tc>
          <w:tcPr>
            <w:tcW w:w="347" w:type="pct"/>
            <w:vAlign w:val="center"/>
          </w:tcPr>
          <w:p w14:paraId="00AA2FCC">
            <w:pPr>
              <w:pStyle w:val="31"/>
              <w:bidi w:val="0"/>
              <w:jc w:val="center"/>
              <w:rPr>
                <w:rFonts w:hint="eastAsia"/>
              </w:rPr>
            </w:pPr>
            <w:r>
              <w:rPr>
                <w:rFonts w:hint="default"/>
                <w:lang w:val="en-US" w:eastAsia="zh-CN"/>
              </w:rPr>
              <w:t>1368</w:t>
            </w:r>
          </w:p>
        </w:tc>
        <w:tc>
          <w:tcPr>
            <w:tcW w:w="302" w:type="pct"/>
            <w:vAlign w:val="center"/>
          </w:tcPr>
          <w:p w14:paraId="47FAB767">
            <w:pPr>
              <w:pStyle w:val="31"/>
              <w:bidi w:val="0"/>
              <w:ind w:firstLine="0" w:firstLineChars="0"/>
              <w:jc w:val="center"/>
              <w:rPr>
                <w:rFonts w:hint="eastAsia"/>
              </w:rPr>
            </w:pPr>
            <w:r>
              <w:rPr>
                <w:rFonts w:hint="eastAsia"/>
                <w:lang w:val="en-US" w:eastAsia="zh-CN"/>
              </w:rPr>
              <w:t>居民</w:t>
            </w:r>
          </w:p>
        </w:tc>
        <w:tc>
          <w:tcPr>
            <w:tcW w:w="1018" w:type="pct"/>
            <w:vAlign w:val="center"/>
          </w:tcPr>
          <w:p w14:paraId="0B707366">
            <w:pPr>
              <w:pStyle w:val="31"/>
              <w:bidi w:val="0"/>
              <w:jc w:val="center"/>
              <w:rPr>
                <w:rFonts w:hint="eastAsia"/>
              </w:rPr>
            </w:pPr>
            <w:r>
              <w:rPr>
                <w:rFonts w:hint="default"/>
                <w:lang w:val="en-US" w:eastAsia="zh-CN"/>
              </w:rPr>
              <w:t>约35户，123人</w:t>
            </w:r>
          </w:p>
        </w:tc>
        <w:tc>
          <w:tcPr>
            <w:tcW w:w="439" w:type="pct"/>
            <w:vAlign w:val="center"/>
          </w:tcPr>
          <w:p w14:paraId="6209680B">
            <w:pPr>
              <w:pStyle w:val="31"/>
              <w:bidi w:val="0"/>
              <w:ind w:firstLine="0" w:firstLineChars="0"/>
              <w:jc w:val="center"/>
              <w:rPr>
                <w:rFonts w:hint="eastAsia"/>
              </w:rPr>
            </w:pPr>
            <w:r>
              <w:rPr>
                <w:rFonts w:hint="eastAsia"/>
                <w:lang w:val="en-US" w:eastAsia="zh-CN"/>
              </w:rPr>
              <w:t>2类</w:t>
            </w:r>
          </w:p>
        </w:tc>
        <w:tc>
          <w:tcPr>
            <w:tcW w:w="302" w:type="pct"/>
            <w:vAlign w:val="center"/>
          </w:tcPr>
          <w:p w14:paraId="683B5C97">
            <w:pPr>
              <w:pStyle w:val="31"/>
              <w:bidi w:val="0"/>
              <w:jc w:val="center"/>
              <w:rPr>
                <w:rFonts w:hint="eastAsia"/>
              </w:rPr>
            </w:pPr>
            <w:r>
              <w:rPr>
                <w:rFonts w:hint="default"/>
                <w:lang w:val="en-US" w:eastAsia="zh-CN"/>
              </w:rPr>
              <w:t>NE</w:t>
            </w:r>
          </w:p>
        </w:tc>
        <w:tc>
          <w:tcPr>
            <w:tcW w:w="574" w:type="pct"/>
            <w:vAlign w:val="center"/>
          </w:tcPr>
          <w:p w14:paraId="28A90BA1">
            <w:pPr>
              <w:pStyle w:val="31"/>
              <w:bidi w:val="0"/>
              <w:jc w:val="center"/>
              <w:rPr>
                <w:rFonts w:hint="eastAsia"/>
              </w:rPr>
            </w:pPr>
            <w:r>
              <w:rPr>
                <w:rFonts w:hint="default"/>
                <w:lang w:val="en-US" w:eastAsia="zh-CN"/>
              </w:rPr>
              <w:t>2050</w:t>
            </w:r>
          </w:p>
        </w:tc>
      </w:tr>
      <w:tr w14:paraId="26D65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219A6535">
            <w:pPr>
              <w:pStyle w:val="31"/>
              <w:bidi w:val="0"/>
              <w:jc w:val="center"/>
              <w:rPr>
                <w:rFonts w:hint="default"/>
                <w:lang w:val="en-US" w:eastAsia="zh-CN"/>
              </w:rPr>
            </w:pPr>
            <w:r>
              <w:rPr>
                <w:rFonts w:hint="default"/>
                <w:lang w:val="en-US" w:eastAsia="zh-CN"/>
              </w:rPr>
              <w:t>衡东县三樟镇</w:t>
            </w:r>
          </w:p>
          <w:p w14:paraId="451F55C1">
            <w:pPr>
              <w:pStyle w:val="31"/>
              <w:bidi w:val="0"/>
              <w:jc w:val="center"/>
              <w:rPr>
                <w:rFonts w:hint="eastAsia"/>
              </w:rPr>
            </w:pPr>
            <w:r>
              <w:rPr>
                <w:rFonts w:hint="default"/>
                <w:lang w:val="en-US" w:eastAsia="zh-CN"/>
              </w:rPr>
              <w:t>油麻田村烟竹塘</w:t>
            </w:r>
          </w:p>
        </w:tc>
        <w:tc>
          <w:tcPr>
            <w:tcW w:w="347" w:type="pct"/>
            <w:vAlign w:val="center"/>
          </w:tcPr>
          <w:p w14:paraId="76F44962">
            <w:pPr>
              <w:pStyle w:val="31"/>
              <w:bidi w:val="0"/>
              <w:jc w:val="center"/>
              <w:rPr>
                <w:rFonts w:hint="eastAsia"/>
              </w:rPr>
            </w:pPr>
            <w:r>
              <w:rPr>
                <w:rFonts w:hint="default"/>
                <w:lang w:val="en-US" w:eastAsia="zh-CN"/>
              </w:rPr>
              <w:t>2236</w:t>
            </w:r>
          </w:p>
        </w:tc>
        <w:tc>
          <w:tcPr>
            <w:tcW w:w="347" w:type="pct"/>
            <w:vAlign w:val="center"/>
          </w:tcPr>
          <w:p w14:paraId="6B0BC571">
            <w:pPr>
              <w:pStyle w:val="31"/>
              <w:bidi w:val="0"/>
              <w:jc w:val="center"/>
              <w:rPr>
                <w:rFonts w:hint="eastAsia"/>
              </w:rPr>
            </w:pPr>
            <w:r>
              <w:rPr>
                <w:rFonts w:hint="default"/>
                <w:lang w:val="en-US" w:eastAsia="zh-CN"/>
              </w:rPr>
              <w:t>2051</w:t>
            </w:r>
          </w:p>
        </w:tc>
        <w:tc>
          <w:tcPr>
            <w:tcW w:w="302" w:type="pct"/>
            <w:vAlign w:val="center"/>
          </w:tcPr>
          <w:p w14:paraId="24F785F4">
            <w:pPr>
              <w:pStyle w:val="31"/>
              <w:bidi w:val="0"/>
              <w:ind w:firstLine="0" w:firstLineChars="0"/>
              <w:jc w:val="center"/>
              <w:rPr>
                <w:rFonts w:hint="eastAsia"/>
              </w:rPr>
            </w:pPr>
            <w:r>
              <w:rPr>
                <w:rFonts w:hint="eastAsia"/>
                <w:lang w:val="en-US" w:eastAsia="zh-CN"/>
              </w:rPr>
              <w:t>居民</w:t>
            </w:r>
          </w:p>
        </w:tc>
        <w:tc>
          <w:tcPr>
            <w:tcW w:w="1018" w:type="pct"/>
            <w:vAlign w:val="center"/>
          </w:tcPr>
          <w:p w14:paraId="7FCB6C38">
            <w:pPr>
              <w:pStyle w:val="31"/>
              <w:bidi w:val="0"/>
              <w:jc w:val="center"/>
              <w:rPr>
                <w:rFonts w:hint="eastAsia"/>
              </w:rPr>
            </w:pPr>
            <w:r>
              <w:rPr>
                <w:rFonts w:hint="default"/>
                <w:lang w:val="en-US" w:eastAsia="zh-CN"/>
              </w:rPr>
              <w:t>约10户，35人</w:t>
            </w:r>
          </w:p>
        </w:tc>
        <w:tc>
          <w:tcPr>
            <w:tcW w:w="439" w:type="pct"/>
            <w:vAlign w:val="center"/>
          </w:tcPr>
          <w:p w14:paraId="7372D733">
            <w:pPr>
              <w:pStyle w:val="31"/>
              <w:bidi w:val="0"/>
              <w:ind w:firstLine="0" w:firstLineChars="0"/>
              <w:jc w:val="center"/>
              <w:rPr>
                <w:rFonts w:hint="eastAsia"/>
              </w:rPr>
            </w:pPr>
            <w:r>
              <w:rPr>
                <w:rFonts w:hint="eastAsia"/>
                <w:lang w:val="en-US" w:eastAsia="zh-CN"/>
              </w:rPr>
              <w:t>2类</w:t>
            </w:r>
          </w:p>
        </w:tc>
        <w:tc>
          <w:tcPr>
            <w:tcW w:w="302" w:type="pct"/>
            <w:vAlign w:val="center"/>
          </w:tcPr>
          <w:p w14:paraId="57DDBD69">
            <w:pPr>
              <w:pStyle w:val="31"/>
              <w:bidi w:val="0"/>
              <w:jc w:val="center"/>
              <w:rPr>
                <w:rFonts w:hint="eastAsia"/>
              </w:rPr>
            </w:pPr>
            <w:r>
              <w:rPr>
                <w:rFonts w:hint="default"/>
                <w:lang w:val="en-US" w:eastAsia="zh-CN"/>
              </w:rPr>
              <w:t>NE</w:t>
            </w:r>
          </w:p>
        </w:tc>
        <w:tc>
          <w:tcPr>
            <w:tcW w:w="574" w:type="pct"/>
            <w:vAlign w:val="center"/>
          </w:tcPr>
          <w:p w14:paraId="490203CE">
            <w:pPr>
              <w:pStyle w:val="31"/>
              <w:bidi w:val="0"/>
              <w:jc w:val="center"/>
              <w:rPr>
                <w:rFonts w:hint="eastAsia"/>
              </w:rPr>
            </w:pPr>
            <w:r>
              <w:rPr>
                <w:rFonts w:hint="default"/>
                <w:lang w:val="en-US" w:eastAsia="zh-CN"/>
              </w:rPr>
              <w:t>2930</w:t>
            </w:r>
          </w:p>
        </w:tc>
      </w:tr>
      <w:tr w14:paraId="0A967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5757F7E">
            <w:pPr>
              <w:pStyle w:val="31"/>
              <w:bidi w:val="0"/>
              <w:jc w:val="center"/>
              <w:rPr>
                <w:rFonts w:hint="default"/>
                <w:lang w:val="en-US" w:eastAsia="zh-CN"/>
              </w:rPr>
            </w:pPr>
            <w:r>
              <w:rPr>
                <w:rFonts w:hint="default"/>
                <w:lang w:val="en-US" w:eastAsia="zh-CN"/>
              </w:rPr>
              <w:t>衡东县三樟镇</w:t>
            </w:r>
          </w:p>
          <w:p w14:paraId="40D01C05">
            <w:pPr>
              <w:pStyle w:val="31"/>
              <w:bidi w:val="0"/>
              <w:jc w:val="center"/>
              <w:rPr>
                <w:rFonts w:hint="eastAsia"/>
              </w:rPr>
            </w:pPr>
            <w:r>
              <w:rPr>
                <w:rFonts w:hint="default"/>
                <w:lang w:val="en-US" w:eastAsia="zh-CN"/>
              </w:rPr>
              <w:t>油麻田村新塘村</w:t>
            </w:r>
          </w:p>
        </w:tc>
        <w:tc>
          <w:tcPr>
            <w:tcW w:w="347" w:type="pct"/>
            <w:vAlign w:val="center"/>
          </w:tcPr>
          <w:p w14:paraId="03FFFE95">
            <w:pPr>
              <w:pStyle w:val="31"/>
              <w:bidi w:val="0"/>
              <w:jc w:val="center"/>
              <w:rPr>
                <w:rFonts w:hint="eastAsia"/>
              </w:rPr>
            </w:pPr>
            <w:r>
              <w:rPr>
                <w:rFonts w:hint="default"/>
                <w:lang w:val="en-US" w:eastAsia="zh-CN"/>
              </w:rPr>
              <w:t>1907</w:t>
            </w:r>
          </w:p>
        </w:tc>
        <w:tc>
          <w:tcPr>
            <w:tcW w:w="347" w:type="pct"/>
            <w:vAlign w:val="center"/>
          </w:tcPr>
          <w:p w14:paraId="18C730AD">
            <w:pPr>
              <w:pStyle w:val="31"/>
              <w:bidi w:val="0"/>
              <w:jc w:val="center"/>
              <w:rPr>
                <w:rFonts w:hint="eastAsia"/>
              </w:rPr>
            </w:pPr>
            <w:r>
              <w:rPr>
                <w:rFonts w:hint="default"/>
                <w:lang w:val="en-US" w:eastAsia="zh-CN"/>
              </w:rPr>
              <w:t>830</w:t>
            </w:r>
          </w:p>
        </w:tc>
        <w:tc>
          <w:tcPr>
            <w:tcW w:w="302" w:type="pct"/>
            <w:vAlign w:val="center"/>
          </w:tcPr>
          <w:p w14:paraId="0848AFAB">
            <w:pPr>
              <w:pStyle w:val="31"/>
              <w:bidi w:val="0"/>
              <w:ind w:firstLine="0" w:firstLineChars="0"/>
              <w:jc w:val="center"/>
              <w:rPr>
                <w:rFonts w:hint="eastAsia"/>
              </w:rPr>
            </w:pPr>
            <w:r>
              <w:rPr>
                <w:rFonts w:hint="eastAsia"/>
                <w:lang w:val="en-US" w:eastAsia="zh-CN"/>
              </w:rPr>
              <w:t>居民</w:t>
            </w:r>
          </w:p>
        </w:tc>
        <w:tc>
          <w:tcPr>
            <w:tcW w:w="1018" w:type="pct"/>
            <w:vAlign w:val="center"/>
          </w:tcPr>
          <w:p w14:paraId="0B96C2F0">
            <w:pPr>
              <w:pStyle w:val="31"/>
              <w:bidi w:val="0"/>
              <w:jc w:val="center"/>
              <w:rPr>
                <w:rFonts w:hint="eastAsia"/>
              </w:rPr>
            </w:pPr>
            <w:r>
              <w:rPr>
                <w:rFonts w:hint="default"/>
                <w:lang w:val="en-US" w:eastAsia="zh-CN"/>
              </w:rPr>
              <w:t>约30户，105人</w:t>
            </w:r>
          </w:p>
        </w:tc>
        <w:tc>
          <w:tcPr>
            <w:tcW w:w="439" w:type="pct"/>
            <w:vAlign w:val="center"/>
          </w:tcPr>
          <w:p w14:paraId="036FE808">
            <w:pPr>
              <w:pStyle w:val="31"/>
              <w:bidi w:val="0"/>
              <w:ind w:firstLine="0" w:firstLineChars="0"/>
              <w:jc w:val="center"/>
              <w:rPr>
                <w:rFonts w:hint="eastAsia"/>
              </w:rPr>
            </w:pPr>
            <w:r>
              <w:rPr>
                <w:rFonts w:hint="eastAsia"/>
                <w:lang w:val="en-US" w:eastAsia="zh-CN"/>
              </w:rPr>
              <w:t>2类</w:t>
            </w:r>
          </w:p>
        </w:tc>
        <w:tc>
          <w:tcPr>
            <w:tcW w:w="302" w:type="pct"/>
            <w:vAlign w:val="center"/>
          </w:tcPr>
          <w:p w14:paraId="2A1F5CB9">
            <w:pPr>
              <w:pStyle w:val="31"/>
              <w:bidi w:val="0"/>
              <w:jc w:val="center"/>
              <w:rPr>
                <w:rFonts w:hint="eastAsia"/>
              </w:rPr>
            </w:pPr>
            <w:r>
              <w:rPr>
                <w:rFonts w:hint="default"/>
                <w:lang w:val="en-US" w:eastAsia="zh-CN"/>
              </w:rPr>
              <w:t>NE</w:t>
            </w:r>
          </w:p>
        </w:tc>
        <w:tc>
          <w:tcPr>
            <w:tcW w:w="574" w:type="pct"/>
            <w:vAlign w:val="center"/>
          </w:tcPr>
          <w:p w14:paraId="469C534B">
            <w:pPr>
              <w:pStyle w:val="31"/>
              <w:bidi w:val="0"/>
              <w:jc w:val="center"/>
              <w:rPr>
                <w:rFonts w:hint="eastAsia"/>
              </w:rPr>
            </w:pPr>
            <w:r>
              <w:rPr>
                <w:rFonts w:hint="default"/>
                <w:lang w:val="en-US" w:eastAsia="zh-CN"/>
              </w:rPr>
              <w:t>1980</w:t>
            </w:r>
          </w:p>
        </w:tc>
      </w:tr>
      <w:tr w14:paraId="19B5A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5637D404">
            <w:pPr>
              <w:pStyle w:val="31"/>
              <w:bidi w:val="0"/>
              <w:jc w:val="center"/>
              <w:rPr>
                <w:rFonts w:hint="default"/>
                <w:lang w:val="en-US" w:eastAsia="zh-CN"/>
              </w:rPr>
            </w:pPr>
            <w:r>
              <w:rPr>
                <w:rFonts w:hint="default"/>
                <w:lang w:val="en-US" w:eastAsia="zh-CN"/>
              </w:rPr>
              <w:t>衡东县三樟镇</w:t>
            </w:r>
          </w:p>
          <w:p w14:paraId="45F44C18">
            <w:pPr>
              <w:pStyle w:val="31"/>
              <w:bidi w:val="0"/>
              <w:jc w:val="center"/>
              <w:rPr>
                <w:rFonts w:hint="eastAsia"/>
              </w:rPr>
            </w:pPr>
            <w:r>
              <w:rPr>
                <w:rFonts w:hint="default"/>
                <w:lang w:val="en-US" w:eastAsia="zh-CN"/>
              </w:rPr>
              <w:t>油麻田村小冲</w:t>
            </w:r>
          </w:p>
        </w:tc>
        <w:tc>
          <w:tcPr>
            <w:tcW w:w="347" w:type="pct"/>
            <w:vAlign w:val="center"/>
          </w:tcPr>
          <w:p w14:paraId="596B1321">
            <w:pPr>
              <w:pStyle w:val="31"/>
              <w:bidi w:val="0"/>
              <w:jc w:val="center"/>
              <w:rPr>
                <w:rFonts w:hint="eastAsia"/>
              </w:rPr>
            </w:pPr>
            <w:r>
              <w:rPr>
                <w:rFonts w:hint="default"/>
                <w:lang w:val="en-US" w:eastAsia="zh-CN"/>
              </w:rPr>
              <w:t>1663</w:t>
            </w:r>
          </w:p>
        </w:tc>
        <w:tc>
          <w:tcPr>
            <w:tcW w:w="347" w:type="pct"/>
            <w:vAlign w:val="center"/>
          </w:tcPr>
          <w:p w14:paraId="76577547">
            <w:pPr>
              <w:pStyle w:val="31"/>
              <w:bidi w:val="0"/>
              <w:jc w:val="center"/>
              <w:rPr>
                <w:rFonts w:hint="eastAsia"/>
              </w:rPr>
            </w:pPr>
            <w:r>
              <w:rPr>
                <w:rFonts w:hint="default"/>
                <w:lang w:val="en-US" w:eastAsia="zh-CN"/>
              </w:rPr>
              <w:t>875</w:t>
            </w:r>
          </w:p>
        </w:tc>
        <w:tc>
          <w:tcPr>
            <w:tcW w:w="302" w:type="pct"/>
            <w:vAlign w:val="center"/>
          </w:tcPr>
          <w:p w14:paraId="0AE045DB">
            <w:pPr>
              <w:pStyle w:val="31"/>
              <w:bidi w:val="0"/>
              <w:ind w:firstLine="0" w:firstLineChars="0"/>
              <w:jc w:val="center"/>
              <w:rPr>
                <w:rFonts w:hint="eastAsia"/>
              </w:rPr>
            </w:pPr>
            <w:r>
              <w:rPr>
                <w:rFonts w:hint="eastAsia"/>
                <w:lang w:val="en-US" w:eastAsia="zh-CN"/>
              </w:rPr>
              <w:t>居民</w:t>
            </w:r>
          </w:p>
        </w:tc>
        <w:tc>
          <w:tcPr>
            <w:tcW w:w="1018" w:type="pct"/>
            <w:vAlign w:val="center"/>
          </w:tcPr>
          <w:p w14:paraId="0321721E">
            <w:pPr>
              <w:pStyle w:val="31"/>
              <w:bidi w:val="0"/>
              <w:jc w:val="center"/>
              <w:rPr>
                <w:rFonts w:hint="eastAsia"/>
              </w:rPr>
            </w:pPr>
            <w:r>
              <w:rPr>
                <w:rFonts w:hint="default"/>
                <w:lang w:val="en-US" w:eastAsia="zh-CN"/>
              </w:rPr>
              <w:t>约25户，88人</w:t>
            </w:r>
          </w:p>
        </w:tc>
        <w:tc>
          <w:tcPr>
            <w:tcW w:w="439" w:type="pct"/>
            <w:vAlign w:val="center"/>
          </w:tcPr>
          <w:p w14:paraId="0A27D783">
            <w:pPr>
              <w:pStyle w:val="31"/>
              <w:bidi w:val="0"/>
              <w:ind w:firstLine="0" w:firstLineChars="0"/>
              <w:jc w:val="center"/>
              <w:rPr>
                <w:rFonts w:hint="eastAsia"/>
              </w:rPr>
            </w:pPr>
            <w:r>
              <w:rPr>
                <w:rFonts w:hint="eastAsia"/>
                <w:lang w:val="en-US" w:eastAsia="zh-CN"/>
              </w:rPr>
              <w:t>2类</w:t>
            </w:r>
          </w:p>
        </w:tc>
        <w:tc>
          <w:tcPr>
            <w:tcW w:w="302" w:type="pct"/>
            <w:vAlign w:val="center"/>
          </w:tcPr>
          <w:p w14:paraId="64C79436">
            <w:pPr>
              <w:pStyle w:val="31"/>
              <w:bidi w:val="0"/>
              <w:jc w:val="center"/>
              <w:rPr>
                <w:rFonts w:hint="eastAsia"/>
              </w:rPr>
            </w:pPr>
            <w:r>
              <w:rPr>
                <w:rFonts w:hint="default"/>
                <w:lang w:val="en-US" w:eastAsia="zh-CN"/>
              </w:rPr>
              <w:t>NE</w:t>
            </w:r>
          </w:p>
        </w:tc>
        <w:tc>
          <w:tcPr>
            <w:tcW w:w="574" w:type="pct"/>
            <w:vAlign w:val="center"/>
          </w:tcPr>
          <w:p w14:paraId="2FFA035F">
            <w:pPr>
              <w:pStyle w:val="31"/>
              <w:bidi w:val="0"/>
              <w:jc w:val="center"/>
              <w:rPr>
                <w:rFonts w:hint="eastAsia"/>
              </w:rPr>
            </w:pPr>
            <w:r>
              <w:rPr>
                <w:rFonts w:hint="default"/>
                <w:lang w:val="en-US" w:eastAsia="zh-CN"/>
              </w:rPr>
              <w:t>1780</w:t>
            </w:r>
          </w:p>
        </w:tc>
      </w:tr>
      <w:tr w14:paraId="1F156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9842BA7">
            <w:pPr>
              <w:pStyle w:val="31"/>
              <w:bidi w:val="0"/>
              <w:jc w:val="center"/>
              <w:rPr>
                <w:rFonts w:hint="default"/>
                <w:lang w:val="en-US" w:eastAsia="zh-CN"/>
              </w:rPr>
            </w:pPr>
            <w:r>
              <w:rPr>
                <w:rFonts w:hint="default"/>
                <w:lang w:val="en-US" w:eastAsia="zh-CN"/>
              </w:rPr>
              <w:t>衡东县三樟镇</w:t>
            </w:r>
          </w:p>
          <w:p w14:paraId="750CA646">
            <w:pPr>
              <w:pStyle w:val="31"/>
              <w:bidi w:val="0"/>
              <w:jc w:val="center"/>
              <w:rPr>
                <w:rFonts w:hint="eastAsia"/>
              </w:rPr>
            </w:pPr>
            <w:r>
              <w:rPr>
                <w:rFonts w:hint="default"/>
                <w:lang w:val="en-US" w:eastAsia="zh-CN"/>
              </w:rPr>
              <w:t>油麻田村楠木堂</w:t>
            </w:r>
          </w:p>
        </w:tc>
        <w:tc>
          <w:tcPr>
            <w:tcW w:w="347" w:type="pct"/>
            <w:vAlign w:val="center"/>
          </w:tcPr>
          <w:p w14:paraId="70AF08FE">
            <w:pPr>
              <w:pStyle w:val="31"/>
              <w:bidi w:val="0"/>
              <w:jc w:val="center"/>
              <w:rPr>
                <w:rFonts w:hint="eastAsia"/>
              </w:rPr>
            </w:pPr>
            <w:r>
              <w:rPr>
                <w:rFonts w:hint="default"/>
                <w:lang w:val="en-US" w:eastAsia="zh-CN"/>
              </w:rPr>
              <w:t>1275</w:t>
            </w:r>
          </w:p>
        </w:tc>
        <w:tc>
          <w:tcPr>
            <w:tcW w:w="347" w:type="pct"/>
            <w:vAlign w:val="center"/>
          </w:tcPr>
          <w:p w14:paraId="213DD377">
            <w:pPr>
              <w:pStyle w:val="31"/>
              <w:bidi w:val="0"/>
              <w:jc w:val="center"/>
              <w:rPr>
                <w:rFonts w:hint="eastAsia"/>
              </w:rPr>
            </w:pPr>
            <w:r>
              <w:rPr>
                <w:rFonts w:hint="default"/>
                <w:lang w:val="en-US" w:eastAsia="zh-CN"/>
              </w:rPr>
              <w:t>841</w:t>
            </w:r>
          </w:p>
        </w:tc>
        <w:tc>
          <w:tcPr>
            <w:tcW w:w="302" w:type="pct"/>
            <w:vAlign w:val="center"/>
          </w:tcPr>
          <w:p w14:paraId="4318B973">
            <w:pPr>
              <w:pStyle w:val="31"/>
              <w:bidi w:val="0"/>
              <w:ind w:firstLine="0" w:firstLineChars="0"/>
              <w:jc w:val="center"/>
              <w:rPr>
                <w:rFonts w:hint="eastAsia"/>
              </w:rPr>
            </w:pPr>
            <w:r>
              <w:rPr>
                <w:rFonts w:hint="eastAsia"/>
                <w:lang w:val="en-US" w:eastAsia="zh-CN"/>
              </w:rPr>
              <w:t>居民</w:t>
            </w:r>
          </w:p>
        </w:tc>
        <w:tc>
          <w:tcPr>
            <w:tcW w:w="1018" w:type="pct"/>
            <w:vAlign w:val="center"/>
          </w:tcPr>
          <w:p w14:paraId="5BAC0493">
            <w:pPr>
              <w:pStyle w:val="31"/>
              <w:bidi w:val="0"/>
              <w:jc w:val="center"/>
              <w:rPr>
                <w:rFonts w:hint="eastAsia"/>
              </w:rPr>
            </w:pPr>
            <w:r>
              <w:rPr>
                <w:rFonts w:hint="default"/>
                <w:lang w:val="en-US" w:eastAsia="zh-CN"/>
              </w:rPr>
              <w:t>约20户，70人</w:t>
            </w:r>
          </w:p>
        </w:tc>
        <w:tc>
          <w:tcPr>
            <w:tcW w:w="439" w:type="pct"/>
            <w:vAlign w:val="center"/>
          </w:tcPr>
          <w:p w14:paraId="4A739F45">
            <w:pPr>
              <w:pStyle w:val="31"/>
              <w:bidi w:val="0"/>
              <w:ind w:firstLine="0" w:firstLineChars="0"/>
              <w:jc w:val="center"/>
              <w:rPr>
                <w:rFonts w:hint="eastAsia"/>
              </w:rPr>
            </w:pPr>
            <w:r>
              <w:rPr>
                <w:rFonts w:hint="eastAsia"/>
                <w:lang w:val="en-US" w:eastAsia="zh-CN"/>
              </w:rPr>
              <w:t>2类</w:t>
            </w:r>
          </w:p>
        </w:tc>
        <w:tc>
          <w:tcPr>
            <w:tcW w:w="302" w:type="pct"/>
            <w:vAlign w:val="center"/>
          </w:tcPr>
          <w:p w14:paraId="6DD6ADFB">
            <w:pPr>
              <w:pStyle w:val="31"/>
              <w:bidi w:val="0"/>
              <w:jc w:val="center"/>
              <w:rPr>
                <w:rFonts w:hint="eastAsia"/>
              </w:rPr>
            </w:pPr>
            <w:r>
              <w:rPr>
                <w:rFonts w:hint="default"/>
                <w:lang w:val="en-US" w:eastAsia="zh-CN"/>
              </w:rPr>
              <w:t>NE</w:t>
            </w:r>
          </w:p>
        </w:tc>
        <w:tc>
          <w:tcPr>
            <w:tcW w:w="574" w:type="pct"/>
            <w:vAlign w:val="center"/>
          </w:tcPr>
          <w:p w14:paraId="5373C3A2">
            <w:pPr>
              <w:pStyle w:val="31"/>
              <w:bidi w:val="0"/>
              <w:jc w:val="center"/>
              <w:rPr>
                <w:rFonts w:hint="eastAsia"/>
              </w:rPr>
            </w:pPr>
            <w:r>
              <w:rPr>
                <w:rFonts w:hint="default"/>
                <w:lang w:val="en-US" w:eastAsia="zh-CN"/>
              </w:rPr>
              <w:t>1430</w:t>
            </w:r>
          </w:p>
        </w:tc>
      </w:tr>
      <w:tr w14:paraId="1F3A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0C6387D">
            <w:pPr>
              <w:pStyle w:val="31"/>
              <w:bidi w:val="0"/>
              <w:jc w:val="center"/>
              <w:rPr>
                <w:rFonts w:hint="default"/>
                <w:lang w:val="en-US" w:eastAsia="zh-CN"/>
              </w:rPr>
            </w:pPr>
            <w:r>
              <w:rPr>
                <w:rFonts w:hint="default"/>
                <w:lang w:val="en-US" w:eastAsia="zh-CN"/>
              </w:rPr>
              <w:t>衡东县三樟镇</w:t>
            </w:r>
          </w:p>
          <w:p w14:paraId="21E6E03A">
            <w:pPr>
              <w:pStyle w:val="31"/>
              <w:bidi w:val="0"/>
              <w:jc w:val="center"/>
              <w:rPr>
                <w:rFonts w:hint="eastAsia"/>
              </w:rPr>
            </w:pPr>
            <w:r>
              <w:rPr>
                <w:rFonts w:hint="default"/>
                <w:lang w:val="en-US" w:eastAsia="zh-CN"/>
              </w:rPr>
              <w:t>油麻田村康家冲</w:t>
            </w:r>
          </w:p>
        </w:tc>
        <w:tc>
          <w:tcPr>
            <w:tcW w:w="347" w:type="pct"/>
            <w:vAlign w:val="center"/>
          </w:tcPr>
          <w:p w14:paraId="2624197F">
            <w:pPr>
              <w:pStyle w:val="31"/>
              <w:bidi w:val="0"/>
              <w:jc w:val="center"/>
              <w:rPr>
                <w:rFonts w:hint="eastAsia"/>
              </w:rPr>
            </w:pPr>
            <w:r>
              <w:rPr>
                <w:rFonts w:hint="default"/>
                <w:lang w:val="en-US" w:eastAsia="zh-CN"/>
              </w:rPr>
              <w:t>1504</w:t>
            </w:r>
          </w:p>
        </w:tc>
        <w:tc>
          <w:tcPr>
            <w:tcW w:w="347" w:type="pct"/>
            <w:vAlign w:val="center"/>
          </w:tcPr>
          <w:p w14:paraId="6F42EA0C">
            <w:pPr>
              <w:pStyle w:val="31"/>
              <w:bidi w:val="0"/>
              <w:jc w:val="center"/>
              <w:rPr>
                <w:rFonts w:hint="eastAsia"/>
              </w:rPr>
            </w:pPr>
            <w:r>
              <w:rPr>
                <w:rFonts w:hint="default"/>
                <w:lang w:val="en-US" w:eastAsia="zh-CN"/>
              </w:rPr>
              <w:t>332</w:t>
            </w:r>
          </w:p>
        </w:tc>
        <w:tc>
          <w:tcPr>
            <w:tcW w:w="302" w:type="pct"/>
            <w:vAlign w:val="center"/>
          </w:tcPr>
          <w:p w14:paraId="513D49A3">
            <w:pPr>
              <w:pStyle w:val="31"/>
              <w:bidi w:val="0"/>
              <w:ind w:firstLine="0" w:firstLineChars="0"/>
              <w:jc w:val="center"/>
              <w:rPr>
                <w:rFonts w:hint="eastAsia"/>
              </w:rPr>
            </w:pPr>
            <w:r>
              <w:rPr>
                <w:rFonts w:hint="eastAsia"/>
                <w:lang w:val="en-US" w:eastAsia="zh-CN"/>
              </w:rPr>
              <w:t>居民</w:t>
            </w:r>
          </w:p>
        </w:tc>
        <w:tc>
          <w:tcPr>
            <w:tcW w:w="1018" w:type="pct"/>
            <w:vAlign w:val="center"/>
          </w:tcPr>
          <w:p w14:paraId="72BDFE5D">
            <w:pPr>
              <w:pStyle w:val="31"/>
              <w:bidi w:val="0"/>
              <w:jc w:val="center"/>
              <w:rPr>
                <w:rFonts w:hint="eastAsia"/>
              </w:rPr>
            </w:pPr>
            <w:r>
              <w:rPr>
                <w:rFonts w:hint="default"/>
                <w:lang w:val="en-US" w:eastAsia="zh-CN"/>
              </w:rPr>
              <w:t>约20户，70人</w:t>
            </w:r>
          </w:p>
        </w:tc>
        <w:tc>
          <w:tcPr>
            <w:tcW w:w="439" w:type="pct"/>
            <w:vAlign w:val="center"/>
          </w:tcPr>
          <w:p w14:paraId="39ECEAF8">
            <w:pPr>
              <w:pStyle w:val="31"/>
              <w:bidi w:val="0"/>
              <w:ind w:firstLine="0" w:firstLineChars="0"/>
              <w:jc w:val="center"/>
              <w:rPr>
                <w:rFonts w:hint="eastAsia"/>
              </w:rPr>
            </w:pPr>
            <w:r>
              <w:rPr>
                <w:rFonts w:hint="eastAsia"/>
                <w:lang w:val="en-US" w:eastAsia="zh-CN"/>
              </w:rPr>
              <w:t>2类</w:t>
            </w:r>
          </w:p>
        </w:tc>
        <w:tc>
          <w:tcPr>
            <w:tcW w:w="302" w:type="pct"/>
            <w:vAlign w:val="center"/>
          </w:tcPr>
          <w:p w14:paraId="114856E7">
            <w:pPr>
              <w:pStyle w:val="31"/>
              <w:bidi w:val="0"/>
              <w:jc w:val="center"/>
              <w:rPr>
                <w:rFonts w:hint="eastAsia"/>
              </w:rPr>
            </w:pPr>
            <w:r>
              <w:rPr>
                <w:rFonts w:hint="default"/>
                <w:lang w:val="en-US" w:eastAsia="zh-CN"/>
              </w:rPr>
              <w:t>NE</w:t>
            </w:r>
          </w:p>
        </w:tc>
        <w:tc>
          <w:tcPr>
            <w:tcW w:w="574" w:type="pct"/>
            <w:vAlign w:val="center"/>
          </w:tcPr>
          <w:p w14:paraId="23A72802">
            <w:pPr>
              <w:pStyle w:val="31"/>
              <w:bidi w:val="0"/>
              <w:jc w:val="center"/>
              <w:rPr>
                <w:rFonts w:hint="eastAsia"/>
              </w:rPr>
            </w:pPr>
            <w:r>
              <w:rPr>
                <w:rFonts w:hint="default"/>
                <w:lang w:val="en-US" w:eastAsia="zh-CN"/>
              </w:rPr>
              <w:t>1440</w:t>
            </w:r>
          </w:p>
        </w:tc>
      </w:tr>
      <w:tr w14:paraId="7E844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74FB14F6">
            <w:pPr>
              <w:pStyle w:val="31"/>
              <w:bidi w:val="0"/>
              <w:jc w:val="center"/>
              <w:rPr>
                <w:rFonts w:hint="default"/>
                <w:lang w:val="en-US" w:eastAsia="zh-CN"/>
              </w:rPr>
            </w:pPr>
            <w:r>
              <w:rPr>
                <w:rFonts w:hint="default"/>
                <w:lang w:val="en-US" w:eastAsia="zh-CN"/>
              </w:rPr>
              <w:t>衡东县三樟镇</w:t>
            </w:r>
          </w:p>
          <w:p w14:paraId="6613C2A0">
            <w:pPr>
              <w:pStyle w:val="31"/>
              <w:bidi w:val="0"/>
              <w:jc w:val="center"/>
              <w:rPr>
                <w:rFonts w:hint="eastAsia"/>
              </w:rPr>
            </w:pPr>
            <w:r>
              <w:rPr>
                <w:rFonts w:hint="default"/>
                <w:lang w:val="en-US" w:eastAsia="zh-CN"/>
              </w:rPr>
              <w:t>油麻田村大吉冲</w:t>
            </w:r>
          </w:p>
        </w:tc>
        <w:tc>
          <w:tcPr>
            <w:tcW w:w="347" w:type="pct"/>
            <w:vAlign w:val="center"/>
          </w:tcPr>
          <w:p w14:paraId="17C58FA2">
            <w:pPr>
              <w:pStyle w:val="31"/>
              <w:bidi w:val="0"/>
              <w:jc w:val="center"/>
              <w:rPr>
                <w:rFonts w:hint="eastAsia"/>
              </w:rPr>
            </w:pPr>
            <w:r>
              <w:rPr>
                <w:rFonts w:hint="default"/>
                <w:lang w:val="en-US" w:eastAsia="zh-CN"/>
              </w:rPr>
              <w:t>1272</w:t>
            </w:r>
          </w:p>
        </w:tc>
        <w:tc>
          <w:tcPr>
            <w:tcW w:w="347" w:type="pct"/>
            <w:vAlign w:val="center"/>
          </w:tcPr>
          <w:p w14:paraId="2C5CF9AF">
            <w:pPr>
              <w:pStyle w:val="31"/>
              <w:bidi w:val="0"/>
              <w:jc w:val="center"/>
              <w:rPr>
                <w:rFonts w:hint="eastAsia"/>
              </w:rPr>
            </w:pPr>
            <w:r>
              <w:rPr>
                <w:rFonts w:hint="default"/>
                <w:lang w:val="en-US" w:eastAsia="zh-CN"/>
              </w:rPr>
              <w:t>214</w:t>
            </w:r>
          </w:p>
        </w:tc>
        <w:tc>
          <w:tcPr>
            <w:tcW w:w="302" w:type="pct"/>
            <w:vAlign w:val="center"/>
          </w:tcPr>
          <w:p w14:paraId="43E36147">
            <w:pPr>
              <w:pStyle w:val="31"/>
              <w:bidi w:val="0"/>
              <w:ind w:firstLine="0" w:firstLineChars="0"/>
              <w:jc w:val="center"/>
              <w:rPr>
                <w:rFonts w:hint="eastAsia"/>
              </w:rPr>
            </w:pPr>
            <w:r>
              <w:rPr>
                <w:rFonts w:hint="eastAsia"/>
                <w:lang w:val="en-US" w:eastAsia="zh-CN"/>
              </w:rPr>
              <w:t>居民</w:t>
            </w:r>
          </w:p>
        </w:tc>
        <w:tc>
          <w:tcPr>
            <w:tcW w:w="1018" w:type="pct"/>
            <w:vAlign w:val="center"/>
          </w:tcPr>
          <w:p w14:paraId="58ABDEBB">
            <w:pPr>
              <w:pStyle w:val="31"/>
              <w:bidi w:val="0"/>
              <w:jc w:val="center"/>
              <w:rPr>
                <w:rFonts w:hint="eastAsia"/>
              </w:rPr>
            </w:pPr>
            <w:r>
              <w:rPr>
                <w:rFonts w:hint="default"/>
                <w:lang w:val="en-US" w:eastAsia="zh-CN"/>
              </w:rPr>
              <w:t>约10户，35人</w:t>
            </w:r>
          </w:p>
        </w:tc>
        <w:tc>
          <w:tcPr>
            <w:tcW w:w="439" w:type="pct"/>
            <w:vAlign w:val="center"/>
          </w:tcPr>
          <w:p w14:paraId="1C6A9068">
            <w:pPr>
              <w:pStyle w:val="31"/>
              <w:bidi w:val="0"/>
              <w:ind w:firstLine="0" w:firstLineChars="0"/>
              <w:jc w:val="center"/>
              <w:rPr>
                <w:rFonts w:hint="eastAsia"/>
              </w:rPr>
            </w:pPr>
            <w:r>
              <w:rPr>
                <w:rFonts w:hint="eastAsia"/>
                <w:lang w:val="en-US" w:eastAsia="zh-CN"/>
              </w:rPr>
              <w:t>2类</w:t>
            </w:r>
          </w:p>
        </w:tc>
        <w:tc>
          <w:tcPr>
            <w:tcW w:w="302" w:type="pct"/>
            <w:vAlign w:val="center"/>
          </w:tcPr>
          <w:p w14:paraId="694BDD90">
            <w:pPr>
              <w:pStyle w:val="31"/>
              <w:bidi w:val="0"/>
              <w:jc w:val="center"/>
              <w:rPr>
                <w:rFonts w:hint="eastAsia"/>
              </w:rPr>
            </w:pPr>
            <w:r>
              <w:rPr>
                <w:rFonts w:hint="default"/>
                <w:lang w:val="en-US" w:eastAsia="zh-CN"/>
              </w:rPr>
              <w:t>NE</w:t>
            </w:r>
          </w:p>
        </w:tc>
        <w:tc>
          <w:tcPr>
            <w:tcW w:w="574" w:type="pct"/>
            <w:vAlign w:val="center"/>
          </w:tcPr>
          <w:p w14:paraId="58F54190">
            <w:pPr>
              <w:pStyle w:val="31"/>
              <w:bidi w:val="0"/>
              <w:jc w:val="center"/>
              <w:rPr>
                <w:rFonts w:hint="eastAsia"/>
              </w:rPr>
            </w:pPr>
            <w:r>
              <w:rPr>
                <w:rFonts w:hint="default"/>
                <w:lang w:val="en-US" w:eastAsia="zh-CN"/>
              </w:rPr>
              <w:t>1190</w:t>
            </w:r>
          </w:p>
        </w:tc>
      </w:tr>
      <w:tr w14:paraId="5E5BF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A38114A">
            <w:pPr>
              <w:pStyle w:val="31"/>
              <w:bidi w:val="0"/>
              <w:jc w:val="center"/>
              <w:rPr>
                <w:rFonts w:hint="default"/>
                <w:lang w:val="en-US" w:eastAsia="zh-CN"/>
              </w:rPr>
            </w:pPr>
            <w:r>
              <w:rPr>
                <w:rFonts w:hint="default"/>
                <w:lang w:val="en-US" w:eastAsia="zh-CN"/>
              </w:rPr>
              <w:t>衡东县三樟镇</w:t>
            </w:r>
          </w:p>
          <w:p w14:paraId="3F9FFD6A">
            <w:pPr>
              <w:pStyle w:val="31"/>
              <w:bidi w:val="0"/>
              <w:jc w:val="center"/>
              <w:rPr>
                <w:rFonts w:hint="eastAsia"/>
              </w:rPr>
            </w:pPr>
            <w:r>
              <w:rPr>
                <w:rFonts w:hint="default"/>
                <w:lang w:val="en-US" w:eastAsia="zh-CN"/>
              </w:rPr>
              <w:t>和平村雷子塘</w:t>
            </w:r>
          </w:p>
        </w:tc>
        <w:tc>
          <w:tcPr>
            <w:tcW w:w="347" w:type="pct"/>
            <w:vAlign w:val="center"/>
          </w:tcPr>
          <w:p w14:paraId="6F0841FB">
            <w:pPr>
              <w:pStyle w:val="31"/>
              <w:bidi w:val="0"/>
              <w:jc w:val="center"/>
              <w:rPr>
                <w:rFonts w:hint="eastAsia"/>
              </w:rPr>
            </w:pPr>
            <w:r>
              <w:rPr>
                <w:rFonts w:hint="default"/>
                <w:lang w:val="en-US" w:eastAsia="zh-CN"/>
              </w:rPr>
              <w:t>2204</w:t>
            </w:r>
          </w:p>
        </w:tc>
        <w:tc>
          <w:tcPr>
            <w:tcW w:w="347" w:type="pct"/>
            <w:vAlign w:val="center"/>
          </w:tcPr>
          <w:p w14:paraId="4433AF7C">
            <w:pPr>
              <w:pStyle w:val="31"/>
              <w:bidi w:val="0"/>
              <w:jc w:val="center"/>
              <w:rPr>
                <w:rFonts w:hint="eastAsia"/>
              </w:rPr>
            </w:pPr>
            <w:r>
              <w:rPr>
                <w:rFonts w:hint="default"/>
                <w:lang w:val="en-US" w:eastAsia="zh-CN"/>
              </w:rPr>
              <w:t>371</w:t>
            </w:r>
          </w:p>
        </w:tc>
        <w:tc>
          <w:tcPr>
            <w:tcW w:w="302" w:type="pct"/>
            <w:vAlign w:val="center"/>
          </w:tcPr>
          <w:p w14:paraId="3E45C4BB">
            <w:pPr>
              <w:pStyle w:val="31"/>
              <w:bidi w:val="0"/>
              <w:ind w:firstLine="0" w:firstLineChars="0"/>
              <w:jc w:val="center"/>
              <w:rPr>
                <w:rFonts w:hint="eastAsia"/>
              </w:rPr>
            </w:pPr>
            <w:r>
              <w:rPr>
                <w:rFonts w:hint="eastAsia"/>
                <w:lang w:val="en-US" w:eastAsia="zh-CN"/>
              </w:rPr>
              <w:t>居民</w:t>
            </w:r>
          </w:p>
        </w:tc>
        <w:tc>
          <w:tcPr>
            <w:tcW w:w="1018" w:type="pct"/>
            <w:vAlign w:val="center"/>
          </w:tcPr>
          <w:p w14:paraId="5E15C51E">
            <w:pPr>
              <w:pStyle w:val="31"/>
              <w:bidi w:val="0"/>
              <w:jc w:val="center"/>
              <w:rPr>
                <w:rFonts w:hint="eastAsia"/>
              </w:rPr>
            </w:pPr>
            <w:r>
              <w:rPr>
                <w:rFonts w:hint="default"/>
                <w:lang w:val="en-US" w:eastAsia="zh-CN"/>
              </w:rPr>
              <w:t>约30户，105人</w:t>
            </w:r>
          </w:p>
        </w:tc>
        <w:tc>
          <w:tcPr>
            <w:tcW w:w="439" w:type="pct"/>
            <w:vAlign w:val="center"/>
          </w:tcPr>
          <w:p w14:paraId="079C8388">
            <w:pPr>
              <w:pStyle w:val="31"/>
              <w:bidi w:val="0"/>
              <w:ind w:firstLine="0" w:firstLineChars="0"/>
              <w:jc w:val="center"/>
              <w:rPr>
                <w:rFonts w:hint="eastAsia"/>
              </w:rPr>
            </w:pPr>
            <w:r>
              <w:rPr>
                <w:rFonts w:hint="eastAsia"/>
                <w:lang w:val="en-US" w:eastAsia="zh-CN"/>
              </w:rPr>
              <w:t>2类</w:t>
            </w:r>
          </w:p>
        </w:tc>
        <w:tc>
          <w:tcPr>
            <w:tcW w:w="302" w:type="pct"/>
            <w:vAlign w:val="center"/>
          </w:tcPr>
          <w:p w14:paraId="04EE5763">
            <w:pPr>
              <w:pStyle w:val="31"/>
              <w:bidi w:val="0"/>
              <w:jc w:val="center"/>
              <w:rPr>
                <w:rFonts w:hint="eastAsia"/>
              </w:rPr>
            </w:pPr>
            <w:r>
              <w:rPr>
                <w:rFonts w:hint="default"/>
                <w:lang w:val="en-US" w:eastAsia="zh-CN"/>
              </w:rPr>
              <w:t>NE</w:t>
            </w:r>
          </w:p>
        </w:tc>
        <w:tc>
          <w:tcPr>
            <w:tcW w:w="574" w:type="pct"/>
            <w:vAlign w:val="center"/>
          </w:tcPr>
          <w:p w14:paraId="55F93ED8">
            <w:pPr>
              <w:pStyle w:val="31"/>
              <w:bidi w:val="0"/>
              <w:jc w:val="center"/>
              <w:rPr>
                <w:rFonts w:hint="eastAsia"/>
              </w:rPr>
            </w:pPr>
            <w:r>
              <w:rPr>
                <w:rFonts w:hint="default"/>
                <w:lang w:val="en-US" w:eastAsia="zh-CN"/>
              </w:rPr>
              <w:t>2140</w:t>
            </w:r>
          </w:p>
        </w:tc>
      </w:tr>
      <w:tr w14:paraId="4C6B5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5F39407">
            <w:pPr>
              <w:pStyle w:val="31"/>
              <w:bidi w:val="0"/>
              <w:jc w:val="center"/>
              <w:rPr>
                <w:rFonts w:hint="default"/>
                <w:lang w:val="en-US" w:eastAsia="zh-CN"/>
              </w:rPr>
            </w:pPr>
            <w:r>
              <w:rPr>
                <w:rFonts w:hint="default"/>
                <w:lang w:val="en-US" w:eastAsia="zh-CN"/>
              </w:rPr>
              <w:t>衡东县三樟镇</w:t>
            </w:r>
          </w:p>
          <w:p w14:paraId="7D1C6D71">
            <w:pPr>
              <w:pStyle w:val="31"/>
              <w:bidi w:val="0"/>
              <w:jc w:val="center"/>
              <w:rPr>
                <w:rFonts w:hint="eastAsia"/>
              </w:rPr>
            </w:pPr>
            <w:r>
              <w:rPr>
                <w:rFonts w:hint="default"/>
                <w:lang w:val="en-US" w:eastAsia="zh-CN"/>
              </w:rPr>
              <w:t>油麻田村瓦屋场</w:t>
            </w:r>
          </w:p>
        </w:tc>
        <w:tc>
          <w:tcPr>
            <w:tcW w:w="347" w:type="pct"/>
            <w:vAlign w:val="center"/>
          </w:tcPr>
          <w:p w14:paraId="17865A60">
            <w:pPr>
              <w:pStyle w:val="31"/>
              <w:bidi w:val="0"/>
              <w:jc w:val="center"/>
              <w:rPr>
                <w:rFonts w:hint="eastAsia"/>
              </w:rPr>
            </w:pPr>
            <w:r>
              <w:rPr>
                <w:rFonts w:hint="default"/>
                <w:lang w:val="en-US" w:eastAsia="zh-CN"/>
              </w:rPr>
              <w:t>2363</w:t>
            </w:r>
          </w:p>
        </w:tc>
        <w:tc>
          <w:tcPr>
            <w:tcW w:w="347" w:type="pct"/>
            <w:vAlign w:val="center"/>
          </w:tcPr>
          <w:p w14:paraId="1709B621">
            <w:pPr>
              <w:pStyle w:val="31"/>
              <w:bidi w:val="0"/>
              <w:jc w:val="center"/>
              <w:rPr>
                <w:rFonts w:hint="eastAsia"/>
              </w:rPr>
            </w:pPr>
            <w:r>
              <w:rPr>
                <w:rFonts w:hint="default"/>
                <w:lang w:val="en-US" w:eastAsia="zh-CN"/>
              </w:rPr>
              <w:t>762</w:t>
            </w:r>
          </w:p>
        </w:tc>
        <w:tc>
          <w:tcPr>
            <w:tcW w:w="302" w:type="pct"/>
            <w:vAlign w:val="center"/>
          </w:tcPr>
          <w:p w14:paraId="584145D2">
            <w:pPr>
              <w:pStyle w:val="31"/>
              <w:bidi w:val="0"/>
              <w:ind w:firstLine="0" w:firstLineChars="0"/>
              <w:jc w:val="center"/>
              <w:rPr>
                <w:rFonts w:hint="eastAsia"/>
              </w:rPr>
            </w:pPr>
            <w:r>
              <w:rPr>
                <w:rFonts w:hint="eastAsia"/>
                <w:lang w:val="en-US" w:eastAsia="zh-CN"/>
              </w:rPr>
              <w:t>居民</w:t>
            </w:r>
          </w:p>
        </w:tc>
        <w:tc>
          <w:tcPr>
            <w:tcW w:w="1018" w:type="pct"/>
            <w:vAlign w:val="center"/>
          </w:tcPr>
          <w:p w14:paraId="47E89138">
            <w:pPr>
              <w:pStyle w:val="31"/>
              <w:bidi w:val="0"/>
              <w:jc w:val="center"/>
              <w:rPr>
                <w:rFonts w:hint="eastAsia"/>
              </w:rPr>
            </w:pPr>
            <w:r>
              <w:rPr>
                <w:rFonts w:hint="default"/>
                <w:lang w:val="en-US" w:eastAsia="zh-CN"/>
              </w:rPr>
              <w:t>约20户，70人</w:t>
            </w:r>
          </w:p>
        </w:tc>
        <w:tc>
          <w:tcPr>
            <w:tcW w:w="439" w:type="pct"/>
            <w:vAlign w:val="center"/>
          </w:tcPr>
          <w:p w14:paraId="317082D2">
            <w:pPr>
              <w:pStyle w:val="31"/>
              <w:bidi w:val="0"/>
              <w:ind w:firstLine="0" w:firstLineChars="0"/>
              <w:jc w:val="center"/>
              <w:rPr>
                <w:rFonts w:hint="eastAsia"/>
              </w:rPr>
            </w:pPr>
            <w:r>
              <w:rPr>
                <w:rFonts w:hint="eastAsia"/>
                <w:lang w:val="en-US" w:eastAsia="zh-CN"/>
              </w:rPr>
              <w:t>2类</w:t>
            </w:r>
          </w:p>
        </w:tc>
        <w:tc>
          <w:tcPr>
            <w:tcW w:w="302" w:type="pct"/>
            <w:vAlign w:val="center"/>
          </w:tcPr>
          <w:p w14:paraId="29758FE7">
            <w:pPr>
              <w:pStyle w:val="31"/>
              <w:bidi w:val="0"/>
              <w:jc w:val="center"/>
              <w:rPr>
                <w:rFonts w:hint="eastAsia"/>
              </w:rPr>
            </w:pPr>
            <w:r>
              <w:rPr>
                <w:rFonts w:hint="default"/>
                <w:lang w:val="en-US" w:eastAsia="zh-CN"/>
              </w:rPr>
              <w:t>NE</w:t>
            </w:r>
          </w:p>
        </w:tc>
        <w:tc>
          <w:tcPr>
            <w:tcW w:w="574" w:type="pct"/>
            <w:vAlign w:val="center"/>
          </w:tcPr>
          <w:p w14:paraId="7EDFB249">
            <w:pPr>
              <w:pStyle w:val="31"/>
              <w:bidi w:val="0"/>
              <w:jc w:val="center"/>
              <w:rPr>
                <w:rFonts w:hint="eastAsia"/>
              </w:rPr>
            </w:pPr>
            <w:r>
              <w:rPr>
                <w:rFonts w:hint="default"/>
                <w:lang w:val="en-US" w:eastAsia="zh-CN"/>
              </w:rPr>
              <w:t>2380</w:t>
            </w:r>
          </w:p>
        </w:tc>
      </w:tr>
      <w:tr w14:paraId="15398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1CED48D">
            <w:pPr>
              <w:pStyle w:val="31"/>
              <w:bidi w:val="0"/>
              <w:jc w:val="center"/>
              <w:rPr>
                <w:rFonts w:hint="default"/>
                <w:lang w:val="en-US" w:eastAsia="zh-CN"/>
              </w:rPr>
            </w:pPr>
            <w:r>
              <w:rPr>
                <w:rFonts w:hint="default"/>
                <w:lang w:val="en-US" w:eastAsia="zh-CN"/>
              </w:rPr>
              <w:t>衡东县三樟镇</w:t>
            </w:r>
          </w:p>
          <w:p w14:paraId="30767A89">
            <w:pPr>
              <w:pStyle w:val="31"/>
              <w:bidi w:val="0"/>
              <w:jc w:val="center"/>
              <w:rPr>
                <w:rFonts w:hint="eastAsia"/>
              </w:rPr>
            </w:pPr>
            <w:r>
              <w:rPr>
                <w:rFonts w:hint="default"/>
                <w:lang w:val="en-US" w:eastAsia="zh-CN"/>
              </w:rPr>
              <w:t>前进村柳树塘</w:t>
            </w:r>
          </w:p>
        </w:tc>
        <w:tc>
          <w:tcPr>
            <w:tcW w:w="347" w:type="pct"/>
            <w:vAlign w:val="center"/>
          </w:tcPr>
          <w:p w14:paraId="4D791BE6">
            <w:pPr>
              <w:pStyle w:val="31"/>
              <w:bidi w:val="0"/>
              <w:jc w:val="center"/>
              <w:rPr>
                <w:rFonts w:hint="eastAsia"/>
              </w:rPr>
            </w:pPr>
            <w:r>
              <w:rPr>
                <w:rFonts w:hint="default"/>
                <w:lang w:val="en-US" w:eastAsia="zh-CN"/>
              </w:rPr>
              <w:t>1875</w:t>
            </w:r>
          </w:p>
        </w:tc>
        <w:tc>
          <w:tcPr>
            <w:tcW w:w="347" w:type="pct"/>
            <w:vAlign w:val="center"/>
          </w:tcPr>
          <w:p w14:paraId="23909230">
            <w:pPr>
              <w:pStyle w:val="31"/>
              <w:bidi w:val="0"/>
              <w:jc w:val="center"/>
              <w:rPr>
                <w:rFonts w:hint="eastAsia"/>
              </w:rPr>
            </w:pPr>
            <w:r>
              <w:rPr>
                <w:rFonts w:hint="default"/>
                <w:lang w:val="en-US" w:eastAsia="zh-CN"/>
              </w:rPr>
              <w:t>-202</w:t>
            </w:r>
          </w:p>
        </w:tc>
        <w:tc>
          <w:tcPr>
            <w:tcW w:w="302" w:type="pct"/>
            <w:vAlign w:val="center"/>
          </w:tcPr>
          <w:p w14:paraId="6014806B">
            <w:pPr>
              <w:pStyle w:val="31"/>
              <w:bidi w:val="0"/>
              <w:ind w:firstLine="0" w:firstLineChars="0"/>
              <w:jc w:val="center"/>
              <w:rPr>
                <w:rFonts w:hint="eastAsia"/>
              </w:rPr>
            </w:pPr>
            <w:r>
              <w:rPr>
                <w:rFonts w:hint="eastAsia"/>
                <w:lang w:val="en-US" w:eastAsia="zh-CN"/>
              </w:rPr>
              <w:t>居民</w:t>
            </w:r>
          </w:p>
        </w:tc>
        <w:tc>
          <w:tcPr>
            <w:tcW w:w="1018" w:type="pct"/>
            <w:vAlign w:val="center"/>
          </w:tcPr>
          <w:p w14:paraId="77BC8FFA">
            <w:pPr>
              <w:pStyle w:val="31"/>
              <w:bidi w:val="0"/>
              <w:jc w:val="center"/>
              <w:rPr>
                <w:rFonts w:hint="eastAsia"/>
              </w:rPr>
            </w:pPr>
            <w:r>
              <w:rPr>
                <w:rFonts w:hint="default"/>
                <w:lang w:val="en-US" w:eastAsia="zh-CN"/>
              </w:rPr>
              <w:t>约35户，123人</w:t>
            </w:r>
          </w:p>
        </w:tc>
        <w:tc>
          <w:tcPr>
            <w:tcW w:w="439" w:type="pct"/>
            <w:vAlign w:val="center"/>
          </w:tcPr>
          <w:p w14:paraId="5C116FD7">
            <w:pPr>
              <w:pStyle w:val="31"/>
              <w:bidi w:val="0"/>
              <w:ind w:firstLine="0" w:firstLineChars="0"/>
              <w:jc w:val="center"/>
              <w:rPr>
                <w:rFonts w:hint="eastAsia"/>
              </w:rPr>
            </w:pPr>
            <w:r>
              <w:rPr>
                <w:rFonts w:hint="eastAsia"/>
                <w:lang w:val="en-US" w:eastAsia="zh-CN"/>
              </w:rPr>
              <w:t>2类</w:t>
            </w:r>
          </w:p>
        </w:tc>
        <w:tc>
          <w:tcPr>
            <w:tcW w:w="302" w:type="pct"/>
            <w:vAlign w:val="center"/>
          </w:tcPr>
          <w:p w14:paraId="3872C7BE">
            <w:pPr>
              <w:pStyle w:val="31"/>
              <w:bidi w:val="0"/>
              <w:jc w:val="center"/>
              <w:rPr>
                <w:rFonts w:hint="eastAsia"/>
              </w:rPr>
            </w:pPr>
            <w:r>
              <w:rPr>
                <w:rFonts w:hint="default"/>
                <w:lang w:val="en-US" w:eastAsia="zh-CN"/>
              </w:rPr>
              <w:t>SE</w:t>
            </w:r>
          </w:p>
        </w:tc>
        <w:tc>
          <w:tcPr>
            <w:tcW w:w="574" w:type="pct"/>
            <w:vAlign w:val="center"/>
          </w:tcPr>
          <w:p w14:paraId="23290F84">
            <w:pPr>
              <w:pStyle w:val="31"/>
              <w:bidi w:val="0"/>
              <w:jc w:val="center"/>
              <w:rPr>
                <w:rFonts w:hint="eastAsia"/>
              </w:rPr>
            </w:pPr>
            <w:r>
              <w:rPr>
                <w:rFonts w:hint="default"/>
                <w:lang w:val="en-US" w:eastAsia="zh-CN"/>
              </w:rPr>
              <w:t>1790</w:t>
            </w:r>
          </w:p>
        </w:tc>
      </w:tr>
      <w:tr w14:paraId="7D5E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79335D4">
            <w:pPr>
              <w:pStyle w:val="31"/>
              <w:bidi w:val="0"/>
              <w:jc w:val="center"/>
              <w:rPr>
                <w:rFonts w:hint="default"/>
                <w:lang w:val="en-US" w:eastAsia="zh-CN"/>
              </w:rPr>
            </w:pPr>
            <w:r>
              <w:rPr>
                <w:rFonts w:hint="default"/>
                <w:lang w:val="en-US" w:eastAsia="zh-CN"/>
              </w:rPr>
              <w:t>衡东县三樟镇</w:t>
            </w:r>
          </w:p>
          <w:p w14:paraId="0EAE786F">
            <w:pPr>
              <w:pStyle w:val="31"/>
              <w:bidi w:val="0"/>
              <w:jc w:val="center"/>
              <w:rPr>
                <w:rFonts w:hint="eastAsia"/>
              </w:rPr>
            </w:pPr>
            <w:r>
              <w:rPr>
                <w:rFonts w:hint="default"/>
                <w:lang w:val="en-US" w:eastAsia="zh-CN"/>
              </w:rPr>
              <w:t>前进村秦家湾</w:t>
            </w:r>
          </w:p>
        </w:tc>
        <w:tc>
          <w:tcPr>
            <w:tcW w:w="347" w:type="pct"/>
            <w:vAlign w:val="center"/>
          </w:tcPr>
          <w:p w14:paraId="15AEA2F0">
            <w:pPr>
              <w:pStyle w:val="31"/>
              <w:bidi w:val="0"/>
              <w:jc w:val="center"/>
              <w:rPr>
                <w:rFonts w:hint="eastAsia"/>
              </w:rPr>
            </w:pPr>
            <w:r>
              <w:rPr>
                <w:rFonts w:hint="default"/>
                <w:lang w:val="en-US" w:eastAsia="zh-CN"/>
              </w:rPr>
              <w:t>675</w:t>
            </w:r>
          </w:p>
        </w:tc>
        <w:tc>
          <w:tcPr>
            <w:tcW w:w="347" w:type="pct"/>
            <w:vAlign w:val="center"/>
          </w:tcPr>
          <w:p w14:paraId="292E5F7F">
            <w:pPr>
              <w:pStyle w:val="31"/>
              <w:bidi w:val="0"/>
              <w:jc w:val="center"/>
              <w:rPr>
                <w:rFonts w:hint="eastAsia"/>
              </w:rPr>
            </w:pPr>
            <w:r>
              <w:rPr>
                <w:rFonts w:hint="default"/>
                <w:lang w:val="en-US" w:eastAsia="zh-CN"/>
              </w:rPr>
              <w:t>-651</w:t>
            </w:r>
          </w:p>
        </w:tc>
        <w:tc>
          <w:tcPr>
            <w:tcW w:w="302" w:type="pct"/>
            <w:vAlign w:val="center"/>
          </w:tcPr>
          <w:p w14:paraId="0F993718">
            <w:pPr>
              <w:pStyle w:val="31"/>
              <w:bidi w:val="0"/>
              <w:ind w:firstLine="0" w:firstLineChars="0"/>
              <w:jc w:val="center"/>
              <w:rPr>
                <w:rFonts w:hint="eastAsia"/>
              </w:rPr>
            </w:pPr>
            <w:r>
              <w:rPr>
                <w:rFonts w:hint="eastAsia"/>
                <w:lang w:val="en-US" w:eastAsia="zh-CN"/>
              </w:rPr>
              <w:t>居民</w:t>
            </w:r>
          </w:p>
        </w:tc>
        <w:tc>
          <w:tcPr>
            <w:tcW w:w="1018" w:type="pct"/>
            <w:vAlign w:val="center"/>
          </w:tcPr>
          <w:p w14:paraId="2F191922">
            <w:pPr>
              <w:pStyle w:val="31"/>
              <w:bidi w:val="0"/>
              <w:jc w:val="center"/>
              <w:rPr>
                <w:rFonts w:hint="eastAsia"/>
              </w:rPr>
            </w:pPr>
            <w:r>
              <w:rPr>
                <w:rFonts w:hint="default"/>
                <w:lang w:val="en-US" w:eastAsia="zh-CN"/>
              </w:rPr>
              <w:t>约25户，88人</w:t>
            </w:r>
          </w:p>
        </w:tc>
        <w:tc>
          <w:tcPr>
            <w:tcW w:w="439" w:type="pct"/>
            <w:vAlign w:val="center"/>
          </w:tcPr>
          <w:p w14:paraId="25FA55A9">
            <w:pPr>
              <w:pStyle w:val="31"/>
              <w:bidi w:val="0"/>
              <w:ind w:firstLine="0" w:firstLineChars="0"/>
              <w:jc w:val="center"/>
              <w:rPr>
                <w:rFonts w:hint="eastAsia"/>
              </w:rPr>
            </w:pPr>
            <w:r>
              <w:rPr>
                <w:rFonts w:hint="eastAsia"/>
                <w:lang w:val="en-US" w:eastAsia="zh-CN"/>
              </w:rPr>
              <w:t>2类</w:t>
            </w:r>
          </w:p>
        </w:tc>
        <w:tc>
          <w:tcPr>
            <w:tcW w:w="302" w:type="pct"/>
            <w:vAlign w:val="center"/>
          </w:tcPr>
          <w:p w14:paraId="6F7AA8E6">
            <w:pPr>
              <w:pStyle w:val="31"/>
              <w:bidi w:val="0"/>
              <w:jc w:val="center"/>
              <w:rPr>
                <w:rFonts w:hint="eastAsia"/>
              </w:rPr>
            </w:pPr>
            <w:r>
              <w:rPr>
                <w:rFonts w:hint="default"/>
                <w:lang w:val="en-US" w:eastAsia="zh-CN"/>
              </w:rPr>
              <w:t>SE</w:t>
            </w:r>
          </w:p>
        </w:tc>
        <w:tc>
          <w:tcPr>
            <w:tcW w:w="574" w:type="pct"/>
            <w:vAlign w:val="center"/>
          </w:tcPr>
          <w:p w14:paraId="7F4A2822">
            <w:pPr>
              <w:pStyle w:val="31"/>
              <w:bidi w:val="0"/>
              <w:jc w:val="center"/>
              <w:rPr>
                <w:rFonts w:hint="eastAsia"/>
              </w:rPr>
            </w:pPr>
            <w:r>
              <w:rPr>
                <w:rFonts w:hint="default"/>
                <w:lang w:val="en-US" w:eastAsia="zh-CN"/>
              </w:rPr>
              <w:t>840</w:t>
            </w:r>
          </w:p>
        </w:tc>
      </w:tr>
      <w:tr w14:paraId="1A6CE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256BD69B">
            <w:pPr>
              <w:pStyle w:val="31"/>
              <w:bidi w:val="0"/>
              <w:jc w:val="center"/>
              <w:rPr>
                <w:rFonts w:hint="default"/>
                <w:lang w:val="en-US" w:eastAsia="zh-CN"/>
              </w:rPr>
            </w:pPr>
            <w:r>
              <w:rPr>
                <w:rFonts w:hint="default"/>
                <w:lang w:val="en-US" w:eastAsia="zh-CN"/>
              </w:rPr>
              <w:t>衡东县三樟镇</w:t>
            </w:r>
          </w:p>
          <w:p w14:paraId="0AB8AE80">
            <w:pPr>
              <w:pStyle w:val="31"/>
              <w:bidi w:val="0"/>
              <w:jc w:val="center"/>
              <w:rPr>
                <w:rFonts w:hint="eastAsia"/>
              </w:rPr>
            </w:pPr>
            <w:r>
              <w:rPr>
                <w:rFonts w:hint="default"/>
                <w:lang w:val="en-US" w:eastAsia="zh-CN"/>
              </w:rPr>
              <w:t>前进村村部周边</w:t>
            </w:r>
          </w:p>
        </w:tc>
        <w:tc>
          <w:tcPr>
            <w:tcW w:w="347" w:type="pct"/>
            <w:vAlign w:val="center"/>
          </w:tcPr>
          <w:p w14:paraId="42C20932">
            <w:pPr>
              <w:pStyle w:val="31"/>
              <w:bidi w:val="0"/>
              <w:jc w:val="center"/>
              <w:rPr>
                <w:rFonts w:hint="eastAsia"/>
              </w:rPr>
            </w:pPr>
            <w:r>
              <w:rPr>
                <w:rFonts w:hint="default"/>
                <w:lang w:val="en-US" w:eastAsia="zh-CN"/>
              </w:rPr>
              <w:t>1683</w:t>
            </w:r>
          </w:p>
        </w:tc>
        <w:tc>
          <w:tcPr>
            <w:tcW w:w="347" w:type="pct"/>
            <w:vAlign w:val="center"/>
          </w:tcPr>
          <w:p w14:paraId="734819E9">
            <w:pPr>
              <w:pStyle w:val="31"/>
              <w:bidi w:val="0"/>
              <w:jc w:val="center"/>
              <w:rPr>
                <w:rFonts w:hint="eastAsia"/>
              </w:rPr>
            </w:pPr>
            <w:r>
              <w:rPr>
                <w:rFonts w:hint="default"/>
                <w:lang w:val="en-US" w:eastAsia="zh-CN"/>
              </w:rPr>
              <w:t>-1078</w:t>
            </w:r>
          </w:p>
        </w:tc>
        <w:tc>
          <w:tcPr>
            <w:tcW w:w="302" w:type="pct"/>
            <w:vAlign w:val="center"/>
          </w:tcPr>
          <w:p w14:paraId="342B99D3">
            <w:pPr>
              <w:pStyle w:val="31"/>
              <w:bidi w:val="0"/>
              <w:ind w:firstLine="0" w:firstLineChars="0"/>
              <w:jc w:val="center"/>
              <w:rPr>
                <w:rFonts w:hint="eastAsia"/>
              </w:rPr>
            </w:pPr>
            <w:r>
              <w:rPr>
                <w:rFonts w:hint="eastAsia"/>
                <w:lang w:val="en-US" w:eastAsia="zh-CN"/>
              </w:rPr>
              <w:t>居民</w:t>
            </w:r>
          </w:p>
        </w:tc>
        <w:tc>
          <w:tcPr>
            <w:tcW w:w="1018" w:type="pct"/>
            <w:vAlign w:val="center"/>
          </w:tcPr>
          <w:p w14:paraId="4B68DFFA">
            <w:pPr>
              <w:pStyle w:val="31"/>
              <w:bidi w:val="0"/>
              <w:jc w:val="center"/>
              <w:rPr>
                <w:rFonts w:hint="eastAsia"/>
              </w:rPr>
            </w:pPr>
            <w:r>
              <w:rPr>
                <w:rFonts w:hint="default"/>
                <w:lang w:val="en-US" w:eastAsia="zh-CN"/>
              </w:rPr>
              <w:t>约5户，18人</w:t>
            </w:r>
          </w:p>
        </w:tc>
        <w:tc>
          <w:tcPr>
            <w:tcW w:w="439" w:type="pct"/>
            <w:vAlign w:val="center"/>
          </w:tcPr>
          <w:p w14:paraId="494EB02D">
            <w:pPr>
              <w:pStyle w:val="31"/>
              <w:bidi w:val="0"/>
              <w:ind w:firstLine="0" w:firstLineChars="0"/>
              <w:jc w:val="center"/>
              <w:rPr>
                <w:rFonts w:hint="eastAsia"/>
              </w:rPr>
            </w:pPr>
            <w:r>
              <w:rPr>
                <w:rFonts w:hint="eastAsia"/>
                <w:lang w:val="en-US" w:eastAsia="zh-CN"/>
              </w:rPr>
              <w:t>2类</w:t>
            </w:r>
          </w:p>
        </w:tc>
        <w:tc>
          <w:tcPr>
            <w:tcW w:w="302" w:type="pct"/>
            <w:vAlign w:val="center"/>
          </w:tcPr>
          <w:p w14:paraId="568B3ABE">
            <w:pPr>
              <w:pStyle w:val="31"/>
              <w:bidi w:val="0"/>
              <w:jc w:val="center"/>
              <w:rPr>
                <w:rFonts w:hint="eastAsia"/>
              </w:rPr>
            </w:pPr>
            <w:r>
              <w:rPr>
                <w:rFonts w:hint="default"/>
                <w:lang w:val="en-US" w:eastAsia="zh-CN"/>
              </w:rPr>
              <w:t>SE</w:t>
            </w:r>
          </w:p>
        </w:tc>
        <w:tc>
          <w:tcPr>
            <w:tcW w:w="574" w:type="pct"/>
            <w:vAlign w:val="center"/>
          </w:tcPr>
          <w:p w14:paraId="0418F2F9">
            <w:pPr>
              <w:pStyle w:val="31"/>
              <w:bidi w:val="0"/>
              <w:jc w:val="center"/>
              <w:rPr>
                <w:rFonts w:hint="eastAsia"/>
              </w:rPr>
            </w:pPr>
            <w:r>
              <w:rPr>
                <w:rFonts w:hint="default"/>
                <w:lang w:val="en-US" w:eastAsia="zh-CN"/>
              </w:rPr>
              <w:t>1900</w:t>
            </w:r>
          </w:p>
        </w:tc>
      </w:tr>
      <w:tr w14:paraId="7186D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A4462D0">
            <w:pPr>
              <w:pStyle w:val="31"/>
              <w:bidi w:val="0"/>
              <w:jc w:val="center"/>
              <w:rPr>
                <w:rFonts w:hint="default"/>
                <w:lang w:val="en-US" w:eastAsia="zh-CN"/>
              </w:rPr>
            </w:pPr>
            <w:r>
              <w:rPr>
                <w:rFonts w:hint="default"/>
                <w:lang w:val="en-US" w:eastAsia="zh-CN"/>
              </w:rPr>
              <w:t>衡东县三樟镇</w:t>
            </w:r>
          </w:p>
          <w:p w14:paraId="69D6ADD4">
            <w:pPr>
              <w:pStyle w:val="31"/>
              <w:bidi w:val="0"/>
              <w:jc w:val="center"/>
              <w:rPr>
                <w:rFonts w:hint="eastAsia"/>
              </w:rPr>
            </w:pPr>
            <w:r>
              <w:rPr>
                <w:rFonts w:hint="default"/>
                <w:lang w:val="en-US" w:eastAsia="zh-CN"/>
              </w:rPr>
              <w:t>前进村晚香堂</w:t>
            </w:r>
          </w:p>
        </w:tc>
        <w:tc>
          <w:tcPr>
            <w:tcW w:w="347" w:type="pct"/>
            <w:vAlign w:val="center"/>
          </w:tcPr>
          <w:p w14:paraId="72232644">
            <w:pPr>
              <w:pStyle w:val="31"/>
              <w:bidi w:val="0"/>
              <w:jc w:val="center"/>
              <w:rPr>
                <w:rFonts w:hint="eastAsia"/>
              </w:rPr>
            </w:pPr>
            <w:r>
              <w:rPr>
                <w:rFonts w:hint="default"/>
                <w:lang w:val="en-US" w:eastAsia="zh-CN"/>
              </w:rPr>
              <w:t>2158</w:t>
            </w:r>
          </w:p>
        </w:tc>
        <w:tc>
          <w:tcPr>
            <w:tcW w:w="347" w:type="pct"/>
            <w:vAlign w:val="center"/>
          </w:tcPr>
          <w:p w14:paraId="4B134DA9">
            <w:pPr>
              <w:pStyle w:val="31"/>
              <w:bidi w:val="0"/>
              <w:jc w:val="center"/>
              <w:rPr>
                <w:rFonts w:hint="eastAsia"/>
              </w:rPr>
            </w:pPr>
            <w:r>
              <w:rPr>
                <w:rFonts w:hint="default"/>
                <w:lang w:val="en-US" w:eastAsia="zh-CN"/>
              </w:rPr>
              <w:t>-1218</w:t>
            </w:r>
          </w:p>
        </w:tc>
        <w:tc>
          <w:tcPr>
            <w:tcW w:w="302" w:type="pct"/>
            <w:vAlign w:val="center"/>
          </w:tcPr>
          <w:p w14:paraId="771EA535">
            <w:pPr>
              <w:pStyle w:val="31"/>
              <w:bidi w:val="0"/>
              <w:ind w:firstLine="0" w:firstLineChars="0"/>
              <w:jc w:val="center"/>
              <w:rPr>
                <w:rFonts w:hint="eastAsia"/>
              </w:rPr>
            </w:pPr>
            <w:r>
              <w:rPr>
                <w:rFonts w:hint="eastAsia"/>
                <w:lang w:val="en-US" w:eastAsia="zh-CN"/>
              </w:rPr>
              <w:t>居民</w:t>
            </w:r>
          </w:p>
        </w:tc>
        <w:tc>
          <w:tcPr>
            <w:tcW w:w="1018" w:type="pct"/>
            <w:vAlign w:val="center"/>
          </w:tcPr>
          <w:p w14:paraId="1C7E5810">
            <w:pPr>
              <w:pStyle w:val="31"/>
              <w:bidi w:val="0"/>
              <w:jc w:val="center"/>
              <w:rPr>
                <w:rFonts w:hint="eastAsia"/>
              </w:rPr>
            </w:pPr>
            <w:r>
              <w:rPr>
                <w:rFonts w:hint="default"/>
                <w:lang w:val="en-US" w:eastAsia="zh-CN"/>
              </w:rPr>
              <w:t>约10户，35人</w:t>
            </w:r>
          </w:p>
        </w:tc>
        <w:tc>
          <w:tcPr>
            <w:tcW w:w="439" w:type="pct"/>
            <w:vAlign w:val="center"/>
          </w:tcPr>
          <w:p w14:paraId="5781C3C7">
            <w:pPr>
              <w:pStyle w:val="31"/>
              <w:bidi w:val="0"/>
              <w:ind w:firstLine="0" w:firstLineChars="0"/>
              <w:jc w:val="center"/>
              <w:rPr>
                <w:rFonts w:hint="eastAsia"/>
              </w:rPr>
            </w:pPr>
            <w:r>
              <w:rPr>
                <w:rFonts w:hint="eastAsia"/>
                <w:lang w:val="en-US" w:eastAsia="zh-CN"/>
              </w:rPr>
              <w:t>2类</w:t>
            </w:r>
          </w:p>
        </w:tc>
        <w:tc>
          <w:tcPr>
            <w:tcW w:w="302" w:type="pct"/>
            <w:vAlign w:val="center"/>
          </w:tcPr>
          <w:p w14:paraId="00EE6406">
            <w:pPr>
              <w:pStyle w:val="31"/>
              <w:bidi w:val="0"/>
              <w:jc w:val="center"/>
              <w:rPr>
                <w:rFonts w:hint="eastAsia"/>
              </w:rPr>
            </w:pPr>
            <w:r>
              <w:rPr>
                <w:rFonts w:hint="default"/>
                <w:lang w:val="en-US" w:eastAsia="zh-CN"/>
              </w:rPr>
              <w:t>SE</w:t>
            </w:r>
          </w:p>
        </w:tc>
        <w:tc>
          <w:tcPr>
            <w:tcW w:w="574" w:type="pct"/>
            <w:vAlign w:val="center"/>
          </w:tcPr>
          <w:p w14:paraId="6D96BA13">
            <w:pPr>
              <w:pStyle w:val="31"/>
              <w:bidi w:val="0"/>
              <w:jc w:val="center"/>
              <w:rPr>
                <w:rFonts w:hint="eastAsia"/>
              </w:rPr>
            </w:pPr>
            <w:r>
              <w:rPr>
                <w:rFonts w:hint="default"/>
                <w:lang w:val="en-US" w:eastAsia="zh-CN"/>
              </w:rPr>
              <w:t>2380</w:t>
            </w:r>
          </w:p>
        </w:tc>
      </w:tr>
      <w:tr w14:paraId="751D5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050BF509">
            <w:pPr>
              <w:pStyle w:val="31"/>
              <w:bidi w:val="0"/>
              <w:jc w:val="center"/>
              <w:rPr>
                <w:rFonts w:hint="default"/>
                <w:lang w:val="en-US" w:eastAsia="zh-CN"/>
              </w:rPr>
            </w:pPr>
            <w:r>
              <w:rPr>
                <w:rFonts w:hint="default"/>
                <w:lang w:val="en-US" w:eastAsia="zh-CN"/>
              </w:rPr>
              <w:t>衡东县三樟镇</w:t>
            </w:r>
          </w:p>
          <w:p w14:paraId="66AB47C0">
            <w:pPr>
              <w:pStyle w:val="31"/>
              <w:bidi w:val="0"/>
              <w:jc w:val="center"/>
              <w:rPr>
                <w:rFonts w:hint="eastAsia"/>
              </w:rPr>
            </w:pPr>
            <w:r>
              <w:rPr>
                <w:rFonts w:hint="default"/>
                <w:lang w:val="en-US" w:eastAsia="zh-CN"/>
              </w:rPr>
              <w:t>金合村永和冲</w:t>
            </w:r>
          </w:p>
        </w:tc>
        <w:tc>
          <w:tcPr>
            <w:tcW w:w="347" w:type="pct"/>
            <w:vAlign w:val="center"/>
          </w:tcPr>
          <w:p w14:paraId="47F10A23">
            <w:pPr>
              <w:pStyle w:val="31"/>
              <w:bidi w:val="0"/>
              <w:jc w:val="center"/>
              <w:rPr>
                <w:rFonts w:hint="eastAsia"/>
              </w:rPr>
            </w:pPr>
            <w:r>
              <w:rPr>
                <w:rFonts w:hint="default"/>
                <w:lang w:val="en-US" w:eastAsia="zh-CN"/>
              </w:rPr>
              <w:t>1286</w:t>
            </w:r>
          </w:p>
        </w:tc>
        <w:tc>
          <w:tcPr>
            <w:tcW w:w="347" w:type="pct"/>
            <w:vAlign w:val="center"/>
          </w:tcPr>
          <w:p w14:paraId="206980E0">
            <w:pPr>
              <w:pStyle w:val="31"/>
              <w:bidi w:val="0"/>
              <w:jc w:val="center"/>
              <w:rPr>
                <w:rFonts w:hint="eastAsia"/>
              </w:rPr>
            </w:pPr>
            <w:r>
              <w:rPr>
                <w:rFonts w:hint="default"/>
                <w:lang w:val="en-US" w:eastAsia="zh-CN"/>
              </w:rPr>
              <w:t>-1468</w:t>
            </w:r>
          </w:p>
        </w:tc>
        <w:tc>
          <w:tcPr>
            <w:tcW w:w="302" w:type="pct"/>
            <w:vAlign w:val="center"/>
          </w:tcPr>
          <w:p w14:paraId="5A545760">
            <w:pPr>
              <w:pStyle w:val="31"/>
              <w:bidi w:val="0"/>
              <w:ind w:firstLine="0" w:firstLineChars="0"/>
              <w:jc w:val="center"/>
              <w:rPr>
                <w:rFonts w:hint="eastAsia"/>
              </w:rPr>
            </w:pPr>
            <w:r>
              <w:rPr>
                <w:rFonts w:hint="eastAsia"/>
                <w:lang w:val="en-US" w:eastAsia="zh-CN"/>
              </w:rPr>
              <w:t>居民</w:t>
            </w:r>
          </w:p>
        </w:tc>
        <w:tc>
          <w:tcPr>
            <w:tcW w:w="1018" w:type="pct"/>
            <w:vAlign w:val="center"/>
          </w:tcPr>
          <w:p w14:paraId="52252666">
            <w:pPr>
              <w:pStyle w:val="31"/>
              <w:bidi w:val="0"/>
              <w:jc w:val="center"/>
              <w:rPr>
                <w:rFonts w:hint="eastAsia"/>
              </w:rPr>
            </w:pPr>
            <w:r>
              <w:rPr>
                <w:rFonts w:hint="default"/>
                <w:lang w:val="en-US" w:eastAsia="zh-CN"/>
              </w:rPr>
              <w:t>约35户，123人</w:t>
            </w:r>
          </w:p>
        </w:tc>
        <w:tc>
          <w:tcPr>
            <w:tcW w:w="439" w:type="pct"/>
            <w:vAlign w:val="center"/>
          </w:tcPr>
          <w:p w14:paraId="4936D822">
            <w:pPr>
              <w:pStyle w:val="31"/>
              <w:bidi w:val="0"/>
              <w:ind w:firstLine="0" w:firstLineChars="0"/>
              <w:jc w:val="center"/>
              <w:rPr>
                <w:rFonts w:hint="eastAsia"/>
              </w:rPr>
            </w:pPr>
            <w:r>
              <w:rPr>
                <w:rFonts w:hint="eastAsia"/>
                <w:lang w:val="en-US" w:eastAsia="zh-CN"/>
              </w:rPr>
              <w:t>2类</w:t>
            </w:r>
          </w:p>
        </w:tc>
        <w:tc>
          <w:tcPr>
            <w:tcW w:w="302" w:type="pct"/>
            <w:vAlign w:val="center"/>
          </w:tcPr>
          <w:p w14:paraId="2656E05D">
            <w:pPr>
              <w:pStyle w:val="31"/>
              <w:bidi w:val="0"/>
              <w:jc w:val="center"/>
              <w:rPr>
                <w:rFonts w:hint="eastAsia"/>
              </w:rPr>
            </w:pPr>
            <w:r>
              <w:rPr>
                <w:rFonts w:hint="default"/>
                <w:lang w:val="en-US" w:eastAsia="zh-CN"/>
              </w:rPr>
              <w:t>SE</w:t>
            </w:r>
          </w:p>
        </w:tc>
        <w:tc>
          <w:tcPr>
            <w:tcW w:w="574" w:type="pct"/>
            <w:vAlign w:val="center"/>
          </w:tcPr>
          <w:p w14:paraId="1DCFD0AF">
            <w:pPr>
              <w:pStyle w:val="31"/>
              <w:bidi w:val="0"/>
              <w:jc w:val="center"/>
              <w:rPr>
                <w:rFonts w:hint="eastAsia"/>
              </w:rPr>
            </w:pPr>
            <w:r>
              <w:rPr>
                <w:rFonts w:hint="default"/>
                <w:lang w:val="en-US" w:eastAsia="zh-CN"/>
              </w:rPr>
              <w:t>1850</w:t>
            </w:r>
          </w:p>
        </w:tc>
      </w:tr>
      <w:tr w14:paraId="174CE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71343CAA">
            <w:pPr>
              <w:pStyle w:val="31"/>
              <w:bidi w:val="0"/>
              <w:jc w:val="center"/>
              <w:rPr>
                <w:rFonts w:hint="default"/>
                <w:lang w:val="en-US" w:eastAsia="zh-CN"/>
              </w:rPr>
            </w:pPr>
            <w:r>
              <w:rPr>
                <w:rFonts w:hint="default"/>
                <w:lang w:val="en-US" w:eastAsia="zh-CN"/>
              </w:rPr>
              <w:t>衡东县三樟镇</w:t>
            </w:r>
          </w:p>
          <w:p w14:paraId="4DEE2450">
            <w:pPr>
              <w:pStyle w:val="31"/>
              <w:bidi w:val="0"/>
              <w:jc w:val="center"/>
              <w:rPr>
                <w:rFonts w:hint="eastAsia"/>
              </w:rPr>
            </w:pPr>
            <w:r>
              <w:rPr>
                <w:rFonts w:hint="default"/>
                <w:lang w:val="en-US" w:eastAsia="zh-CN"/>
              </w:rPr>
              <w:t>金合村黄獭塘</w:t>
            </w:r>
          </w:p>
        </w:tc>
        <w:tc>
          <w:tcPr>
            <w:tcW w:w="347" w:type="pct"/>
            <w:vAlign w:val="center"/>
          </w:tcPr>
          <w:p w14:paraId="54AAAB0D">
            <w:pPr>
              <w:pStyle w:val="31"/>
              <w:bidi w:val="0"/>
              <w:jc w:val="center"/>
              <w:rPr>
                <w:rFonts w:hint="eastAsia"/>
              </w:rPr>
            </w:pPr>
            <w:r>
              <w:rPr>
                <w:rFonts w:hint="default"/>
                <w:lang w:val="en-US" w:eastAsia="zh-CN"/>
              </w:rPr>
              <w:t>2086</w:t>
            </w:r>
          </w:p>
        </w:tc>
        <w:tc>
          <w:tcPr>
            <w:tcW w:w="347" w:type="pct"/>
            <w:vAlign w:val="center"/>
          </w:tcPr>
          <w:p w14:paraId="56367222">
            <w:pPr>
              <w:pStyle w:val="31"/>
              <w:bidi w:val="0"/>
              <w:jc w:val="center"/>
              <w:rPr>
                <w:rFonts w:hint="eastAsia"/>
              </w:rPr>
            </w:pPr>
            <w:r>
              <w:rPr>
                <w:rFonts w:hint="default"/>
                <w:lang w:val="en-US" w:eastAsia="zh-CN"/>
              </w:rPr>
              <w:t>-1926</w:t>
            </w:r>
          </w:p>
        </w:tc>
        <w:tc>
          <w:tcPr>
            <w:tcW w:w="302" w:type="pct"/>
            <w:vAlign w:val="center"/>
          </w:tcPr>
          <w:p w14:paraId="2FD6A359">
            <w:pPr>
              <w:pStyle w:val="31"/>
              <w:bidi w:val="0"/>
              <w:ind w:firstLine="0" w:firstLineChars="0"/>
              <w:jc w:val="center"/>
              <w:rPr>
                <w:rFonts w:hint="eastAsia"/>
              </w:rPr>
            </w:pPr>
            <w:r>
              <w:rPr>
                <w:rFonts w:hint="eastAsia"/>
                <w:lang w:val="en-US" w:eastAsia="zh-CN"/>
              </w:rPr>
              <w:t>居民</w:t>
            </w:r>
          </w:p>
        </w:tc>
        <w:tc>
          <w:tcPr>
            <w:tcW w:w="1018" w:type="pct"/>
            <w:vAlign w:val="center"/>
          </w:tcPr>
          <w:p w14:paraId="305275C4">
            <w:pPr>
              <w:pStyle w:val="31"/>
              <w:bidi w:val="0"/>
              <w:jc w:val="center"/>
              <w:rPr>
                <w:rFonts w:hint="eastAsia"/>
              </w:rPr>
            </w:pPr>
            <w:r>
              <w:rPr>
                <w:rFonts w:hint="default"/>
                <w:lang w:val="en-US" w:eastAsia="zh-CN"/>
              </w:rPr>
              <w:t>约25户，88人</w:t>
            </w:r>
          </w:p>
        </w:tc>
        <w:tc>
          <w:tcPr>
            <w:tcW w:w="439" w:type="pct"/>
            <w:vAlign w:val="center"/>
          </w:tcPr>
          <w:p w14:paraId="75B227E8">
            <w:pPr>
              <w:pStyle w:val="31"/>
              <w:bidi w:val="0"/>
              <w:ind w:firstLine="0" w:firstLineChars="0"/>
              <w:jc w:val="center"/>
              <w:rPr>
                <w:rFonts w:hint="eastAsia"/>
              </w:rPr>
            </w:pPr>
            <w:r>
              <w:rPr>
                <w:rFonts w:hint="eastAsia"/>
                <w:lang w:val="en-US" w:eastAsia="zh-CN"/>
              </w:rPr>
              <w:t>2类</w:t>
            </w:r>
          </w:p>
        </w:tc>
        <w:tc>
          <w:tcPr>
            <w:tcW w:w="302" w:type="pct"/>
            <w:vAlign w:val="center"/>
          </w:tcPr>
          <w:p w14:paraId="2A296634">
            <w:pPr>
              <w:pStyle w:val="31"/>
              <w:bidi w:val="0"/>
              <w:jc w:val="center"/>
              <w:rPr>
                <w:rFonts w:hint="eastAsia"/>
              </w:rPr>
            </w:pPr>
            <w:r>
              <w:rPr>
                <w:rFonts w:hint="default"/>
                <w:lang w:val="en-US" w:eastAsia="zh-CN"/>
              </w:rPr>
              <w:t>SE</w:t>
            </w:r>
          </w:p>
        </w:tc>
        <w:tc>
          <w:tcPr>
            <w:tcW w:w="574" w:type="pct"/>
            <w:vAlign w:val="center"/>
          </w:tcPr>
          <w:p w14:paraId="66F5A052">
            <w:pPr>
              <w:pStyle w:val="31"/>
              <w:bidi w:val="0"/>
              <w:jc w:val="center"/>
              <w:rPr>
                <w:rFonts w:hint="eastAsia"/>
              </w:rPr>
            </w:pPr>
            <w:r>
              <w:rPr>
                <w:rFonts w:hint="default"/>
                <w:lang w:val="en-US" w:eastAsia="zh-CN"/>
              </w:rPr>
              <w:t>2740</w:t>
            </w:r>
          </w:p>
        </w:tc>
      </w:tr>
      <w:tr w14:paraId="5492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EA4657D">
            <w:pPr>
              <w:pStyle w:val="31"/>
              <w:bidi w:val="0"/>
              <w:jc w:val="center"/>
              <w:rPr>
                <w:rFonts w:hint="default"/>
                <w:lang w:val="en-US" w:eastAsia="zh-CN"/>
              </w:rPr>
            </w:pPr>
            <w:r>
              <w:rPr>
                <w:rFonts w:hint="default"/>
                <w:lang w:val="en-US" w:eastAsia="zh-CN"/>
              </w:rPr>
              <w:t>衡东县三樟镇</w:t>
            </w:r>
          </w:p>
          <w:p w14:paraId="13252378">
            <w:pPr>
              <w:pStyle w:val="31"/>
              <w:bidi w:val="0"/>
              <w:jc w:val="center"/>
              <w:rPr>
                <w:rFonts w:hint="eastAsia"/>
              </w:rPr>
            </w:pPr>
            <w:r>
              <w:rPr>
                <w:rFonts w:hint="default"/>
                <w:lang w:val="en-US" w:eastAsia="zh-CN"/>
              </w:rPr>
              <w:t>金合村合山村</w:t>
            </w:r>
          </w:p>
        </w:tc>
        <w:tc>
          <w:tcPr>
            <w:tcW w:w="347" w:type="pct"/>
            <w:vAlign w:val="center"/>
          </w:tcPr>
          <w:p w14:paraId="191D8F1D">
            <w:pPr>
              <w:pStyle w:val="31"/>
              <w:bidi w:val="0"/>
              <w:jc w:val="center"/>
              <w:rPr>
                <w:rFonts w:hint="eastAsia"/>
              </w:rPr>
            </w:pPr>
            <w:r>
              <w:rPr>
                <w:rFonts w:hint="default"/>
                <w:lang w:val="en-US" w:eastAsia="zh-CN"/>
              </w:rPr>
              <w:t>1505</w:t>
            </w:r>
          </w:p>
        </w:tc>
        <w:tc>
          <w:tcPr>
            <w:tcW w:w="347" w:type="pct"/>
            <w:vAlign w:val="center"/>
          </w:tcPr>
          <w:p w14:paraId="65BE0D18">
            <w:pPr>
              <w:pStyle w:val="31"/>
              <w:bidi w:val="0"/>
              <w:jc w:val="center"/>
              <w:rPr>
                <w:rFonts w:hint="eastAsia"/>
              </w:rPr>
            </w:pPr>
            <w:r>
              <w:rPr>
                <w:rFonts w:hint="default"/>
                <w:lang w:val="en-US" w:eastAsia="zh-CN"/>
              </w:rPr>
              <w:t>-2337</w:t>
            </w:r>
          </w:p>
        </w:tc>
        <w:tc>
          <w:tcPr>
            <w:tcW w:w="302" w:type="pct"/>
            <w:vAlign w:val="center"/>
          </w:tcPr>
          <w:p w14:paraId="6B04B0CF">
            <w:pPr>
              <w:pStyle w:val="31"/>
              <w:bidi w:val="0"/>
              <w:ind w:firstLine="0" w:firstLineChars="0"/>
              <w:jc w:val="center"/>
              <w:rPr>
                <w:rFonts w:hint="eastAsia"/>
              </w:rPr>
            </w:pPr>
            <w:r>
              <w:rPr>
                <w:rFonts w:hint="eastAsia"/>
                <w:lang w:val="en-US" w:eastAsia="zh-CN"/>
              </w:rPr>
              <w:t>居民</w:t>
            </w:r>
          </w:p>
        </w:tc>
        <w:tc>
          <w:tcPr>
            <w:tcW w:w="1018" w:type="pct"/>
            <w:vAlign w:val="center"/>
          </w:tcPr>
          <w:p w14:paraId="59A75B6F">
            <w:pPr>
              <w:pStyle w:val="31"/>
              <w:bidi w:val="0"/>
              <w:jc w:val="center"/>
              <w:rPr>
                <w:rFonts w:hint="eastAsia"/>
              </w:rPr>
            </w:pPr>
            <w:r>
              <w:rPr>
                <w:rFonts w:hint="default"/>
                <w:lang w:val="en-US" w:eastAsia="zh-CN"/>
              </w:rPr>
              <w:t>约35户，123人</w:t>
            </w:r>
          </w:p>
        </w:tc>
        <w:tc>
          <w:tcPr>
            <w:tcW w:w="439" w:type="pct"/>
            <w:vAlign w:val="center"/>
          </w:tcPr>
          <w:p w14:paraId="7368EE0E">
            <w:pPr>
              <w:pStyle w:val="31"/>
              <w:bidi w:val="0"/>
              <w:ind w:firstLine="0" w:firstLineChars="0"/>
              <w:jc w:val="center"/>
              <w:rPr>
                <w:rFonts w:hint="eastAsia"/>
              </w:rPr>
            </w:pPr>
            <w:r>
              <w:rPr>
                <w:rFonts w:hint="eastAsia"/>
                <w:lang w:val="en-US" w:eastAsia="zh-CN"/>
              </w:rPr>
              <w:t>2类</w:t>
            </w:r>
          </w:p>
        </w:tc>
        <w:tc>
          <w:tcPr>
            <w:tcW w:w="302" w:type="pct"/>
            <w:vAlign w:val="center"/>
          </w:tcPr>
          <w:p w14:paraId="7B65974B">
            <w:pPr>
              <w:pStyle w:val="31"/>
              <w:bidi w:val="0"/>
              <w:jc w:val="center"/>
              <w:rPr>
                <w:rFonts w:hint="eastAsia"/>
              </w:rPr>
            </w:pPr>
            <w:r>
              <w:rPr>
                <w:rFonts w:hint="default"/>
                <w:lang w:val="en-US" w:eastAsia="zh-CN"/>
              </w:rPr>
              <w:t>SE</w:t>
            </w:r>
          </w:p>
        </w:tc>
        <w:tc>
          <w:tcPr>
            <w:tcW w:w="574" w:type="pct"/>
            <w:vAlign w:val="center"/>
          </w:tcPr>
          <w:p w14:paraId="53A23D8B">
            <w:pPr>
              <w:pStyle w:val="31"/>
              <w:bidi w:val="0"/>
              <w:jc w:val="center"/>
              <w:rPr>
                <w:rFonts w:hint="eastAsia"/>
              </w:rPr>
            </w:pPr>
            <w:r>
              <w:rPr>
                <w:rFonts w:hint="default"/>
                <w:lang w:val="en-US" w:eastAsia="zh-CN"/>
              </w:rPr>
              <w:t>2680</w:t>
            </w:r>
          </w:p>
        </w:tc>
      </w:tr>
      <w:tr w14:paraId="0F6ED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5EEFE65A">
            <w:pPr>
              <w:pStyle w:val="31"/>
              <w:bidi w:val="0"/>
              <w:jc w:val="center"/>
              <w:rPr>
                <w:rFonts w:hint="default"/>
                <w:lang w:val="en-US" w:eastAsia="zh-CN"/>
              </w:rPr>
            </w:pPr>
            <w:r>
              <w:rPr>
                <w:rFonts w:hint="default"/>
                <w:lang w:val="en-US" w:eastAsia="zh-CN"/>
              </w:rPr>
              <w:t>三樟镇中</w:t>
            </w:r>
          </w:p>
          <w:p w14:paraId="3C85F674">
            <w:pPr>
              <w:pStyle w:val="31"/>
              <w:bidi w:val="0"/>
              <w:jc w:val="center"/>
              <w:rPr>
                <w:rFonts w:hint="eastAsia"/>
              </w:rPr>
            </w:pPr>
            <w:r>
              <w:rPr>
                <w:rFonts w:hint="default"/>
                <w:lang w:val="en-US" w:eastAsia="zh-CN"/>
              </w:rPr>
              <w:t>心幼儿园</w:t>
            </w:r>
          </w:p>
        </w:tc>
        <w:tc>
          <w:tcPr>
            <w:tcW w:w="347" w:type="pct"/>
            <w:vAlign w:val="center"/>
          </w:tcPr>
          <w:p w14:paraId="5EFCC727">
            <w:pPr>
              <w:pStyle w:val="31"/>
              <w:bidi w:val="0"/>
              <w:jc w:val="center"/>
              <w:rPr>
                <w:rFonts w:hint="eastAsia"/>
              </w:rPr>
            </w:pPr>
            <w:r>
              <w:rPr>
                <w:rFonts w:hint="default"/>
                <w:lang w:val="en-US" w:eastAsia="zh-CN"/>
              </w:rPr>
              <w:t>786</w:t>
            </w:r>
          </w:p>
        </w:tc>
        <w:tc>
          <w:tcPr>
            <w:tcW w:w="347" w:type="pct"/>
            <w:vAlign w:val="center"/>
          </w:tcPr>
          <w:p w14:paraId="51E0DEA6">
            <w:pPr>
              <w:pStyle w:val="31"/>
              <w:bidi w:val="0"/>
              <w:jc w:val="center"/>
              <w:rPr>
                <w:rFonts w:hint="eastAsia"/>
              </w:rPr>
            </w:pPr>
            <w:r>
              <w:rPr>
                <w:rFonts w:hint="default"/>
                <w:lang w:val="en-US" w:eastAsia="zh-CN"/>
              </w:rPr>
              <w:t>-2304</w:t>
            </w:r>
          </w:p>
        </w:tc>
        <w:tc>
          <w:tcPr>
            <w:tcW w:w="302" w:type="pct"/>
            <w:vAlign w:val="center"/>
          </w:tcPr>
          <w:p w14:paraId="3FCFB576">
            <w:pPr>
              <w:pStyle w:val="31"/>
              <w:bidi w:val="0"/>
              <w:ind w:firstLine="0" w:firstLineChars="0"/>
              <w:jc w:val="center"/>
              <w:rPr>
                <w:rFonts w:hint="default"/>
                <w:lang w:val="en-US"/>
              </w:rPr>
            </w:pPr>
            <w:r>
              <w:rPr>
                <w:rFonts w:hint="eastAsia"/>
                <w:lang w:val="en-US" w:eastAsia="zh-CN"/>
              </w:rPr>
              <w:t>学校</w:t>
            </w:r>
          </w:p>
        </w:tc>
        <w:tc>
          <w:tcPr>
            <w:tcW w:w="1018" w:type="pct"/>
            <w:vAlign w:val="center"/>
          </w:tcPr>
          <w:p w14:paraId="28C0BB84">
            <w:pPr>
              <w:pStyle w:val="31"/>
              <w:bidi w:val="0"/>
              <w:jc w:val="center"/>
              <w:rPr>
                <w:rFonts w:hint="default"/>
                <w:lang w:val="en-US"/>
              </w:rPr>
            </w:pPr>
            <w:r>
              <w:rPr>
                <w:rFonts w:hint="eastAsia"/>
                <w:lang w:val="en-US" w:eastAsia="zh-CN"/>
              </w:rPr>
              <w:t>约80人</w:t>
            </w:r>
          </w:p>
        </w:tc>
        <w:tc>
          <w:tcPr>
            <w:tcW w:w="439" w:type="pct"/>
            <w:vAlign w:val="center"/>
          </w:tcPr>
          <w:p w14:paraId="7A49418A">
            <w:pPr>
              <w:pStyle w:val="31"/>
              <w:bidi w:val="0"/>
              <w:ind w:firstLine="0" w:firstLineChars="0"/>
              <w:jc w:val="center"/>
              <w:rPr>
                <w:rFonts w:hint="eastAsia"/>
              </w:rPr>
            </w:pPr>
            <w:r>
              <w:rPr>
                <w:rFonts w:hint="eastAsia"/>
                <w:lang w:val="en-US" w:eastAsia="zh-CN"/>
              </w:rPr>
              <w:t>2类</w:t>
            </w:r>
          </w:p>
        </w:tc>
        <w:tc>
          <w:tcPr>
            <w:tcW w:w="302" w:type="pct"/>
            <w:vAlign w:val="center"/>
          </w:tcPr>
          <w:p w14:paraId="2F05F1F3">
            <w:pPr>
              <w:pStyle w:val="31"/>
              <w:bidi w:val="0"/>
              <w:jc w:val="center"/>
              <w:rPr>
                <w:rFonts w:hint="eastAsia"/>
              </w:rPr>
            </w:pPr>
            <w:r>
              <w:rPr>
                <w:rFonts w:hint="default"/>
                <w:lang w:val="en-US" w:eastAsia="zh-CN"/>
              </w:rPr>
              <w:t>SE</w:t>
            </w:r>
          </w:p>
        </w:tc>
        <w:tc>
          <w:tcPr>
            <w:tcW w:w="574" w:type="pct"/>
            <w:vAlign w:val="center"/>
          </w:tcPr>
          <w:p w14:paraId="66015C12">
            <w:pPr>
              <w:pStyle w:val="31"/>
              <w:bidi w:val="0"/>
              <w:jc w:val="center"/>
              <w:rPr>
                <w:rFonts w:hint="eastAsia"/>
              </w:rPr>
            </w:pPr>
            <w:r>
              <w:rPr>
                <w:rFonts w:hint="default"/>
                <w:lang w:val="en-US" w:eastAsia="zh-CN"/>
              </w:rPr>
              <w:t>2330</w:t>
            </w:r>
          </w:p>
        </w:tc>
      </w:tr>
      <w:tr w14:paraId="68AE4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DE9023F">
            <w:pPr>
              <w:pStyle w:val="31"/>
              <w:bidi w:val="0"/>
              <w:jc w:val="center"/>
              <w:rPr>
                <w:rFonts w:hint="eastAsia"/>
              </w:rPr>
            </w:pPr>
            <w:r>
              <w:rPr>
                <w:rFonts w:hint="default"/>
                <w:lang w:val="en-US" w:eastAsia="zh-CN"/>
              </w:rPr>
              <w:t>衡东县三樟镇金合村石桥坝</w:t>
            </w:r>
          </w:p>
        </w:tc>
        <w:tc>
          <w:tcPr>
            <w:tcW w:w="347" w:type="pct"/>
            <w:vAlign w:val="center"/>
          </w:tcPr>
          <w:p w14:paraId="60DA1A65">
            <w:pPr>
              <w:pStyle w:val="31"/>
              <w:bidi w:val="0"/>
              <w:jc w:val="center"/>
              <w:rPr>
                <w:rFonts w:hint="eastAsia"/>
              </w:rPr>
            </w:pPr>
            <w:r>
              <w:rPr>
                <w:rFonts w:hint="default"/>
                <w:lang w:val="en-US" w:eastAsia="zh-CN"/>
              </w:rPr>
              <w:t>826</w:t>
            </w:r>
          </w:p>
        </w:tc>
        <w:tc>
          <w:tcPr>
            <w:tcW w:w="347" w:type="pct"/>
            <w:vAlign w:val="center"/>
          </w:tcPr>
          <w:p w14:paraId="726CBBE6">
            <w:pPr>
              <w:pStyle w:val="31"/>
              <w:bidi w:val="0"/>
              <w:jc w:val="center"/>
              <w:rPr>
                <w:rFonts w:hint="eastAsia"/>
              </w:rPr>
            </w:pPr>
            <w:r>
              <w:rPr>
                <w:rFonts w:hint="default"/>
                <w:lang w:val="en-US" w:eastAsia="zh-CN"/>
              </w:rPr>
              <w:t>-1986</w:t>
            </w:r>
          </w:p>
        </w:tc>
        <w:tc>
          <w:tcPr>
            <w:tcW w:w="302" w:type="pct"/>
            <w:vAlign w:val="center"/>
          </w:tcPr>
          <w:p w14:paraId="55F0C8B0">
            <w:pPr>
              <w:pStyle w:val="31"/>
              <w:bidi w:val="0"/>
              <w:ind w:firstLine="0" w:firstLineChars="0"/>
              <w:jc w:val="center"/>
              <w:rPr>
                <w:rFonts w:hint="eastAsia"/>
              </w:rPr>
            </w:pPr>
            <w:r>
              <w:rPr>
                <w:rFonts w:hint="eastAsia"/>
                <w:lang w:val="en-US" w:eastAsia="zh-CN"/>
              </w:rPr>
              <w:t>居民</w:t>
            </w:r>
          </w:p>
        </w:tc>
        <w:tc>
          <w:tcPr>
            <w:tcW w:w="1018" w:type="pct"/>
            <w:vAlign w:val="center"/>
          </w:tcPr>
          <w:p w14:paraId="5BE9D138">
            <w:pPr>
              <w:pStyle w:val="31"/>
              <w:bidi w:val="0"/>
              <w:jc w:val="center"/>
              <w:rPr>
                <w:rFonts w:hint="eastAsia"/>
              </w:rPr>
            </w:pPr>
            <w:r>
              <w:rPr>
                <w:rFonts w:hint="default"/>
                <w:lang w:val="en-US" w:eastAsia="zh-CN"/>
              </w:rPr>
              <w:t>约20户，70人</w:t>
            </w:r>
          </w:p>
        </w:tc>
        <w:tc>
          <w:tcPr>
            <w:tcW w:w="439" w:type="pct"/>
            <w:vAlign w:val="center"/>
          </w:tcPr>
          <w:p w14:paraId="525BCB96">
            <w:pPr>
              <w:pStyle w:val="31"/>
              <w:bidi w:val="0"/>
              <w:ind w:firstLine="0" w:firstLineChars="0"/>
              <w:jc w:val="center"/>
              <w:rPr>
                <w:rFonts w:hint="eastAsia"/>
              </w:rPr>
            </w:pPr>
            <w:r>
              <w:rPr>
                <w:rFonts w:hint="eastAsia"/>
                <w:lang w:val="en-US" w:eastAsia="zh-CN"/>
              </w:rPr>
              <w:t>2类</w:t>
            </w:r>
          </w:p>
        </w:tc>
        <w:tc>
          <w:tcPr>
            <w:tcW w:w="302" w:type="pct"/>
            <w:vAlign w:val="center"/>
          </w:tcPr>
          <w:p w14:paraId="0A839E2D">
            <w:pPr>
              <w:pStyle w:val="31"/>
              <w:bidi w:val="0"/>
              <w:jc w:val="center"/>
              <w:rPr>
                <w:rFonts w:hint="eastAsia"/>
              </w:rPr>
            </w:pPr>
            <w:r>
              <w:rPr>
                <w:rFonts w:hint="default"/>
                <w:lang w:val="en-US" w:eastAsia="zh-CN"/>
              </w:rPr>
              <w:t>SE</w:t>
            </w:r>
          </w:p>
        </w:tc>
        <w:tc>
          <w:tcPr>
            <w:tcW w:w="574" w:type="pct"/>
            <w:vAlign w:val="center"/>
          </w:tcPr>
          <w:p w14:paraId="4E91DE48">
            <w:pPr>
              <w:pStyle w:val="31"/>
              <w:bidi w:val="0"/>
              <w:jc w:val="center"/>
              <w:rPr>
                <w:rFonts w:hint="eastAsia"/>
              </w:rPr>
            </w:pPr>
            <w:r>
              <w:rPr>
                <w:rFonts w:hint="default"/>
                <w:lang w:val="en-US" w:eastAsia="zh-CN"/>
              </w:rPr>
              <w:t>2050</w:t>
            </w:r>
          </w:p>
        </w:tc>
      </w:tr>
      <w:tr w14:paraId="482E2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0F77D50E">
            <w:pPr>
              <w:pStyle w:val="31"/>
              <w:bidi w:val="0"/>
              <w:jc w:val="center"/>
              <w:rPr>
                <w:rFonts w:hint="default"/>
                <w:lang w:val="en-US" w:eastAsia="zh-CN"/>
              </w:rPr>
            </w:pPr>
            <w:r>
              <w:rPr>
                <w:rFonts w:hint="default"/>
                <w:lang w:val="en-US" w:eastAsia="zh-CN"/>
              </w:rPr>
              <w:t>衡东县三樟</w:t>
            </w:r>
          </w:p>
          <w:p w14:paraId="432A5AAF">
            <w:pPr>
              <w:pStyle w:val="31"/>
              <w:bidi w:val="0"/>
              <w:jc w:val="center"/>
              <w:rPr>
                <w:rFonts w:hint="eastAsia"/>
              </w:rPr>
            </w:pPr>
            <w:r>
              <w:rPr>
                <w:rFonts w:hint="default"/>
                <w:lang w:val="en-US" w:eastAsia="zh-CN"/>
              </w:rPr>
              <w:t>集镇区</w:t>
            </w:r>
          </w:p>
        </w:tc>
        <w:tc>
          <w:tcPr>
            <w:tcW w:w="347" w:type="pct"/>
            <w:vAlign w:val="center"/>
          </w:tcPr>
          <w:p w14:paraId="61532D24">
            <w:pPr>
              <w:pStyle w:val="31"/>
              <w:bidi w:val="0"/>
              <w:jc w:val="center"/>
              <w:rPr>
                <w:rFonts w:hint="eastAsia"/>
              </w:rPr>
            </w:pPr>
            <w:r>
              <w:rPr>
                <w:rFonts w:hint="default"/>
                <w:lang w:val="en-US" w:eastAsia="zh-CN"/>
              </w:rPr>
              <w:t>143</w:t>
            </w:r>
          </w:p>
        </w:tc>
        <w:tc>
          <w:tcPr>
            <w:tcW w:w="347" w:type="pct"/>
            <w:vAlign w:val="center"/>
          </w:tcPr>
          <w:p w14:paraId="755EE888">
            <w:pPr>
              <w:pStyle w:val="31"/>
              <w:bidi w:val="0"/>
              <w:jc w:val="center"/>
              <w:rPr>
                <w:rFonts w:hint="eastAsia"/>
              </w:rPr>
            </w:pPr>
            <w:r>
              <w:rPr>
                <w:rFonts w:hint="default"/>
                <w:lang w:val="en-US" w:eastAsia="zh-CN"/>
              </w:rPr>
              <w:t>-2459</w:t>
            </w:r>
          </w:p>
        </w:tc>
        <w:tc>
          <w:tcPr>
            <w:tcW w:w="302" w:type="pct"/>
            <w:vAlign w:val="center"/>
          </w:tcPr>
          <w:p w14:paraId="31C9C824">
            <w:pPr>
              <w:pStyle w:val="31"/>
              <w:bidi w:val="0"/>
              <w:ind w:firstLine="0" w:firstLineChars="0"/>
              <w:jc w:val="center"/>
              <w:rPr>
                <w:rFonts w:hint="eastAsia"/>
              </w:rPr>
            </w:pPr>
            <w:r>
              <w:rPr>
                <w:rFonts w:hint="eastAsia"/>
                <w:lang w:val="en-US" w:eastAsia="zh-CN"/>
              </w:rPr>
              <w:t>居民</w:t>
            </w:r>
          </w:p>
        </w:tc>
        <w:tc>
          <w:tcPr>
            <w:tcW w:w="1018" w:type="pct"/>
            <w:vAlign w:val="center"/>
          </w:tcPr>
          <w:p w14:paraId="23292860">
            <w:pPr>
              <w:pStyle w:val="31"/>
              <w:bidi w:val="0"/>
              <w:jc w:val="center"/>
              <w:rPr>
                <w:rFonts w:hint="eastAsia"/>
              </w:rPr>
            </w:pPr>
            <w:r>
              <w:rPr>
                <w:rFonts w:hint="default"/>
                <w:lang w:val="en-US" w:eastAsia="zh-CN"/>
              </w:rPr>
              <w:t>约25户，88人</w:t>
            </w:r>
          </w:p>
        </w:tc>
        <w:tc>
          <w:tcPr>
            <w:tcW w:w="439" w:type="pct"/>
            <w:vAlign w:val="center"/>
          </w:tcPr>
          <w:p w14:paraId="0AC84E17">
            <w:pPr>
              <w:pStyle w:val="31"/>
              <w:bidi w:val="0"/>
              <w:ind w:firstLine="0" w:firstLineChars="0"/>
              <w:jc w:val="center"/>
              <w:rPr>
                <w:rFonts w:hint="eastAsia"/>
              </w:rPr>
            </w:pPr>
            <w:r>
              <w:rPr>
                <w:rFonts w:hint="eastAsia"/>
                <w:lang w:val="en-US" w:eastAsia="zh-CN"/>
              </w:rPr>
              <w:t>2类</w:t>
            </w:r>
          </w:p>
        </w:tc>
        <w:tc>
          <w:tcPr>
            <w:tcW w:w="302" w:type="pct"/>
            <w:vAlign w:val="center"/>
          </w:tcPr>
          <w:p w14:paraId="6854AD13">
            <w:pPr>
              <w:pStyle w:val="31"/>
              <w:bidi w:val="0"/>
              <w:jc w:val="center"/>
              <w:rPr>
                <w:rFonts w:hint="eastAsia"/>
              </w:rPr>
            </w:pPr>
            <w:r>
              <w:rPr>
                <w:rFonts w:hint="default"/>
                <w:lang w:val="en-US" w:eastAsia="zh-CN"/>
              </w:rPr>
              <w:t>SE</w:t>
            </w:r>
          </w:p>
        </w:tc>
        <w:tc>
          <w:tcPr>
            <w:tcW w:w="574" w:type="pct"/>
            <w:vAlign w:val="center"/>
          </w:tcPr>
          <w:p w14:paraId="29FA78DF">
            <w:pPr>
              <w:pStyle w:val="31"/>
              <w:bidi w:val="0"/>
              <w:jc w:val="center"/>
              <w:rPr>
                <w:rFonts w:hint="eastAsia"/>
              </w:rPr>
            </w:pPr>
            <w:r>
              <w:rPr>
                <w:rFonts w:hint="default"/>
                <w:lang w:val="en-US" w:eastAsia="zh-CN"/>
              </w:rPr>
              <w:t>2360</w:t>
            </w:r>
          </w:p>
        </w:tc>
      </w:tr>
      <w:tr w14:paraId="32BFF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8CE1A71">
            <w:pPr>
              <w:pStyle w:val="31"/>
              <w:bidi w:val="0"/>
              <w:jc w:val="center"/>
              <w:rPr>
                <w:rFonts w:hint="default"/>
                <w:lang w:val="en-US" w:eastAsia="zh-CN"/>
              </w:rPr>
            </w:pPr>
            <w:r>
              <w:rPr>
                <w:rFonts w:hint="default"/>
                <w:lang w:val="en-US" w:eastAsia="zh-CN"/>
              </w:rPr>
              <w:t>湘潭县茶恩寺镇</w:t>
            </w:r>
          </w:p>
          <w:p w14:paraId="2D457940">
            <w:pPr>
              <w:pStyle w:val="31"/>
              <w:bidi w:val="0"/>
              <w:jc w:val="center"/>
              <w:rPr>
                <w:rFonts w:hint="eastAsia"/>
              </w:rPr>
            </w:pPr>
            <w:r>
              <w:rPr>
                <w:rFonts w:hint="default"/>
                <w:lang w:val="en-US" w:eastAsia="zh-CN"/>
              </w:rPr>
              <w:t>茶花村侯家老屋</w:t>
            </w:r>
          </w:p>
        </w:tc>
        <w:tc>
          <w:tcPr>
            <w:tcW w:w="347" w:type="pct"/>
            <w:vAlign w:val="center"/>
          </w:tcPr>
          <w:p w14:paraId="701885B0">
            <w:pPr>
              <w:pStyle w:val="31"/>
              <w:bidi w:val="0"/>
              <w:jc w:val="center"/>
              <w:rPr>
                <w:rFonts w:hint="eastAsia"/>
              </w:rPr>
            </w:pPr>
            <w:r>
              <w:rPr>
                <w:rFonts w:hint="default"/>
                <w:lang w:val="en-US" w:eastAsia="zh-CN"/>
              </w:rPr>
              <w:t>-1983</w:t>
            </w:r>
          </w:p>
        </w:tc>
        <w:tc>
          <w:tcPr>
            <w:tcW w:w="347" w:type="pct"/>
            <w:vAlign w:val="center"/>
          </w:tcPr>
          <w:p w14:paraId="0488D36A">
            <w:pPr>
              <w:pStyle w:val="31"/>
              <w:bidi w:val="0"/>
              <w:jc w:val="center"/>
              <w:rPr>
                <w:rFonts w:hint="eastAsia"/>
              </w:rPr>
            </w:pPr>
            <w:r>
              <w:rPr>
                <w:rFonts w:hint="default"/>
                <w:lang w:val="en-US" w:eastAsia="zh-CN"/>
              </w:rPr>
              <w:t>-2458</w:t>
            </w:r>
          </w:p>
        </w:tc>
        <w:tc>
          <w:tcPr>
            <w:tcW w:w="302" w:type="pct"/>
            <w:vAlign w:val="center"/>
          </w:tcPr>
          <w:p w14:paraId="565CE491">
            <w:pPr>
              <w:pStyle w:val="31"/>
              <w:bidi w:val="0"/>
              <w:ind w:firstLine="0" w:firstLineChars="0"/>
              <w:jc w:val="center"/>
              <w:rPr>
                <w:rFonts w:hint="eastAsia"/>
              </w:rPr>
            </w:pPr>
            <w:r>
              <w:rPr>
                <w:rFonts w:hint="eastAsia"/>
                <w:lang w:val="en-US" w:eastAsia="zh-CN"/>
              </w:rPr>
              <w:t>居民</w:t>
            </w:r>
          </w:p>
        </w:tc>
        <w:tc>
          <w:tcPr>
            <w:tcW w:w="1018" w:type="pct"/>
            <w:vAlign w:val="center"/>
          </w:tcPr>
          <w:p w14:paraId="24CC9E84">
            <w:pPr>
              <w:pStyle w:val="31"/>
              <w:bidi w:val="0"/>
              <w:jc w:val="center"/>
              <w:rPr>
                <w:rFonts w:hint="eastAsia"/>
              </w:rPr>
            </w:pPr>
            <w:r>
              <w:rPr>
                <w:rFonts w:hint="default"/>
                <w:lang w:val="en-US" w:eastAsia="zh-CN"/>
              </w:rPr>
              <w:t>约35户，123人</w:t>
            </w:r>
          </w:p>
        </w:tc>
        <w:tc>
          <w:tcPr>
            <w:tcW w:w="439" w:type="pct"/>
            <w:vAlign w:val="center"/>
          </w:tcPr>
          <w:p w14:paraId="499AB995">
            <w:pPr>
              <w:pStyle w:val="31"/>
              <w:bidi w:val="0"/>
              <w:ind w:firstLine="0" w:firstLineChars="0"/>
              <w:jc w:val="center"/>
              <w:rPr>
                <w:rFonts w:hint="eastAsia"/>
              </w:rPr>
            </w:pPr>
            <w:r>
              <w:rPr>
                <w:rFonts w:hint="eastAsia"/>
                <w:lang w:val="en-US" w:eastAsia="zh-CN"/>
              </w:rPr>
              <w:t>2类</w:t>
            </w:r>
          </w:p>
        </w:tc>
        <w:tc>
          <w:tcPr>
            <w:tcW w:w="302" w:type="pct"/>
            <w:vAlign w:val="center"/>
          </w:tcPr>
          <w:p w14:paraId="04EBDC4D">
            <w:pPr>
              <w:pStyle w:val="31"/>
              <w:bidi w:val="0"/>
              <w:jc w:val="center"/>
              <w:rPr>
                <w:rFonts w:hint="eastAsia"/>
              </w:rPr>
            </w:pPr>
            <w:r>
              <w:rPr>
                <w:rFonts w:hint="default"/>
                <w:lang w:val="en-US" w:eastAsia="zh-CN"/>
              </w:rPr>
              <w:t>SW</w:t>
            </w:r>
          </w:p>
        </w:tc>
        <w:tc>
          <w:tcPr>
            <w:tcW w:w="574" w:type="pct"/>
            <w:vAlign w:val="center"/>
          </w:tcPr>
          <w:p w14:paraId="120845CD">
            <w:pPr>
              <w:pStyle w:val="31"/>
              <w:bidi w:val="0"/>
              <w:jc w:val="center"/>
              <w:rPr>
                <w:rFonts w:hint="eastAsia"/>
              </w:rPr>
            </w:pPr>
            <w:r>
              <w:rPr>
                <w:rFonts w:hint="default"/>
                <w:lang w:val="en-US" w:eastAsia="zh-CN"/>
              </w:rPr>
              <w:t>3060</w:t>
            </w:r>
          </w:p>
        </w:tc>
      </w:tr>
      <w:tr w14:paraId="5D6E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8DA215E">
            <w:pPr>
              <w:pStyle w:val="31"/>
              <w:bidi w:val="0"/>
              <w:jc w:val="center"/>
              <w:rPr>
                <w:rFonts w:hint="default"/>
                <w:lang w:val="en-US" w:eastAsia="zh-CN"/>
              </w:rPr>
            </w:pPr>
            <w:r>
              <w:rPr>
                <w:rFonts w:hint="default"/>
                <w:lang w:val="en-US" w:eastAsia="zh-CN"/>
              </w:rPr>
              <w:t>湘潭县茶恩寺镇</w:t>
            </w:r>
          </w:p>
          <w:p w14:paraId="4DB38C53">
            <w:pPr>
              <w:pStyle w:val="31"/>
              <w:bidi w:val="0"/>
              <w:jc w:val="center"/>
              <w:rPr>
                <w:rFonts w:hint="eastAsia"/>
              </w:rPr>
            </w:pPr>
            <w:r>
              <w:rPr>
                <w:rFonts w:hint="default"/>
                <w:lang w:val="en-US" w:eastAsia="zh-CN"/>
              </w:rPr>
              <w:t>茶花村茶花小学</w:t>
            </w:r>
          </w:p>
        </w:tc>
        <w:tc>
          <w:tcPr>
            <w:tcW w:w="347" w:type="pct"/>
            <w:vAlign w:val="center"/>
          </w:tcPr>
          <w:p w14:paraId="4A21901E">
            <w:pPr>
              <w:pStyle w:val="31"/>
              <w:bidi w:val="0"/>
              <w:jc w:val="center"/>
              <w:rPr>
                <w:rFonts w:hint="eastAsia"/>
              </w:rPr>
            </w:pPr>
            <w:r>
              <w:rPr>
                <w:rFonts w:hint="default"/>
                <w:lang w:val="en-US" w:eastAsia="zh-CN"/>
              </w:rPr>
              <w:t>-1989</w:t>
            </w:r>
          </w:p>
        </w:tc>
        <w:tc>
          <w:tcPr>
            <w:tcW w:w="347" w:type="pct"/>
            <w:vAlign w:val="center"/>
          </w:tcPr>
          <w:p w14:paraId="6E1450AD">
            <w:pPr>
              <w:pStyle w:val="31"/>
              <w:bidi w:val="0"/>
              <w:jc w:val="center"/>
              <w:rPr>
                <w:rFonts w:hint="eastAsia"/>
              </w:rPr>
            </w:pPr>
            <w:r>
              <w:rPr>
                <w:rFonts w:hint="default"/>
                <w:lang w:val="en-US" w:eastAsia="zh-CN"/>
              </w:rPr>
              <w:t>-2049</w:t>
            </w:r>
          </w:p>
        </w:tc>
        <w:tc>
          <w:tcPr>
            <w:tcW w:w="302" w:type="pct"/>
            <w:vAlign w:val="center"/>
          </w:tcPr>
          <w:p w14:paraId="05A2DA5A">
            <w:pPr>
              <w:pStyle w:val="31"/>
              <w:bidi w:val="0"/>
              <w:ind w:firstLine="0" w:firstLineChars="0"/>
              <w:jc w:val="center"/>
              <w:rPr>
                <w:rFonts w:hint="eastAsia"/>
              </w:rPr>
            </w:pPr>
            <w:r>
              <w:rPr>
                <w:rFonts w:hint="eastAsia"/>
                <w:lang w:val="en-US" w:eastAsia="zh-CN"/>
              </w:rPr>
              <w:t>学校</w:t>
            </w:r>
          </w:p>
        </w:tc>
        <w:tc>
          <w:tcPr>
            <w:tcW w:w="1018" w:type="pct"/>
            <w:vAlign w:val="center"/>
          </w:tcPr>
          <w:p w14:paraId="27CD5CDE">
            <w:pPr>
              <w:pStyle w:val="31"/>
              <w:bidi w:val="0"/>
              <w:jc w:val="center"/>
              <w:rPr>
                <w:rFonts w:hint="default"/>
                <w:lang w:val="en-US"/>
              </w:rPr>
            </w:pPr>
            <w:r>
              <w:rPr>
                <w:rFonts w:hint="eastAsia"/>
                <w:lang w:val="en-US" w:eastAsia="zh-CN"/>
              </w:rPr>
              <w:t>约300人</w:t>
            </w:r>
          </w:p>
        </w:tc>
        <w:tc>
          <w:tcPr>
            <w:tcW w:w="439" w:type="pct"/>
            <w:vAlign w:val="center"/>
          </w:tcPr>
          <w:p w14:paraId="4358EC82">
            <w:pPr>
              <w:pStyle w:val="31"/>
              <w:bidi w:val="0"/>
              <w:ind w:firstLine="0" w:firstLineChars="0"/>
              <w:jc w:val="center"/>
              <w:rPr>
                <w:rFonts w:hint="eastAsia"/>
              </w:rPr>
            </w:pPr>
            <w:r>
              <w:rPr>
                <w:rFonts w:hint="eastAsia"/>
                <w:lang w:val="en-US" w:eastAsia="zh-CN"/>
              </w:rPr>
              <w:t>2类</w:t>
            </w:r>
          </w:p>
        </w:tc>
        <w:tc>
          <w:tcPr>
            <w:tcW w:w="302" w:type="pct"/>
            <w:vAlign w:val="center"/>
          </w:tcPr>
          <w:p w14:paraId="6FDF235C">
            <w:pPr>
              <w:pStyle w:val="31"/>
              <w:bidi w:val="0"/>
              <w:jc w:val="center"/>
              <w:rPr>
                <w:rFonts w:hint="eastAsia"/>
              </w:rPr>
            </w:pPr>
            <w:r>
              <w:rPr>
                <w:rFonts w:hint="default"/>
                <w:lang w:val="en-US" w:eastAsia="zh-CN"/>
              </w:rPr>
              <w:t>SW</w:t>
            </w:r>
          </w:p>
        </w:tc>
        <w:tc>
          <w:tcPr>
            <w:tcW w:w="574" w:type="pct"/>
            <w:vAlign w:val="center"/>
          </w:tcPr>
          <w:p w14:paraId="247B1D14">
            <w:pPr>
              <w:pStyle w:val="31"/>
              <w:bidi w:val="0"/>
              <w:jc w:val="center"/>
              <w:rPr>
                <w:rFonts w:hint="eastAsia"/>
              </w:rPr>
            </w:pPr>
            <w:r>
              <w:rPr>
                <w:rFonts w:hint="default"/>
                <w:lang w:val="en-US" w:eastAsia="zh-CN"/>
              </w:rPr>
              <w:t>2760</w:t>
            </w:r>
          </w:p>
        </w:tc>
      </w:tr>
      <w:tr w14:paraId="7A64C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F6157DA">
            <w:pPr>
              <w:pStyle w:val="31"/>
              <w:bidi w:val="0"/>
              <w:jc w:val="center"/>
              <w:rPr>
                <w:rFonts w:hint="default"/>
                <w:lang w:val="en-US" w:eastAsia="zh-CN"/>
              </w:rPr>
            </w:pPr>
            <w:r>
              <w:rPr>
                <w:rFonts w:hint="default"/>
                <w:lang w:val="en-US" w:eastAsia="zh-CN"/>
              </w:rPr>
              <w:t>湘潭县茶恩寺镇</w:t>
            </w:r>
          </w:p>
          <w:p w14:paraId="7D76F743">
            <w:pPr>
              <w:pStyle w:val="31"/>
              <w:bidi w:val="0"/>
              <w:jc w:val="center"/>
              <w:rPr>
                <w:rFonts w:hint="eastAsia"/>
              </w:rPr>
            </w:pPr>
            <w:r>
              <w:rPr>
                <w:rFonts w:hint="default"/>
                <w:lang w:val="en-US" w:eastAsia="zh-CN"/>
              </w:rPr>
              <w:t>茶花村曹家坪</w:t>
            </w:r>
          </w:p>
        </w:tc>
        <w:tc>
          <w:tcPr>
            <w:tcW w:w="347" w:type="pct"/>
            <w:vAlign w:val="center"/>
          </w:tcPr>
          <w:p w14:paraId="06E829FF">
            <w:pPr>
              <w:pStyle w:val="31"/>
              <w:bidi w:val="0"/>
              <w:jc w:val="center"/>
              <w:rPr>
                <w:rFonts w:hint="eastAsia"/>
              </w:rPr>
            </w:pPr>
            <w:r>
              <w:rPr>
                <w:rFonts w:hint="default"/>
                <w:lang w:val="en-US" w:eastAsia="zh-CN"/>
              </w:rPr>
              <w:t>-2411</w:t>
            </w:r>
          </w:p>
        </w:tc>
        <w:tc>
          <w:tcPr>
            <w:tcW w:w="347" w:type="pct"/>
            <w:vAlign w:val="center"/>
          </w:tcPr>
          <w:p w14:paraId="636B08F4">
            <w:pPr>
              <w:pStyle w:val="31"/>
              <w:bidi w:val="0"/>
              <w:jc w:val="center"/>
              <w:rPr>
                <w:rFonts w:hint="eastAsia"/>
              </w:rPr>
            </w:pPr>
            <w:r>
              <w:rPr>
                <w:rFonts w:hint="default"/>
                <w:lang w:val="en-US" w:eastAsia="zh-CN"/>
              </w:rPr>
              <w:t>-1799</w:t>
            </w:r>
          </w:p>
        </w:tc>
        <w:tc>
          <w:tcPr>
            <w:tcW w:w="302" w:type="pct"/>
            <w:vAlign w:val="center"/>
          </w:tcPr>
          <w:p w14:paraId="5975AE02">
            <w:pPr>
              <w:pStyle w:val="31"/>
              <w:bidi w:val="0"/>
              <w:ind w:firstLine="0" w:firstLineChars="0"/>
              <w:jc w:val="center"/>
              <w:rPr>
                <w:rFonts w:hint="eastAsia"/>
              </w:rPr>
            </w:pPr>
            <w:r>
              <w:rPr>
                <w:rFonts w:hint="eastAsia"/>
                <w:lang w:val="en-US" w:eastAsia="zh-CN"/>
              </w:rPr>
              <w:t>居民</w:t>
            </w:r>
          </w:p>
        </w:tc>
        <w:tc>
          <w:tcPr>
            <w:tcW w:w="1018" w:type="pct"/>
            <w:vAlign w:val="center"/>
          </w:tcPr>
          <w:p w14:paraId="6EC99325">
            <w:pPr>
              <w:pStyle w:val="31"/>
              <w:bidi w:val="0"/>
              <w:jc w:val="center"/>
              <w:rPr>
                <w:rFonts w:hint="eastAsia"/>
              </w:rPr>
            </w:pPr>
            <w:r>
              <w:rPr>
                <w:rFonts w:hint="default"/>
                <w:lang w:val="en-US" w:eastAsia="zh-CN"/>
              </w:rPr>
              <w:t>约35户，123人</w:t>
            </w:r>
          </w:p>
        </w:tc>
        <w:tc>
          <w:tcPr>
            <w:tcW w:w="439" w:type="pct"/>
            <w:vAlign w:val="center"/>
          </w:tcPr>
          <w:p w14:paraId="6DA1090F">
            <w:pPr>
              <w:pStyle w:val="31"/>
              <w:bidi w:val="0"/>
              <w:ind w:firstLine="0" w:firstLineChars="0"/>
              <w:jc w:val="center"/>
              <w:rPr>
                <w:rFonts w:hint="eastAsia"/>
              </w:rPr>
            </w:pPr>
            <w:r>
              <w:rPr>
                <w:rFonts w:hint="eastAsia"/>
                <w:lang w:val="en-US" w:eastAsia="zh-CN"/>
              </w:rPr>
              <w:t>2类</w:t>
            </w:r>
          </w:p>
        </w:tc>
        <w:tc>
          <w:tcPr>
            <w:tcW w:w="302" w:type="pct"/>
            <w:vAlign w:val="center"/>
          </w:tcPr>
          <w:p w14:paraId="406190C9">
            <w:pPr>
              <w:pStyle w:val="31"/>
              <w:bidi w:val="0"/>
              <w:jc w:val="center"/>
              <w:rPr>
                <w:rFonts w:hint="eastAsia"/>
              </w:rPr>
            </w:pPr>
            <w:r>
              <w:rPr>
                <w:rFonts w:hint="default"/>
                <w:lang w:val="en-US" w:eastAsia="zh-CN"/>
              </w:rPr>
              <w:t>SW</w:t>
            </w:r>
          </w:p>
        </w:tc>
        <w:tc>
          <w:tcPr>
            <w:tcW w:w="574" w:type="pct"/>
            <w:vAlign w:val="center"/>
          </w:tcPr>
          <w:p w14:paraId="69079AD9">
            <w:pPr>
              <w:pStyle w:val="31"/>
              <w:bidi w:val="0"/>
              <w:jc w:val="center"/>
              <w:rPr>
                <w:rFonts w:hint="eastAsia"/>
              </w:rPr>
            </w:pPr>
            <w:r>
              <w:rPr>
                <w:rFonts w:hint="default"/>
                <w:lang w:val="en-US" w:eastAsia="zh-CN"/>
              </w:rPr>
              <w:t>2910</w:t>
            </w:r>
          </w:p>
        </w:tc>
      </w:tr>
      <w:tr w14:paraId="71A7B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7C8D71BF">
            <w:pPr>
              <w:pStyle w:val="31"/>
              <w:bidi w:val="0"/>
              <w:jc w:val="center"/>
              <w:rPr>
                <w:rFonts w:hint="default"/>
                <w:lang w:val="en-US" w:eastAsia="zh-CN"/>
              </w:rPr>
            </w:pPr>
            <w:r>
              <w:rPr>
                <w:rFonts w:hint="default"/>
                <w:lang w:val="en-US" w:eastAsia="zh-CN"/>
              </w:rPr>
              <w:t>湘潭县茶恩寺镇</w:t>
            </w:r>
          </w:p>
          <w:p w14:paraId="526A66E5">
            <w:pPr>
              <w:pStyle w:val="31"/>
              <w:bidi w:val="0"/>
              <w:jc w:val="center"/>
              <w:rPr>
                <w:rFonts w:hint="eastAsia"/>
              </w:rPr>
            </w:pPr>
            <w:r>
              <w:rPr>
                <w:rFonts w:hint="default"/>
                <w:lang w:val="en-US" w:eastAsia="zh-CN"/>
              </w:rPr>
              <w:t>茶花村刘家湾</w:t>
            </w:r>
          </w:p>
        </w:tc>
        <w:tc>
          <w:tcPr>
            <w:tcW w:w="347" w:type="pct"/>
            <w:vAlign w:val="center"/>
          </w:tcPr>
          <w:p w14:paraId="17C8DCC6">
            <w:pPr>
              <w:pStyle w:val="31"/>
              <w:bidi w:val="0"/>
              <w:jc w:val="center"/>
              <w:rPr>
                <w:rFonts w:hint="eastAsia"/>
              </w:rPr>
            </w:pPr>
            <w:r>
              <w:rPr>
                <w:rFonts w:hint="default"/>
                <w:lang w:val="en-US" w:eastAsia="zh-CN"/>
              </w:rPr>
              <w:t>-1039</w:t>
            </w:r>
          </w:p>
        </w:tc>
        <w:tc>
          <w:tcPr>
            <w:tcW w:w="347" w:type="pct"/>
            <w:vAlign w:val="center"/>
          </w:tcPr>
          <w:p w14:paraId="39117EB9">
            <w:pPr>
              <w:pStyle w:val="31"/>
              <w:bidi w:val="0"/>
              <w:jc w:val="center"/>
              <w:rPr>
                <w:rFonts w:hint="eastAsia"/>
              </w:rPr>
            </w:pPr>
            <w:r>
              <w:rPr>
                <w:rFonts w:hint="default"/>
                <w:lang w:val="en-US" w:eastAsia="zh-CN"/>
              </w:rPr>
              <w:t>-1266</w:t>
            </w:r>
          </w:p>
        </w:tc>
        <w:tc>
          <w:tcPr>
            <w:tcW w:w="302" w:type="pct"/>
            <w:vAlign w:val="center"/>
          </w:tcPr>
          <w:p w14:paraId="0FD04192">
            <w:pPr>
              <w:pStyle w:val="31"/>
              <w:bidi w:val="0"/>
              <w:ind w:firstLine="0" w:firstLineChars="0"/>
              <w:jc w:val="center"/>
              <w:rPr>
                <w:rFonts w:hint="eastAsia"/>
              </w:rPr>
            </w:pPr>
            <w:r>
              <w:rPr>
                <w:rFonts w:hint="eastAsia"/>
                <w:lang w:val="en-US" w:eastAsia="zh-CN"/>
              </w:rPr>
              <w:t>居民</w:t>
            </w:r>
          </w:p>
        </w:tc>
        <w:tc>
          <w:tcPr>
            <w:tcW w:w="1018" w:type="pct"/>
            <w:vAlign w:val="center"/>
          </w:tcPr>
          <w:p w14:paraId="075863DE">
            <w:pPr>
              <w:pStyle w:val="31"/>
              <w:bidi w:val="0"/>
              <w:jc w:val="center"/>
              <w:rPr>
                <w:rFonts w:hint="eastAsia"/>
              </w:rPr>
            </w:pPr>
            <w:r>
              <w:rPr>
                <w:rFonts w:hint="default"/>
                <w:lang w:val="en-US" w:eastAsia="zh-CN"/>
              </w:rPr>
              <w:t>约35户，123人</w:t>
            </w:r>
          </w:p>
        </w:tc>
        <w:tc>
          <w:tcPr>
            <w:tcW w:w="439" w:type="pct"/>
            <w:vAlign w:val="center"/>
          </w:tcPr>
          <w:p w14:paraId="763B403D">
            <w:pPr>
              <w:pStyle w:val="31"/>
              <w:bidi w:val="0"/>
              <w:ind w:firstLine="0" w:firstLineChars="0"/>
              <w:jc w:val="center"/>
              <w:rPr>
                <w:rFonts w:hint="eastAsia"/>
              </w:rPr>
            </w:pPr>
            <w:r>
              <w:rPr>
                <w:rFonts w:hint="eastAsia"/>
                <w:lang w:val="en-US" w:eastAsia="zh-CN"/>
              </w:rPr>
              <w:t>2类</w:t>
            </w:r>
          </w:p>
        </w:tc>
        <w:tc>
          <w:tcPr>
            <w:tcW w:w="302" w:type="pct"/>
            <w:vAlign w:val="center"/>
          </w:tcPr>
          <w:p w14:paraId="2CE33B57">
            <w:pPr>
              <w:pStyle w:val="31"/>
              <w:bidi w:val="0"/>
              <w:jc w:val="center"/>
              <w:rPr>
                <w:rFonts w:hint="eastAsia"/>
              </w:rPr>
            </w:pPr>
            <w:r>
              <w:rPr>
                <w:rFonts w:hint="default"/>
                <w:lang w:val="en-US" w:eastAsia="zh-CN"/>
              </w:rPr>
              <w:t>SW</w:t>
            </w:r>
          </w:p>
        </w:tc>
        <w:tc>
          <w:tcPr>
            <w:tcW w:w="574" w:type="pct"/>
            <w:vAlign w:val="center"/>
          </w:tcPr>
          <w:p w14:paraId="38A6B169">
            <w:pPr>
              <w:pStyle w:val="31"/>
              <w:bidi w:val="0"/>
              <w:jc w:val="center"/>
              <w:rPr>
                <w:rFonts w:hint="eastAsia"/>
              </w:rPr>
            </w:pPr>
            <w:r>
              <w:rPr>
                <w:rFonts w:hint="default"/>
                <w:lang w:val="en-US" w:eastAsia="zh-CN"/>
              </w:rPr>
              <w:t>1540</w:t>
            </w:r>
          </w:p>
        </w:tc>
      </w:tr>
      <w:tr w14:paraId="233DD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AA410B7">
            <w:pPr>
              <w:pStyle w:val="31"/>
              <w:bidi w:val="0"/>
              <w:jc w:val="center"/>
              <w:rPr>
                <w:rFonts w:hint="default"/>
                <w:lang w:val="en-US" w:eastAsia="zh-CN"/>
              </w:rPr>
            </w:pPr>
            <w:r>
              <w:rPr>
                <w:rFonts w:hint="default"/>
                <w:lang w:val="en-US" w:eastAsia="zh-CN"/>
              </w:rPr>
              <w:t>湘潭县茶恩寺镇</w:t>
            </w:r>
          </w:p>
          <w:p w14:paraId="7D4955E3">
            <w:pPr>
              <w:pStyle w:val="31"/>
              <w:bidi w:val="0"/>
              <w:jc w:val="center"/>
              <w:rPr>
                <w:rFonts w:hint="eastAsia"/>
              </w:rPr>
            </w:pPr>
            <w:r>
              <w:rPr>
                <w:rFonts w:hint="default"/>
                <w:lang w:val="en-US" w:eastAsia="zh-CN"/>
              </w:rPr>
              <w:t>樊田村桅杆岭</w:t>
            </w:r>
          </w:p>
        </w:tc>
        <w:tc>
          <w:tcPr>
            <w:tcW w:w="347" w:type="pct"/>
            <w:vAlign w:val="center"/>
          </w:tcPr>
          <w:p w14:paraId="03B1A6B4">
            <w:pPr>
              <w:pStyle w:val="31"/>
              <w:bidi w:val="0"/>
              <w:jc w:val="center"/>
              <w:rPr>
                <w:rFonts w:hint="eastAsia"/>
              </w:rPr>
            </w:pPr>
            <w:r>
              <w:rPr>
                <w:rFonts w:hint="default"/>
                <w:lang w:val="en-US" w:eastAsia="zh-CN"/>
              </w:rPr>
              <w:t>-821</w:t>
            </w:r>
          </w:p>
        </w:tc>
        <w:tc>
          <w:tcPr>
            <w:tcW w:w="347" w:type="pct"/>
            <w:vAlign w:val="center"/>
          </w:tcPr>
          <w:p w14:paraId="7253A8A9">
            <w:pPr>
              <w:pStyle w:val="31"/>
              <w:bidi w:val="0"/>
              <w:jc w:val="center"/>
              <w:rPr>
                <w:rFonts w:hint="eastAsia"/>
              </w:rPr>
            </w:pPr>
            <w:r>
              <w:rPr>
                <w:rFonts w:hint="default"/>
                <w:lang w:val="en-US" w:eastAsia="zh-CN"/>
              </w:rPr>
              <w:t>-531</w:t>
            </w:r>
          </w:p>
        </w:tc>
        <w:tc>
          <w:tcPr>
            <w:tcW w:w="302" w:type="pct"/>
            <w:vAlign w:val="center"/>
          </w:tcPr>
          <w:p w14:paraId="43BA9CEF">
            <w:pPr>
              <w:pStyle w:val="31"/>
              <w:bidi w:val="0"/>
              <w:ind w:firstLine="0" w:firstLineChars="0"/>
              <w:jc w:val="center"/>
              <w:rPr>
                <w:rFonts w:hint="eastAsia"/>
              </w:rPr>
            </w:pPr>
            <w:r>
              <w:rPr>
                <w:rFonts w:hint="eastAsia"/>
                <w:lang w:val="en-US" w:eastAsia="zh-CN"/>
              </w:rPr>
              <w:t>居民</w:t>
            </w:r>
          </w:p>
        </w:tc>
        <w:tc>
          <w:tcPr>
            <w:tcW w:w="1018" w:type="pct"/>
            <w:vAlign w:val="center"/>
          </w:tcPr>
          <w:p w14:paraId="451C4AEA">
            <w:pPr>
              <w:pStyle w:val="31"/>
              <w:bidi w:val="0"/>
              <w:jc w:val="center"/>
              <w:rPr>
                <w:rFonts w:hint="eastAsia"/>
              </w:rPr>
            </w:pPr>
            <w:r>
              <w:rPr>
                <w:rFonts w:hint="default"/>
                <w:lang w:val="en-US" w:eastAsia="zh-CN"/>
              </w:rPr>
              <w:t>约10户，35人</w:t>
            </w:r>
          </w:p>
        </w:tc>
        <w:tc>
          <w:tcPr>
            <w:tcW w:w="439" w:type="pct"/>
            <w:vAlign w:val="center"/>
          </w:tcPr>
          <w:p w14:paraId="6E7994D5">
            <w:pPr>
              <w:pStyle w:val="31"/>
              <w:bidi w:val="0"/>
              <w:ind w:firstLine="0" w:firstLineChars="0"/>
              <w:jc w:val="center"/>
              <w:rPr>
                <w:rFonts w:hint="eastAsia"/>
              </w:rPr>
            </w:pPr>
            <w:r>
              <w:rPr>
                <w:rFonts w:hint="eastAsia"/>
                <w:lang w:val="en-US" w:eastAsia="zh-CN"/>
              </w:rPr>
              <w:t>2类</w:t>
            </w:r>
          </w:p>
        </w:tc>
        <w:tc>
          <w:tcPr>
            <w:tcW w:w="302" w:type="pct"/>
            <w:vAlign w:val="center"/>
          </w:tcPr>
          <w:p w14:paraId="2F28C972">
            <w:pPr>
              <w:pStyle w:val="31"/>
              <w:bidi w:val="0"/>
              <w:jc w:val="center"/>
              <w:rPr>
                <w:rFonts w:hint="eastAsia"/>
              </w:rPr>
            </w:pPr>
            <w:r>
              <w:rPr>
                <w:rFonts w:hint="default"/>
                <w:lang w:val="en-US" w:eastAsia="zh-CN"/>
              </w:rPr>
              <w:t>SW</w:t>
            </w:r>
          </w:p>
        </w:tc>
        <w:tc>
          <w:tcPr>
            <w:tcW w:w="574" w:type="pct"/>
            <w:vAlign w:val="center"/>
          </w:tcPr>
          <w:p w14:paraId="5F4BDBAA">
            <w:pPr>
              <w:pStyle w:val="31"/>
              <w:bidi w:val="0"/>
              <w:jc w:val="center"/>
              <w:rPr>
                <w:rFonts w:hint="eastAsia"/>
              </w:rPr>
            </w:pPr>
            <w:r>
              <w:rPr>
                <w:rFonts w:hint="default"/>
                <w:lang w:val="en-US" w:eastAsia="zh-CN"/>
              </w:rPr>
              <w:t>880</w:t>
            </w:r>
          </w:p>
        </w:tc>
      </w:tr>
      <w:tr w14:paraId="0B334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2B84FD9">
            <w:pPr>
              <w:pStyle w:val="31"/>
              <w:bidi w:val="0"/>
              <w:jc w:val="center"/>
              <w:rPr>
                <w:rFonts w:hint="default"/>
                <w:lang w:val="en-US" w:eastAsia="zh-CN"/>
              </w:rPr>
            </w:pPr>
            <w:r>
              <w:rPr>
                <w:rFonts w:hint="default"/>
                <w:lang w:val="en-US" w:eastAsia="zh-CN"/>
              </w:rPr>
              <w:t>湘潭县茶恩寺镇</w:t>
            </w:r>
          </w:p>
          <w:p w14:paraId="248A7AD9">
            <w:pPr>
              <w:pStyle w:val="31"/>
              <w:bidi w:val="0"/>
              <w:jc w:val="center"/>
              <w:rPr>
                <w:rFonts w:hint="eastAsia"/>
              </w:rPr>
            </w:pPr>
            <w:r>
              <w:rPr>
                <w:rFonts w:hint="default"/>
                <w:lang w:val="en-US" w:eastAsia="zh-CN"/>
              </w:rPr>
              <w:t>樊田村衡湘桥</w:t>
            </w:r>
          </w:p>
        </w:tc>
        <w:tc>
          <w:tcPr>
            <w:tcW w:w="347" w:type="pct"/>
            <w:vAlign w:val="center"/>
          </w:tcPr>
          <w:p w14:paraId="7B6D9F46">
            <w:pPr>
              <w:pStyle w:val="31"/>
              <w:bidi w:val="0"/>
              <w:jc w:val="center"/>
              <w:rPr>
                <w:rFonts w:hint="eastAsia"/>
              </w:rPr>
            </w:pPr>
            <w:r>
              <w:rPr>
                <w:rFonts w:hint="default"/>
                <w:lang w:val="en-US" w:eastAsia="zh-CN"/>
              </w:rPr>
              <w:t>-1287</w:t>
            </w:r>
          </w:p>
        </w:tc>
        <w:tc>
          <w:tcPr>
            <w:tcW w:w="347" w:type="pct"/>
            <w:vAlign w:val="center"/>
          </w:tcPr>
          <w:p w14:paraId="22FB258A">
            <w:pPr>
              <w:pStyle w:val="31"/>
              <w:bidi w:val="0"/>
              <w:jc w:val="center"/>
              <w:rPr>
                <w:rFonts w:hint="eastAsia"/>
              </w:rPr>
            </w:pPr>
            <w:r>
              <w:rPr>
                <w:rFonts w:hint="default"/>
                <w:lang w:val="en-US" w:eastAsia="zh-CN"/>
              </w:rPr>
              <w:t>-902</w:t>
            </w:r>
          </w:p>
        </w:tc>
        <w:tc>
          <w:tcPr>
            <w:tcW w:w="302" w:type="pct"/>
            <w:vAlign w:val="center"/>
          </w:tcPr>
          <w:p w14:paraId="23E0B494">
            <w:pPr>
              <w:pStyle w:val="31"/>
              <w:bidi w:val="0"/>
              <w:ind w:firstLine="0" w:firstLineChars="0"/>
              <w:jc w:val="center"/>
              <w:rPr>
                <w:rFonts w:hint="eastAsia"/>
              </w:rPr>
            </w:pPr>
            <w:r>
              <w:rPr>
                <w:rFonts w:hint="eastAsia"/>
                <w:lang w:val="en-US" w:eastAsia="zh-CN"/>
              </w:rPr>
              <w:t>居民</w:t>
            </w:r>
          </w:p>
        </w:tc>
        <w:tc>
          <w:tcPr>
            <w:tcW w:w="1018" w:type="pct"/>
            <w:vAlign w:val="center"/>
          </w:tcPr>
          <w:p w14:paraId="1123D73A">
            <w:pPr>
              <w:pStyle w:val="31"/>
              <w:bidi w:val="0"/>
              <w:jc w:val="center"/>
              <w:rPr>
                <w:rFonts w:hint="eastAsia"/>
              </w:rPr>
            </w:pPr>
            <w:r>
              <w:rPr>
                <w:rFonts w:hint="default"/>
                <w:lang w:val="en-US" w:eastAsia="zh-CN"/>
              </w:rPr>
              <w:t>约20户，70人</w:t>
            </w:r>
          </w:p>
        </w:tc>
        <w:tc>
          <w:tcPr>
            <w:tcW w:w="439" w:type="pct"/>
            <w:vAlign w:val="center"/>
          </w:tcPr>
          <w:p w14:paraId="7236C951">
            <w:pPr>
              <w:pStyle w:val="31"/>
              <w:bidi w:val="0"/>
              <w:ind w:firstLine="0" w:firstLineChars="0"/>
              <w:jc w:val="center"/>
              <w:rPr>
                <w:rFonts w:hint="eastAsia"/>
              </w:rPr>
            </w:pPr>
            <w:r>
              <w:rPr>
                <w:rFonts w:hint="eastAsia"/>
                <w:lang w:val="en-US" w:eastAsia="zh-CN"/>
              </w:rPr>
              <w:t>2类</w:t>
            </w:r>
          </w:p>
        </w:tc>
        <w:tc>
          <w:tcPr>
            <w:tcW w:w="302" w:type="pct"/>
            <w:vAlign w:val="center"/>
          </w:tcPr>
          <w:p w14:paraId="1E95B9CB">
            <w:pPr>
              <w:pStyle w:val="31"/>
              <w:bidi w:val="0"/>
              <w:jc w:val="center"/>
              <w:rPr>
                <w:rFonts w:hint="eastAsia"/>
              </w:rPr>
            </w:pPr>
            <w:r>
              <w:rPr>
                <w:rFonts w:hint="default"/>
                <w:lang w:val="en-US" w:eastAsia="zh-CN"/>
              </w:rPr>
              <w:t>SW</w:t>
            </w:r>
          </w:p>
        </w:tc>
        <w:tc>
          <w:tcPr>
            <w:tcW w:w="574" w:type="pct"/>
            <w:vAlign w:val="center"/>
          </w:tcPr>
          <w:p w14:paraId="343C6B0C">
            <w:pPr>
              <w:pStyle w:val="31"/>
              <w:bidi w:val="0"/>
              <w:jc w:val="center"/>
              <w:rPr>
                <w:rFonts w:hint="eastAsia"/>
              </w:rPr>
            </w:pPr>
            <w:r>
              <w:rPr>
                <w:rFonts w:hint="default"/>
                <w:lang w:val="en-US" w:eastAsia="zh-CN"/>
              </w:rPr>
              <w:t>1470</w:t>
            </w:r>
          </w:p>
        </w:tc>
      </w:tr>
      <w:tr w14:paraId="5730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41579142">
            <w:pPr>
              <w:pStyle w:val="31"/>
              <w:bidi w:val="0"/>
              <w:jc w:val="center"/>
              <w:rPr>
                <w:rFonts w:hint="default"/>
                <w:lang w:val="en-US" w:eastAsia="zh-CN"/>
              </w:rPr>
            </w:pPr>
            <w:r>
              <w:rPr>
                <w:rFonts w:hint="default"/>
                <w:lang w:val="en-US" w:eastAsia="zh-CN"/>
              </w:rPr>
              <w:t>湘潭县茶恩寺镇</w:t>
            </w:r>
          </w:p>
          <w:p w14:paraId="22C0AB80">
            <w:pPr>
              <w:pStyle w:val="31"/>
              <w:bidi w:val="0"/>
              <w:jc w:val="center"/>
              <w:rPr>
                <w:rFonts w:hint="eastAsia"/>
              </w:rPr>
            </w:pPr>
            <w:r>
              <w:rPr>
                <w:rFonts w:hint="default"/>
                <w:lang w:val="en-US" w:eastAsia="zh-CN"/>
              </w:rPr>
              <w:t>樊田村新塘坳</w:t>
            </w:r>
          </w:p>
        </w:tc>
        <w:tc>
          <w:tcPr>
            <w:tcW w:w="347" w:type="pct"/>
            <w:vAlign w:val="center"/>
          </w:tcPr>
          <w:p w14:paraId="7EAB2804">
            <w:pPr>
              <w:pStyle w:val="31"/>
              <w:bidi w:val="0"/>
              <w:jc w:val="center"/>
              <w:rPr>
                <w:rFonts w:hint="eastAsia"/>
              </w:rPr>
            </w:pPr>
            <w:r>
              <w:rPr>
                <w:rFonts w:hint="default"/>
                <w:lang w:val="en-US" w:eastAsia="zh-CN"/>
              </w:rPr>
              <w:t>-2127</w:t>
            </w:r>
          </w:p>
        </w:tc>
        <w:tc>
          <w:tcPr>
            <w:tcW w:w="347" w:type="pct"/>
            <w:vAlign w:val="center"/>
          </w:tcPr>
          <w:p w14:paraId="58C8089A">
            <w:pPr>
              <w:pStyle w:val="31"/>
              <w:bidi w:val="0"/>
              <w:jc w:val="center"/>
              <w:rPr>
                <w:rFonts w:hint="eastAsia"/>
              </w:rPr>
            </w:pPr>
            <w:r>
              <w:rPr>
                <w:rFonts w:hint="default"/>
                <w:lang w:val="en-US" w:eastAsia="zh-CN"/>
              </w:rPr>
              <w:t>-207</w:t>
            </w:r>
          </w:p>
        </w:tc>
        <w:tc>
          <w:tcPr>
            <w:tcW w:w="302" w:type="pct"/>
            <w:vAlign w:val="center"/>
          </w:tcPr>
          <w:p w14:paraId="493EAD05">
            <w:pPr>
              <w:pStyle w:val="31"/>
              <w:bidi w:val="0"/>
              <w:ind w:firstLine="0" w:firstLineChars="0"/>
              <w:jc w:val="center"/>
              <w:rPr>
                <w:rFonts w:hint="eastAsia"/>
              </w:rPr>
            </w:pPr>
            <w:r>
              <w:rPr>
                <w:rFonts w:hint="eastAsia"/>
                <w:lang w:val="en-US" w:eastAsia="zh-CN"/>
              </w:rPr>
              <w:t>居民</w:t>
            </w:r>
          </w:p>
        </w:tc>
        <w:tc>
          <w:tcPr>
            <w:tcW w:w="1018" w:type="pct"/>
            <w:vAlign w:val="center"/>
          </w:tcPr>
          <w:p w14:paraId="64F46E29">
            <w:pPr>
              <w:pStyle w:val="31"/>
              <w:bidi w:val="0"/>
              <w:jc w:val="center"/>
              <w:rPr>
                <w:rFonts w:hint="eastAsia"/>
              </w:rPr>
            </w:pPr>
            <w:r>
              <w:rPr>
                <w:rFonts w:hint="default"/>
                <w:lang w:val="en-US" w:eastAsia="zh-CN"/>
              </w:rPr>
              <w:t>约10户，35人</w:t>
            </w:r>
          </w:p>
        </w:tc>
        <w:tc>
          <w:tcPr>
            <w:tcW w:w="439" w:type="pct"/>
            <w:vAlign w:val="center"/>
          </w:tcPr>
          <w:p w14:paraId="4A47C9C5">
            <w:pPr>
              <w:pStyle w:val="31"/>
              <w:bidi w:val="0"/>
              <w:ind w:firstLine="0" w:firstLineChars="0"/>
              <w:jc w:val="center"/>
              <w:rPr>
                <w:rFonts w:hint="eastAsia"/>
              </w:rPr>
            </w:pPr>
            <w:r>
              <w:rPr>
                <w:rFonts w:hint="eastAsia"/>
                <w:lang w:val="en-US" w:eastAsia="zh-CN"/>
              </w:rPr>
              <w:t>2类</w:t>
            </w:r>
          </w:p>
        </w:tc>
        <w:tc>
          <w:tcPr>
            <w:tcW w:w="302" w:type="pct"/>
            <w:vAlign w:val="center"/>
          </w:tcPr>
          <w:p w14:paraId="65F6786E">
            <w:pPr>
              <w:pStyle w:val="31"/>
              <w:bidi w:val="0"/>
              <w:jc w:val="center"/>
              <w:rPr>
                <w:rFonts w:hint="eastAsia"/>
              </w:rPr>
            </w:pPr>
            <w:r>
              <w:rPr>
                <w:rFonts w:hint="default"/>
                <w:lang w:val="en-US" w:eastAsia="zh-CN"/>
              </w:rPr>
              <w:t>SW</w:t>
            </w:r>
          </w:p>
        </w:tc>
        <w:tc>
          <w:tcPr>
            <w:tcW w:w="574" w:type="pct"/>
            <w:vAlign w:val="center"/>
          </w:tcPr>
          <w:p w14:paraId="3AD6FC10">
            <w:pPr>
              <w:pStyle w:val="31"/>
              <w:bidi w:val="0"/>
              <w:jc w:val="center"/>
              <w:rPr>
                <w:rFonts w:hint="eastAsia"/>
              </w:rPr>
            </w:pPr>
            <w:r>
              <w:rPr>
                <w:rFonts w:hint="default"/>
                <w:lang w:val="en-US" w:eastAsia="zh-CN"/>
              </w:rPr>
              <w:t>2040</w:t>
            </w:r>
          </w:p>
        </w:tc>
      </w:tr>
      <w:tr w14:paraId="3B9C5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72A8943">
            <w:pPr>
              <w:pStyle w:val="31"/>
              <w:bidi w:val="0"/>
              <w:jc w:val="center"/>
              <w:rPr>
                <w:rFonts w:hint="default"/>
                <w:lang w:val="en-US" w:eastAsia="zh-CN"/>
              </w:rPr>
            </w:pPr>
            <w:r>
              <w:rPr>
                <w:rFonts w:hint="default"/>
                <w:lang w:val="en-US" w:eastAsia="zh-CN"/>
              </w:rPr>
              <w:t>湘潭县茶恩寺镇</w:t>
            </w:r>
          </w:p>
          <w:p w14:paraId="2C94CDCC">
            <w:pPr>
              <w:pStyle w:val="31"/>
              <w:bidi w:val="0"/>
              <w:jc w:val="center"/>
              <w:rPr>
                <w:rFonts w:hint="eastAsia"/>
              </w:rPr>
            </w:pPr>
            <w:r>
              <w:rPr>
                <w:rFonts w:hint="default"/>
                <w:lang w:val="en-US" w:eastAsia="zh-CN"/>
              </w:rPr>
              <w:t>樊田村村部周边</w:t>
            </w:r>
          </w:p>
        </w:tc>
        <w:tc>
          <w:tcPr>
            <w:tcW w:w="347" w:type="pct"/>
            <w:vAlign w:val="center"/>
          </w:tcPr>
          <w:p w14:paraId="50E1CEA7">
            <w:pPr>
              <w:pStyle w:val="31"/>
              <w:bidi w:val="0"/>
              <w:jc w:val="center"/>
              <w:rPr>
                <w:rFonts w:hint="eastAsia"/>
              </w:rPr>
            </w:pPr>
            <w:r>
              <w:rPr>
                <w:rFonts w:hint="default"/>
                <w:lang w:val="en-US" w:eastAsia="zh-CN"/>
              </w:rPr>
              <w:t>-1625</w:t>
            </w:r>
          </w:p>
        </w:tc>
        <w:tc>
          <w:tcPr>
            <w:tcW w:w="347" w:type="pct"/>
            <w:vAlign w:val="center"/>
          </w:tcPr>
          <w:p w14:paraId="7BEF5928">
            <w:pPr>
              <w:pStyle w:val="31"/>
              <w:bidi w:val="0"/>
              <w:jc w:val="center"/>
              <w:rPr>
                <w:rFonts w:hint="eastAsia"/>
              </w:rPr>
            </w:pPr>
            <w:r>
              <w:rPr>
                <w:rFonts w:hint="default"/>
                <w:lang w:val="en-US" w:eastAsia="zh-CN"/>
              </w:rPr>
              <w:t>356</w:t>
            </w:r>
          </w:p>
        </w:tc>
        <w:tc>
          <w:tcPr>
            <w:tcW w:w="302" w:type="pct"/>
            <w:vAlign w:val="center"/>
          </w:tcPr>
          <w:p w14:paraId="6966D262">
            <w:pPr>
              <w:pStyle w:val="31"/>
              <w:bidi w:val="0"/>
              <w:ind w:firstLine="0" w:firstLineChars="0"/>
              <w:jc w:val="center"/>
              <w:rPr>
                <w:rFonts w:hint="eastAsia"/>
              </w:rPr>
            </w:pPr>
            <w:r>
              <w:rPr>
                <w:rFonts w:hint="eastAsia"/>
                <w:lang w:val="en-US" w:eastAsia="zh-CN"/>
              </w:rPr>
              <w:t>居民</w:t>
            </w:r>
          </w:p>
        </w:tc>
        <w:tc>
          <w:tcPr>
            <w:tcW w:w="1018" w:type="pct"/>
            <w:vAlign w:val="center"/>
          </w:tcPr>
          <w:p w14:paraId="05582EE6">
            <w:pPr>
              <w:pStyle w:val="31"/>
              <w:bidi w:val="0"/>
              <w:jc w:val="center"/>
              <w:rPr>
                <w:rFonts w:hint="eastAsia"/>
              </w:rPr>
            </w:pPr>
            <w:r>
              <w:rPr>
                <w:rFonts w:hint="default"/>
                <w:lang w:val="en-US" w:eastAsia="zh-CN"/>
              </w:rPr>
              <w:t>约35户，123人</w:t>
            </w:r>
          </w:p>
        </w:tc>
        <w:tc>
          <w:tcPr>
            <w:tcW w:w="439" w:type="pct"/>
            <w:vAlign w:val="center"/>
          </w:tcPr>
          <w:p w14:paraId="49F68794">
            <w:pPr>
              <w:pStyle w:val="31"/>
              <w:bidi w:val="0"/>
              <w:ind w:firstLine="0" w:firstLineChars="0"/>
              <w:jc w:val="center"/>
              <w:rPr>
                <w:rFonts w:hint="eastAsia"/>
              </w:rPr>
            </w:pPr>
            <w:r>
              <w:rPr>
                <w:rFonts w:hint="eastAsia"/>
                <w:lang w:val="en-US" w:eastAsia="zh-CN"/>
              </w:rPr>
              <w:t>2类</w:t>
            </w:r>
          </w:p>
        </w:tc>
        <w:tc>
          <w:tcPr>
            <w:tcW w:w="302" w:type="pct"/>
            <w:vAlign w:val="center"/>
          </w:tcPr>
          <w:p w14:paraId="34DAEC70">
            <w:pPr>
              <w:pStyle w:val="31"/>
              <w:bidi w:val="0"/>
              <w:jc w:val="center"/>
              <w:rPr>
                <w:rFonts w:hint="eastAsia"/>
              </w:rPr>
            </w:pPr>
            <w:r>
              <w:rPr>
                <w:rFonts w:hint="default"/>
                <w:lang w:val="en-US" w:eastAsia="zh-CN"/>
              </w:rPr>
              <w:t>NW</w:t>
            </w:r>
          </w:p>
        </w:tc>
        <w:tc>
          <w:tcPr>
            <w:tcW w:w="574" w:type="pct"/>
            <w:vAlign w:val="center"/>
          </w:tcPr>
          <w:p w14:paraId="30BB8E58">
            <w:pPr>
              <w:pStyle w:val="31"/>
              <w:bidi w:val="0"/>
              <w:jc w:val="center"/>
              <w:rPr>
                <w:rFonts w:hint="eastAsia"/>
              </w:rPr>
            </w:pPr>
            <w:r>
              <w:rPr>
                <w:rFonts w:hint="default"/>
                <w:lang w:val="en-US" w:eastAsia="zh-CN"/>
              </w:rPr>
              <w:t>1560</w:t>
            </w:r>
          </w:p>
        </w:tc>
      </w:tr>
      <w:tr w14:paraId="44C3A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4C308B8">
            <w:pPr>
              <w:pStyle w:val="31"/>
              <w:bidi w:val="0"/>
              <w:jc w:val="center"/>
              <w:rPr>
                <w:rFonts w:hint="default"/>
                <w:lang w:val="en-US" w:eastAsia="zh-CN"/>
              </w:rPr>
            </w:pPr>
            <w:r>
              <w:rPr>
                <w:rFonts w:hint="default"/>
                <w:lang w:val="en-US" w:eastAsia="zh-CN"/>
              </w:rPr>
              <w:t>湘潭县茶恩寺镇</w:t>
            </w:r>
          </w:p>
          <w:p w14:paraId="68162AD2">
            <w:pPr>
              <w:pStyle w:val="31"/>
              <w:bidi w:val="0"/>
              <w:jc w:val="center"/>
              <w:rPr>
                <w:rFonts w:hint="eastAsia"/>
              </w:rPr>
            </w:pPr>
            <w:r>
              <w:rPr>
                <w:rFonts w:hint="default"/>
                <w:lang w:val="en-US" w:eastAsia="zh-CN"/>
              </w:rPr>
              <w:t>樊田村樊田学校</w:t>
            </w:r>
          </w:p>
        </w:tc>
        <w:tc>
          <w:tcPr>
            <w:tcW w:w="347" w:type="pct"/>
            <w:vAlign w:val="center"/>
          </w:tcPr>
          <w:p w14:paraId="13EF91C2">
            <w:pPr>
              <w:pStyle w:val="31"/>
              <w:bidi w:val="0"/>
              <w:jc w:val="center"/>
              <w:rPr>
                <w:rFonts w:hint="eastAsia"/>
              </w:rPr>
            </w:pPr>
            <w:r>
              <w:rPr>
                <w:rFonts w:hint="default"/>
                <w:lang w:val="en-US" w:eastAsia="zh-CN"/>
              </w:rPr>
              <w:t>-1672</w:t>
            </w:r>
          </w:p>
        </w:tc>
        <w:tc>
          <w:tcPr>
            <w:tcW w:w="347" w:type="pct"/>
            <w:vAlign w:val="center"/>
          </w:tcPr>
          <w:p w14:paraId="09AC3621">
            <w:pPr>
              <w:pStyle w:val="31"/>
              <w:bidi w:val="0"/>
              <w:jc w:val="center"/>
              <w:rPr>
                <w:rFonts w:hint="eastAsia"/>
              </w:rPr>
            </w:pPr>
            <w:r>
              <w:rPr>
                <w:rFonts w:hint="default"/>
                <w:lang w:val="en-US" w:eastAsia="zh-CN"/>
              </w:rPr>
              <w:t>324</w:t>
            </w:r>
          </w:p>
        </w:tc>
        <w:tc>
          <w:tcPr>
            <w:tcW w:w="302" w:type="pct"/>
            <w:vAlign w:val="center"/>
          </w:tcPr>
          <w:p w14:paraId="0EF64AD5">
            <w:pPr>
              <w:pStyle w:val="31"/>
              <w:bidi w:val="0"/>
              <w:ind w:firstLine="0" w:firstLineChars="0"/>
              <w:jc w:val="center"/>
              <w:rPr>
                <w:rFonts w:hint="eastAsia"/>
              </w:rPr>
            </w:pPr>
            <w:r>
              <w:rPr>
                <w:rFonts w:hint="eastAsia"/>
                <w:lang w:val="en-US" w:eastAsia="zh-CN"/>
              </w:rPr>
              <w:t>学校</w:t>
            </w:r>
          </w:p>
        </w:tc>
        <w:tc>
          <w:tcPr>
            <w:tcW w:w="1018" w:type="pct"/>
            <w:vAlign w:val="center"/>
          </w:tcPr>
          <w:p w14:paraId="2C413119">
            <w:pPr>
              <w:pStyle w:val="31"/>
              <w:bidi w:val="0"/>
              <w:jc w:val="center"/>
              <w:rPr>
                <w:rFonts w:hint="default"/>
                <w:lang w:val="en-US"/>
              </w:rPr>
            </w:pPr>
            <w:r>
              <w:rPr>
                <w:rFonts w:hint="eastAsia"/>
                <w:lang w:val="en-US" w:eastAsia="zh-CN"/>
              </w:rPr>
              <w:t>约200人</w:t>
            </w:r>
          </w:p>
        </w:tc>
        <w:tc>
          <w:tcPr>
            <w:tcW w:w="439" w:type="pct"/>
            <w:vAlign w:val="center"/>
          </w:tcPr>
          <w:p w14:paraId="71419790">
            <w:pPr>
              <w:pStyle w:val="31"/>
              <w:bidi w:val="0"/>
              <w:ind w:firstLine="0" w:firstLineChars="0"/>
              <w:jc w:val="center"/>
              <w:rPr>
                <w:rFonts w:hint="eastAsia"/>
              </w:rPr>
            </w:pPr>
            <w:r>
              <w:rPr>
                <w:rFonts w:hint="eastAsia"/>
                <w:lang w:val="en-US" w:eastAsia="zh-CN"/>
              </w:rPr>
              <w:t>2类</w:t>
            </w:r>
          </w:p>
        </w:tc>
        <w:tc>
          <w:tcPr>
            <w:tcW w:w="302" w:type="pct"/>
            <w:vAlign w:val="center"/>
          </w:tcPr>
          <w:p w14:paraId="693B70AD">
            <w:pPr>
              <w:pStyle w:val="31"/>
              <w:bidi w:val="0"/>
              <w:jc w:val="center"/>
              <w:rPr>
                <w:rFonts w:hint="eastAsia"/>
              </w:rPr>
            </w:pPr>
            <w:r>
              <w:rPr>
                <w:rFonts w:hint="default"/>
                <w:lang w:val="en-US" w:eastAsia="zh-CN"/>
              </w:rPr>
              <w:t>NW</w:t>
            </w:r>
          </w:p>
        </w:tc>
        <w:tc>
          <w:tcPr>
            <w:tcW w:w="574" w:type="pct"/>
            <w:vAlign w:val="center"/>
          </w:tcPr>
          <w:p w14:paraId="0D13F3B4">
            <w:pPr>
              <w:pStyle w:val="31"/>
              <w:bidi w:val="0"/>
              <w:jc w:val="center"/>
              <w:rPr>
                <w:rFonts w:hint="eastAsia"/>
              </w:rPr>
            </w:pPr>
            <w:r>
              <w:rPr>
                <w:rFonts w:hint="default"/>
                <w:lang w:val="en-US" w:eastAsia="zh-CN"/>
              </w:rPr>
              <w:t>1600</w:t>
            </w:r>
          </w:p>
        </w:tc>
      </w:tr>
      <w:tr w14:paraId="656EA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0F351E4E">
            <w:pPr>
              <w:pStyle w:val="31"/>
              <w:bidi w:val="0"/>
              <w:jc w:val="center"/>
              <w:rPr>
                <w:rFonts w:hint="default"/>
                <w:lang w:val="en-US" w:eastAsia="zh-CN"/>
              </w:rPr>
            </w:pPr>
            <w:r>
              <w:rPr>
                <w:rFonts w:hint="default"/>
                <w:lang w:val="en-US" w:eastAsia="zh-CN"/>
              </w:rPr>
              <w:t>湘潭县茶恩寺镇</w:t>
            </w:r>
          </w:p>
          <w:p w14:paraId="2C8B77C5">
            <w:pPr>
              <w:pStyle w:val="31"/>
              <w:bidi w:val="0"/>
              <w:jc w:val="center"/>
              <w:rPr>
                <w:rFonts w:hint="eastAsia"/>
              </w:rPr>
            </w:pPr>
            <w:r>
              <w:rPr>
                <w:rFonts w:hint="default"/>
                <w:lang w:val="en-US" w:eastAsia="zh-CN"/>
              </w:rPr>
              <w:t>樊田村樊田幼儿园</w:t>
            </w:r>
          </w:p>
        </w:tc>
        <w:tc>
          <w:tcPr>
            <w:tcW w:w="347" w:type="pct"/>
            <w:vAlign w:val="center"/>
          </w:tcPr>
          <w:p w14:paraId="326C1F0F">
            <w:pPr>
              <w:pStyle w:val="31"/>
              <w:bidi w:val="0"/>
              <w:jc w:val="center"/>
              <w:rPr>
                <w:rFonts w:hint="eastAsia"/>
              </w:rPr>
            </w:pPr>
            <w:r>
              <w:rPr>
                <w:rFonts w:hint="default"/>
                <w:lang w:val="en-US" w:eastAsia="zh-CN"/>
              </w:rPr>
              <w:t>-1966</w:t>
            </w:r>
          </w:p>
        </w:tc>
        <w:tc>
          <w:tcPr>
            <w:tcW w:w="347" w:type="pct"/>
            <w:vAlign w:val="center"/>
          </w:tcPr>
          <w:p w14:paraId="63E56699">
            <w:pPr>
              <w:pStyle w:val="31"/>
              <w:bidi w:val="0"/>
              <w:jc w:val="center"/>
              <w:rPr>
                <w:rFonts w:hint="eastAsia"/>
              </w:rPr>
            </w:pPr>
            <w:r>
              <w:rPr>
                <w:rFonts w:hint="default"/>
                <w:lang w:val="en-US" w:eastAsia="zh-CN"/>
              </w:rPr>
              <w:t>389</w:t>
            </w:r>
          </w:p>
        </w:tc>
        <w:tc>
          <w:tcPr>
            <w:tcW w:w="302" w:type="pct"/>
            <w:vAlign w:val="center"/>
          </w:tcPr>
          <w:p w14:paraId="2DF48290">
            <w:pPr>
              <w:pStyle w:val="31"/>
              <w:bidi w:val="0"/>
              <w:ind w:firstLine="0" w:firstLineChars="0"/>
              <w:jc w:val="center"/>
              <w:rPr>
                <w:rFonts w:hint="eastAsia"/>
              </w:rPr>
            </w:pPr>
            <w:r>
              <w:rPr>
                <w:rFonts w:hint="eastAsia"/>
                <w:lang w:val="en-US" w:eastAsia="zh-CN"/>
              </w:rPr>
              <w:t>学校</w:t>
            </w:r>
          </w:p>
        </w:tc>
        <w:tc>
          <w:tcPr>
            <w:tcW w:w="1018" w:type="pct"/>
            <w:vAlign w:val="center"/>
          </w:tcPr>
          <w:p w14:paraId="70845FC0">
            <w:pPr>
              <w:pStyle w:val="31"/>
              <w:bidi w:val="0"/>
              <w:jc w:val="center"/>
              <w:rPr>
                <w:rFonts w:hint="default"/>
                <w:lang w:val="en-US"/>
              </w:rPr>
            </w:pPr>
            <w:r>
              <w:rPr>
                <w:rFonts w:hint="eastAsia"/>
                <w:lang w:val="en-US" w:eastAsia="zh-CN"/>
              </w:rPr>
              <w:t>约50人</w:t>
            </w:r>
          </w:p>
        </w:tc>
        <w:tc>
          <w:tcPr>
            <w:tcW w:w="439" w:type="pct"/>
            <w:vAlign w:val="center"/>
          </w:tcPr>
          <w:p w14:paraId="6ED8B37D">
            <w:pPr>
              <w:pStyle w:val="31"/>
              <w:bidi w:val="0"/>
              <w:ind w:firstLine="0" w:firstLineChars="0"/>
              <w:jc w:val="center"/>
              <w:rPr>
                <w:rFonts w:hint="eastAsia"/>
              </w:rPr>
            </w:pPr>
            <w:r>
              <w:rPr>
                <w:rFonts w:hint="eastAsia"/>
                <w:lang w:val="en-US" w:eastAsia="zh-CN"/>
              </w:rPr>
              <w:t>2类</w:t>
            </w:r>
          </w:p>
        </w:tc>
        <w:tc>
          <w:tcPr>
            <w:tcW w:w="302" w:type="pct"/>
            <w:vAlign w:val="center"/>
          </w:tcPr>
          <w:p w14:paraId="63A68600">
            <w:pPr>
              <w:pStyle w:val="31"/>
              <w:bidi w:val="0"/>
              <w:jc w:val="center"/>
              <w:rPr>
                <w:rFonts w:hint="eastAsia"/>
              </w:rPr>
            </w:pPr>
            <w:r>
              <w:rPr>
                <w:rFonts w:hint="default"/>
                <w:lang w:val="en-US" w:eastAsia="zh-CN"/>
              </w:rPr>
              <w:t>NW</w:t>
            </w:r>
          </w:p>
        </w:tc>
        <w:tc>
          <w:tcPr>
            <w:tcW w:w="574" w:type="pct"/>
            <w:vAlign w:val="center"/>
          </w:tcPr>
          <w:p w14:paraId="3F9A290E">
            <w:pPr>
              <w:pStyle w:val="31"/>
              <w:bidi w:val="0"/>
              <w:jc w:val="center"/>
              <w:rPr>
                <w:rFonts w:hint="eastAsia"/>
              </w:rPr>
            </w:pPr>
            <w:r>
              <w:rPr>
                <w:rFonts w:hint="default"/>
                <w:lang w:val="en-US" w:eastAsia="zh-CN"/>
              </w:rPr>
              <w:t>1900</w:t>
            </w:r>
          </w:p>
        </w:tc>
      </w:tr>
      <w:tr w14:paraId="2E87E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7D75F592">
            <w:pPr>
              <w:pStyle w:val="31"/>
              <w:bidi w:val="0"/>
              <w:jc w:val="center"/>
              <w:rPr>
                <w:rFonts w:hint="default"/>
                <w:lang w:val="en-US" w:eastAsia="zh-CN"/>
              </w:rPr>
            </w:pPr>
            <w:r>
              <w:rPr>
                <w:rFonts w:hint="default"/>
                <w:lang w:val="en-US" w:eastAsia="zh-CN"/>
              </w:rPr>
              <w:t>湘潭县茶恩寺镇</w:t>
            </w:r>
          </w:p>
          <w:p w14:paraId="29F9BA18">
            <w:pPr>
              <w:pStyle w:val="31"/>
              <w:bidi w:val="0"/>
              <w:jc w:val="center"/>
              <w:rPr>
                <w:rFonts w:hint="eastAsia"/>
              </w:rPr>
            </w:pPr>
            <w:r>
              <w:rPr>
                <w:rFonts w:hint="default"/>
                <w:lang w:val="en-US" w:eastAsia="zh-CN"/>
              </w:rPr>
              <w:t>樊田村侯家衖子</w:t>
            </w:r>
          </w:p>
        </w:tc>
        <w:tc>
          <w:tcPr>
            <w:tcW w:w="347" w:type="pct"/>
            <w:vAlign w:val="center"/>
          </w:tcPr>
          <w:p w14:paraId="5DCC3DD5">
            <w:pPr>
              <w:pStyle w:val="31"/>
              <w:bidi w:val="0"/>
              <w:jc w:val="center"/>
              <w:rPr>
                <w:rFonts w:hint="eastAsia"/>
              </w:rPr>
            </w:pPr>
            <w:r>
              <w:rPr>
                <w:rFonts w:hint="default"/>
                <w:lang w:val="en-US" w:eastAsia="zh-CN"/>
              </w:rPr>
              <w:t>-2491</w:t>
            </w:r>
          </w:p>
        </w:tc>
        <w:tc>
          <w:tcPr>
            <w:tcW w:w="347" w:type="pct"/>
            <w:vAlign w:val="center"/>
          </w:tcPr>
          <w:p w14:paraId="70A76158">
            <w:pPr>
              <w:pStyle w:val="31"/>
              <w:bidi w:val="0"/>
              <w:jc w:val="center"/>
              <w:rPr>
                <w:rFonts w:hint="eastAsia"/>
              </w:rPr>
            </w:pPr>
            <w:r>
              <w:rPr>
                <w:rFonts w:hint="default"/>
                <w:lang w:val="en-US" w:eastAsia="zh-CN"/>
              </w:rPr>
              <w:t>637</w:t>
            </w:r>
          </w:p>
        </w:tc>
        <w:tc>
          <w:tcPr>
            <w:tcW w:w="302" w:type="pct"/>
            <w:vAlign w:val="center"/>
          </w:tcPr>
          <w:p w14:paraId="5FE84F8B">
            <w:pPr>
              <w:pStyle w:val="31"/>
              <w:bidi w:val="0"/>
              <w:ind w:firstLine="0" w:firstLineChars="0"/>
              <w:jc w:val="center"/>
              <w:rPr>
                <w:rFonts w:hint="eastAsia"/>
              </w:rPr>
            </w:pPr>
            <w:r>
              <w:rPr>
                <w:rFonts w:hint="eastAsia"/>
                <w:lang w:val="en-US" w:eastAsia="zh-CN"/>
              </w:rPr>
              <w:t>居民</w:t>
            </w:r>
          </w:p>
        </w:tc>
        <w:tc>
          <w:tcPr>
            <w:tcW w:w="1018" w:type="pct"/>
            <w:vAlign w:val="center"/>
          </w:tcPr>
          <w:p w14:paraId="060D5BC9">
            <w:pPr>
              <w:pStyle w:val="31"/>
              <w:bidi w:val="0"/>
              <w:jc w:val="center"/>
              <w:rPr>
                <w:rFonts w:hint="eastAsia"/>
              </w:rPr>
            </w:pPr>
            <w:r>
              <w:rPr>
                <w:rFonts w:hint="default"/>
                <w:lang w:val="en-US" w:eastAsia="zh-CN"/>
              </w:rPr>
              <w:t>约25户，88人</w:t>
            </w:r>
          </w:p>
        </w:tc>
        <w:tc>
          <w:tcPr>
            <w:tcW w:w="439" w:type="pct"/>
            <w:vAlign w:val="center"/>
          </w:tcPr>
          <w:p w14:paraId="33EAFB3B">
            <w:pPr>
              <w:pStyle w:val="31"/>
              <w:bidi w:val="0"/>
              <w:ind w:firstLine="0" w:firstLineChars="0"/>
              <w:jc w:val="center"/>
              <w:rPr>
                <w:rFonts w:hint="eastAsia"/>
              </w:rPr>
            </w:pPr>
            <w:r>
              <w:rPr>
                <w:rFonts w:hint="eastAsia"/>
                <w:lang w:val="en-US" w:eastAsia="zh-CN"/>
              </w:rPr>
              <w:t>2类</w:t>
            </w:r>
          </w:p>
        </w:tc>
        <w:tc>
          <w:tcPr>
            <w:tcW w:w="302" w:type="pct"/>
            <w:vAlign w:val="center"/>
          </w:tcPr>
          <w:p w14:paraId="50931DDE">
            <w:pPr>
              <w:pStyle w:val="31"/>
              <w:bidi w:val="0"/>
              <w:jc w:val="center"/>
              <w:rPr>
                <w:rFonts w:hint="eastAsia"/>
              </w:rPr>
            </w:pPr>
            <w:r>
              <w:rPr>
                <w:rFonts w:hint="default"/>
                <w:lang w:val="en-US" w:eastAsia="zh-CN"/>
              </w:rPr>
              <w:t>NW</w:t>
            </w:r>
          </w:p>
        </w:tc>
        <w:tc>
          <w:tcPr>
            <w:tcW w:w="574" w:type="pct"/>
            <w:vAlign w:val="center"/>
          </w:tcPr>
          <w:p w14:paraId="3110926E">
            <w:pPr>
              <w:pStyle w:val="31"/>
              <w:bidi w:val="0"/>
              <w:jc w:val="center"/>
              <w:rPr>
                <w:rFonts w:hint="eastAsia"/>
              </w:rPr>
            </w:pPr>
            <w:r>
              <w:rPr>
                <w:rFonts w:hint="default"/>
                <w:lang w:val="en-US" w:eastAsia="zh-CN"/>
              </w:rPr>
              <w:t>2470</w:t>
            </w:r>
          </w:p>
        </w:tc>
      </w:tr>
      <w:tr w14:paraId="3063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6C6A372C">
            <w:pPr>
              <w:pStyle w:val="31"/>
              <w:bidi w:val="0"/>
              <w:jc w:val="center"/>
              <w:rPr>
                <w:rFonts w:hint="default"/>
                <w:lang w:val="en-US" w:eastAsia="zh-CN"/>
              </w:rPr>
            </w:pPr>
            <w:r>
              <w:rPr>
                <w:rFonts w:hint="default"/>
                <w:lang w:val="en-US" w:eastAsia="zh-CN"/>
              </w:rPr>
              <w:t>湘潭县茶恩寺镇</w:t>
            </w:r>
          </w:p>
          <w:p w14:paraId="76CB2203">
            <w:pPr>
              <w:pStyle w:val="31"/>
              <w:bidi w:val="0"/>
              <w:jc w:val="center"/>
              <w:rPr>
                <w:rFonts w:hint="eastAsia"/>
              </w:rPr>
            </w:pPr>
            <w:r>
              <w:rPr>
                <w:rFonts w:hint="default"/>
                <w:lang w:val="en-US" w:eastAsia="zh-CN"/>
              </w:rPr>
              <w:t>樊田村新田冲</w:t>
            </w:r>
          </w:p>
        </w:tc>
        <w:tc>
          <w:tcPr>
            <w:tcW w:w="347" w:type="pct"/>
            <w:vAlign w:val="center"/>
          </w:tcPr>
          <w:p w14:paraId="7DC6F0E5">
            <w:pPr>
              <w:pStyle w:val="31"/>
              <w:bidi w:val="0"/>
              <w:jc w:val="center"/>
              <w:rPr>
                <w:rFonts w:hint="eastAsia"/>
              </w:rPr>
            </w:pPr>
            <w:r>
              <w:rPr>
                <w:rFonts w:hint="default"/>
                <w:lang w:val="en-US" w:eastAsia="zh-CN"/>
              </w:rPr>
              <w:t>-1831</w:t>
            </w:r>
          </w:p>
        </w:tc>
        <w:tc>
          <w:tcPr>
            <w:tcW w:w="347" w:type="pct"/>
            <w:vAlign w:val="center"/>
          </w:tcPr>
          <w:p w14:paraId="562BEA48">
            <w:pPr>
              <w:pStyle w:val="31"/>
              <w:bidi w:val="0"/>
              <w:jc w:val="center"/>
              <w:rPr>
                <w:rFonts w:hint="eastAsia"/>
              </w:rPr>
            </w:pPr>
            <w:r>
              <w:rPr>
                <w:rFonts w:hint="default"/>
                <w:lang w:val="en-US" w:eastAsia="zh-CN"/>
              </w:rPr>
              <w:t>1187</w:t>
            </w:r>
          </w:p>
        </w:tc>
        <w:tc>
          <w:tcPr>
            <w:tcW w:w="302" w:type="pct"/>
            <w:vAlign w:val="center"/>
          </w:tcPr>
          <w:p w14:paraId="2556E2E9">
            <w:pPr>
              <w:pStyle w:val="31"/>
              <w:bidi w:val="0"/>
              <w:ind w:firstLine="0" w:firstLineChars="0"/>
              <w:jc w:val="center"/>
              <w:rPr>
                <w:rFonts w:hint="eastAsia"/>
              </w:rPr>
            </w:pPr>
            <w:r>
              <w:rPr>
                <w:rFonts w:hint="eastAsia"/>
                <w:lang w:val="en-US" w:eastAsia="zh-CN"/>
              </w:rPr>
              <w:t>居民</w:t>
            </w:r>
          </w:p>
        </w:tc>
        <w:tc>
          <w:tcPr>
            <w:tcW w:w="1018" w:type="pct"/>
            <w:vAlign w:val="center"/>
          </w:tcPr>
          <w:p w14:paraId="6043E7BD">
            <w:pPr>
              <w:pStyle w:val="31"/>
              <w:bidi w:val="0"/>
              <w:jc w:val="center"/>
              <w:rPr>
                <w:rFonts w:hint="eastAsia"/>
              </w:rPr>
            </w:pPr>
            <w:r>
              <w:rPr>
                <w:rFonts w:hint="default"/>
                <w:lang w:val="en-US" w:eastAsia="zh-CN"/>
              </w:rPr>
              <w:t>约10户，35人</w:t>
            </w:r>
          </w:p>
        </w:tc>
        <w:tc>
          <w:tcPr>
            <w:tcW w:w="439" w:type="pct"/>
            <w:vAlign w:val="center"/>
          </w:tcPr>
          <w:p w14:paraId="40A143AC">
            <w:pPr>
              <w:pStyle w:val="31"/>
              <w:bidi w:val="0"/>
              <w:ind w:firstLine="0" w:firstLineChars="0"/>
              <w:jc w:val="center"/>
              <w:rPr>
                <w:rFonts w:hint="eastAsia"/>
              </w:rPr>
            </w:pPr>
            <w:r>
              <w:rPr>
                <w:rFonts w:hint="eastAsia"/>
                <w:lang w:val="en-US" w:eastAsia="zh-CN"/>
              </w:rPr>
              <w:t>2类</w:t>
            </w:r>
          </w:p>
        </w:tc>
        <w:tc>
          <w:tcPr>
            <w:tcW w:w="302" w:type="pct"/>
            <w:vAlign w:val="center"/>
          </w:tcPr>
          <w:p w14:paraId="4C35E8FC">
            <w:pPr>
              <w:pStyle w:val="31"/>
              <w:bidi w:val="0"/>
              <w:jc w:val="center"/>
              <w:rPr>
                <w:rFonts w:hint="eastAsia"/>
              </w:rPr>
            </w:pPr>
            <w:r>
              <w:rPr>
                <w:rFonts w:hint="default"/>
                <w:lang w:val="en-US" w:eastAsia="zh-CN"/>
              </w:rPr>
              <w:t>NW</w:t>
            </w:r>
          </w:p>
        </w:tc>
        <w:tc>
          <w:tcPr>
            <w:tcW w:w="574" w:type="pct"/>
            <w:vAlign w:val="center"/>
          </w:tcPr>
          <w:p w14:paraId="7AD2AA24">
            <w:pPr>
              <w:pStyle w:val="31"/>
              <w:bidi w:val="0"/>
              <w:jc w:val="center"/>
              <w:rPr>
                <w:rFonts w:hint="eastAsia"/>
              </w:rPr>
            </w:pPr>
            <w:r>
              <w:rPr>
                <w:rFonts w:hint="default"/>
                <w:lang w:val="en-US" w:eastAsia="zh-CN"/>
              </w:rPr>
              <w:t>2080</w:t>
            </w:r>
          </w:p>
        </w:tc>
      </w:tr>
      <w:tr w14:paraId="5A79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BBE874C">
            <w:pPr>
              <w:pStyle w:val="31"/>
              <w:bidi w:val="0"/>
              <w:jc w:val="center"/>
              <w:rPr>
                <w:rFonts w:hint="default"/>
                <w:lang w:val="en-US" w:eastAsia="zh-CN"/>
              </w:rPr>
            </w:pPr>
            <w:r>
              <w:rPr>
                <w:rFonts w:hint="default"/>
                <w:lang w:val="en-US" w:eastAsia="zh-CN"/>
              </w:rPr>
              <w:t>湘潭县茶恩寺镇</w:t>
            </w:r>
          </w:p>
          <w:p w14:paraId="5BB29189">
            <w:pPr>
              <w:pStyle w:val="31"/>
              <w:bidi w:val="0"/>
              <w:jc w:val="center"/>
              <w:rPr>
                <w:rFonts w:hint="eastAsia"/>
              </w:rPr>
            </w:pPr>
            <w:r>
              <w:rPr>
                <w:rFonts w:hint="default"/>
                <w:lang w:val="en-US" w:eastAsia="zh-CN"/>
              </w:rPr>
              <w:t>樊田村王家湾</w:t>
            </w:r>
          </w:p>
        </w:tc>
        <w:tc>
          <w:tcPr>
            <w:tcW w:w="347" w:type="pct"/>
            <w:vAlign w:val="center"/>
          </w:tcPr>
          <w:p w14:paraId="3CE2AE16">
            <w:pPr>
              <w:pStyle w:val="31"/>
              <w:bidi w:val="0"/>
              <w:jc w:val="center"/>
              <w:rPr>
                <w:rFonts w:hint="eastAsia"/>
              </w:rPr>
            </w:pPr>
            <w:r>
              <w:rPr>
                <w:rFonts w:hint="default"/>
                <w:lang w:val="en-US" w:eastAsia="zh-CN"/>
              </w:rPr>
              <w:t>-893</w:t>
            </w:r>
          </w:p>
        </w:tc>
        <w:tc>
          <w:tcPr>
            <w:tcW w:w="347" w:type="pct"/>
            <w:vAlign w:val="center"/>
          </w:tcPr>
          <w:p w14:paraId="16B46055">
            <w:pPr>
              <w:pStyle w:val="31"/>
              <w:bidi w:val="0"/>
              <w:jc w:val="center"/>
              <w:rPr>
                <w:rFonts w:hint="eastAsia"/>
              </w:rPr>
            </w:pPr>
            <w:r>
              <w:rPr>
                <w:rFonts w:hint="default"/>
                <w:lang w:val="en-US" w:eastAsia="zh-CN"/>
              </w:rPr>
              <w:t>1060</w:t>
            </w:r>
          </w:p>
        </w:tc>
        <w:tc>
          <w:tcPr>
            <w:tcW w:w="302" w:type="pct"/>
            <w:vAlign w:val="center"/>
          </w:tcPr>
          <w:p w14:paraId="616C4FDA">
            <w:pPr>
              <w:pStyle w:val="31"/>
              <w:bidi w:val="0"/>
              <w:ind w:firstLine="0" w:firstLineChars="0"/>
              <w:jc w:val="center"/>
              <w:rPr>
                <w:rFonts w:hint="eastAsia"/>
              </w:rPr>
            </w:pPr>
            <w:r>
              <w:rPr>
                <w:rFonts w:hint="eastAsia"/>
                <w:lang w:val="en-US" w:eastAsia="zh-CN"/>
              </w:rPr>
              <w:t>居民</w:t>
            </w:r>
          </w:p>
        </w:tc>
        <w:tc>
          <w:tcPr>
            <w:tcW w:w="1018" w:type="pct"/>
            <w:vAlign w:val="center"/>
          </w:tcPr>
          <w:p w14:paraId="54519319">
            <w:pPr>
              <w:pStyle w:val="31"/>
              <w:bidi w:val="0"/>
              <w:jc w:val="center"/>
              <w:rPr>
                <w:rFonts w:hint="eastAsia"/>
              </w:rPr>
            </w:pPr>
            <w:r>
              <w:rPr>
                <w:rFonts w:hint="default"/>
                <w:lang w:val="en-US" w:eastAsia="zh-CN"/>
              </w:rPr>
              <w:t>约10户，35人</w:t>
            </w:r>
          </w:p>
        </w:tc>
        <w:tc>
          <w:tcPr>
            <w:tcW w:w="439" w:type="pct"/>
            <w:vAlign w:val="center"/>
          </w:tcPr>
          <w:p w14:paraId="32BD6B81">
            <w:pPr>
              <w:pStyle w:val="31"/>
              <w:bidi w:val="0"/>
              <w:ind w:firstLine="0" w:firstLineChars="0"/>
              <w:jc w:val="center"/>
              <w:rPr>
                <w:rFonts w:hint="eastAsia"/>
              </w:rPr>
            </w:pPr>
            <w:r>
              <w:rPr>
                <w:rFonts w:hint="eastAsia"/>
                <w:lang w:val="en-US" w:eastAsia="zh-CN"/>
              </w:rPr>
              <w:t>2类</w:t>
            </w:r>
          </w:p>
        </w:tc>
        <w:tc>
          <w:tcPr>
            <w:tcW w:w="302" w:type="pct"/>
            <w:vAlign w:val="center"/>
          </w:tcPr>
          <w:p w14:paraId="734635C3">
            <w:pPr>
              <w:pStyle w:val="31"/>
              <w:bidi w:val="0"/>
              <w:jc w:val="center"/>
              <w:rPr>
                <w:rFonts w:hint="eastAsia"/>
              </w:rPr>
            </w:pPr>
            <w:r>
              <w:rPr>
                <w:rFonts w:hint="default"/>
                <w:lang w:val="en-US" w:eastAsia="zh-CN"/>
              </w:rPr>
              <w:t>NW</w:t>
            </w:r>
          </w:p>
        </w:tc>
        <w:tc>
          <w:tcPr>
            <w:tcW w:w="574" w:type="pct"/>
            <w:vAlign w:val="center"/>
          </w:tcPr>
          <w:p w14:paraId="0A421BCE">
            <w:pPr>
              <w:pStyle w:val="31"/>
              <w:bidi w:val="0"/>
              <w:jc w:val="center"/>
              <w:rPr>
                <w:rFonts w:hint="eastAsia"/>
              </w:rPr>
            </w:pPr>
            <w:r>
              <w:rPr>
                <w:rFonts w:hint="default"/>
                <w:lang w:val="en-US" w:eastAsia="zh-CN"/>
              </w:rPr>
              <w:t>1290</w:t>
            </w:r>
          </w:p>
        </w:tc>
      </w:tr>
      <w:tr w14:paraId="196B3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51D3342">
            <w:pPr>
              <w:pStyle w:val="31"/>
              <w:bidi w:val="0"/>
              <w:jc w:val="center"/>
              <w:rPr>
                <w:rFonts w:hint="default"/>
                <w:lang w:val="en-US" w:eastAsia="zh-CN"/>
              </w:rPr>
            </w:pPr>
            <w:r>
              <w:rPr>
                <w:rFonts w:hint="default"/>
                <w:lang w:val="en-US" w:eastAsia="zh-CN"/>
              </w:rPr>
              <w:t>湘潭县茶恩寺镇</w:t>
            </w:r>
          </w:p>
          <w:p w14:paraId="7C01A4AB">
            <w:pPr>
              <w:pStyle w:val="31"/>
              <w:bidi w:val="0"/>
              <w:jc w:val="center"/>
              <w:rPr>
                <w:rFonts w:hint="eastAsia"/>
              </w:rPr>
            </w:pPr>
            <w:r>
              <w:rPr>
                <w:rFonts w:hint="default"/>
                <w:lang w:val="en-US" w:eastAsia="zh-CN"/>
              </w:rPr>
              <w:t>樊田村栗子冲</w:t>
            </w:r>
          </w:p>
        </w:tc>
        <w:tc>
          <w:tcPr>
            <w:tcW w:w="347" w:type="pct"/>
            <w:vAlign w:val="center"/>
          </w:tcPr>
          <w:p w14:paraId="320D5690">
            <w:pPr>
              <w:pStyle w:val="31"/>
              <w:bidi w:val="0"/>
              <w:jc w:val="center"/>
              <w:rPr>
                <w:rFonts w:hint="eastAsia"/>
              </w:rPr>
            </w:pPr>
            <w:r>
              <w:rPr>
                <w:rFonts w:hint="default"/>
                <w:lang w:val="en-US" w:eastAsia="zh-CN"/>
              </w:rPr>
              <w:t>-1750</w:t>
            </w:r>
          </w:p>
        </w:tc>
        <w:tc>
          <w:tcPr>
            <w:tcW w:w="347" w:type="pct"/>
            <w:vAlign w:val="center"/>
          </w:tcPr>
          <w:p w14:paraId="630CD9A3">
            <w:pPr>
              <w:pStyle w:val="31"/>
              <w:bidi w:val="0"/>
              <w:jc w:val="center"/>
              <w:rPr>
                <w:rFonts w:hint="eastAsia"/>
              </w:rPr>
            </w:pPr>
            <w:r>
              <w:rPr>
                <w:rFonts w:hint="default"/>
                <w:lang w:val="en-US" w:eastAsia="zh-CN"/>
              </w:rPr>
              <w:t>1587</w:t>
            </w:r>
          </w:p>
        </w:tc>
        <w:tc>
          <w:tcPr>
            <w:tcW w:w="302" w:type="pct"/>
            <w:vAlign w:val="center"/>
          </w:tcPr>
          <w:p w14:paraId="65B0B31B">
            <w:pPr>
              <w:pStyle w:val="31"/>
              <w:bidi w:val="0"/>
              <w:ind w:firstLine="0" w:firstLineChars="0"/>
              <w:jc w:val="center"/>
              <w:rPr>
                <w:rFonts w:hint="eastAsia"/>
              </w:rPr>
            </w:pPr>
            <w:r>
              <w:rPr>
                <w:rFonts w:hint="eastAsia"/>
                <w:lang w:val="en-US" w:eastAsia="zh-CN"/>
              </w:rPr>
              <w:t>居民</w:t>
            </w:r>
          </w:p>
        </w:tc>
        <w:tc>
          <w:tcPr>
            <w:tcW w:w="1018" w:type="pct"/>
            <w:vAlign w:val="center"/>
          </w:tcPr>
          <w:p w14:paraId="73C2D7D1">
            <w:pPr>
              <w:pStyle w:val="31"/>
              <w:bidi w:val="0"/>
              <w:jc w:val="center"/>
              <w:rPr>
                <w:rFonts w:hint="eastAsia"/>
              </w:rPr>
            </w:pPr>
            <w:r>
              <w:rPr>
                <w:rFonts w:hint="default"/>
                <w:lang w:val="en-US" w:eastAsia="zh-CN"/>
              </w:rPr>
              <w:t>约25户，88人</w:t>
            </w:r>
          </w:p>
        </w:tc>
        <w:tc>
          <w:tcPr>
            <w:tcW w:w="439" w:type="pct"/>
            <w:vAlign w:val="center"/>
          </w:tcPr>
          <w:p w14:paraId="3492CA6F">
            <w:pPr>
              <w:pStyle w:val="31"/>
              <w:bidi w:val="0"/>
              <w:ind w:firstLine="0" w:firstLineChars="0"/>
              <w:jc w:val="center"/>
              <w:rPr>
                <w:rFonts w:hint="eastAsia"/>
              </w:rPr>
            </w:pPr>
            <w:r>
              <w:rPr>
                <w:rFonts w:hint="eastAsia"/>
                <w:lang w:val="en-US" w:eastAsia="zh-CN"/>
              </w:rPr>
              <w:t>2类</w:t>
            </w:r>
          </w:p>
        </w:tc>
        <w:tc>
          <w:tcPr>
            <w:tcW w:w="302" w:type="pct"/>
            <w:vAlign w:val="center"/>
          </w:tcPr>
          <w:p w14:paraId="1D0FA6CC">
            <w:pPr>
              <w:pStyle w:val="31"/>
              <w:bidi w:val="0"/>
              <w:jc w:val="center"/>
              <w:rPr>
                <w:rFonts w:hint="eastAsia"/>
              </w:rPr>
            </w:pPr>
            <w:r>
              <w:rPr>
                <w:rFonts w:hint="default"/>
                <w:lang w:val="en-US" w:eastAsia="zh-CN"/>
              </w:rPr>
              <w:t>NW</w:t>
            </w:r>
          </w:p>
        </w:tc>
        <w:tc>
          <w:tcPr>
            <w:tcW w:w="574" w:type="pct"/>
            <w:vAlign w:val="center"/>
          </w:tcPr>
          <w:p w14:paraId="2DFAD3B2">
            <w:pPr>
              <w:pStyle w:val="31"/>
              <w:bidi w:val="0"/>
              <w:jc w:val="center"/>
              <w:rPr>
                <w:rFonts w:hint="eastAsia"/>
              </w:rPr>
            </w:pPr>
            <w:r>
              <w:rPr>
                <w:rFonts w:hint="default"/>
                <w:lang w:val="en-US" w:eastAsia="zh-CN"/>
              </w:rPr>
              <w:t>2260</w:t>
            </w:r>
          </w:p>
        </w:tc>
      </w:tr>
      <w:tr w14:paraId="27AC8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021C512B">
            <w:pPr>
              <w:pStyle w:val="31"/>
              <w:bidi w:val="0"/>
              <w:jc w:val="center"/>
              <w:rPr>
                <w:rFonts w:hint="default"/>
                <w:lang w:val="en-US" w:eastAsia="zh-CN"/>
              </w:rPr>
            </w:pPr>
            <w:r>
              <w:rPr>
                <w:rFonts w:hint="default"/>
                <w:lang w:val="en-US" w:eastAsia="zh-CN"/>
              </w:rPr>
              <w:t>湘潭县茶恩寺镇</w:t>
            </w:r>
          </w:p>
          <w:p w14:paraId="33B3B06F">
            <w:pPr>
              <w:pStyle w:val="31"/>
              <w:bidi w:val="0"/>
              <w:jc w:val="center"/>
              <w:rPr>
                <w:rFonts w:hint="eastAsia"/>
              </w:rPr>
            </w:pPr>
            <w:r>
              <w:rPr>
                <w:rFonts w:hint="default"/>
                <w:lang w:val="en-US" w:eastAsia="zh-CN"/>
              </w:rPr>
              <w:t>双阳村黄花冲</w:t>
            </w:r>
          </w:p>
        </w:tc>
        <w:tc>
          <w:tcPr>
            <w:tcW w:w="347" w:type="pct"/>
            <w:vAlign w:val="center"/>
          </w:tcPr>
          <w:p w14:paraId="6C47385C">
            <w:pPr>
              <w:pStyle w:val="31"/>
              <w:bidi w:val="0"/>
              <w:jc w:val="center"/>
              <w:rPr>
                <w:rFonts w:hint="eastAsia"/>
              </w:rPr>
            </w:pPr>
            <w:r>
              <w:rPr>
                <w:rFonts w:hint="default"/>
                <w:lang w:val="en-US" w:eastAsia="zh-CN"/>
              </w:rPr>
              <w:t>-2235</w:t>
            </w:r>
          </w:p>
        </w:tc>
        <w:tc>
          <w:tcPr>
            <w:tcW w:w="347" w:type="pct"/>
            <w:vAlign w:val="center"/>
          </w:tcPr>
          <w:p w14:paraId="78610A61">
            <w:pPr>
              <w:pStyle w:val="31"/>
              <w:bidi w:val="0"/>
              <w:jc w:val="center"/>
              <w:rPr>
                <w:rFonts w:hint="eastAsia"/>
              </w:rPr>
            </w:pPr>
            <w:r>
              <w:rPr>
                <w:rFonts w:hint="default"/>
                <w:lang w:val="en-US" w:eastAsia="zh-CN"/>
              </w:rPr>
              <w:t>2085</w:t>
            </w:r>
          </w:p>
        </w:tc>
        <w:tc>
          <w:tcPr>
            <w:tcW w:w="302" w:type="pct"/>
            <w:vAlign w:val="center"/>
          </w:tcPr>
          <w:p w14:paraId="12F16D6E">
            <w:pPr>
              <w:pStyle w:val="31"/>
              <w:bidi w:val="0"/>
              <w:ind w:firstLine="0" w:firstLineChars="0"/>
              <w:jc w:val="center"/>
              <w:rPr>
                <w:rFonts w:hint="eastAsia"/>
              </w:rPr>
            </w:pPr>
            <w:r>
              <w:rPr>
                <w:rFonts w:hint="eastAsia"/>
                <w:lang w:val="en-US" w:eastAsia="zh-CN"/>
              </w:rPr>
              <w:t>居民</w:t>
            </w:r>
          </w:p>
        </w:tc>
        <w:tc>
          <w:tcPr>
            <w:tcW w:w="1018" w:type="pct"/>
            <w:vAlign w:val="center"/>
          </w:tcPr>
          <w:p w14:paraId="1EA471A8">
            <w:pPr>
              <w:pStyle w:val="31"/>
              <w:bidi w:val="0"/>
              <w:jc w:val="center"/>
              <w:rPr>
                <w:rFonts w:hint="eastAsia"/>
              </w:rPr>
            </w:pPr>
            <w:r>
              <w:rPr>
                <w:rFonts w:hint="default"/>
                <w:lang w:val="en-US" w:eastAsia="zh-CN"/>
              </w:rPr>
              <w:t>约20户，70人</w:t>
            </w:r>
          </w:p>
        </w:tc>
        <w:tc>
          <w:tcPr>
            <w:tcW w:w="439" w:type="pct"/>
            <w:vAlign w:val="center"/>
          </w:tcPr>
          <w:p w14:paraId="5F9A447F">
            <w:pPr>
              <w:pStyle w:val="31"/>
              <w:bidi w:val="0"/>
              <w:ind w:firstLine="0" w:firstLineChars="0"/>
              <w:jc w:val="center"/>
              <w:rPr>
                <w:rFonts w:hint="eastAsia"/>
              </w:rPr>
            </w:pPr>
            <w:r>
              <w:rPr>
                <w:rFonts w:hint="eastAsia"/>
                <w:lang w:val="en-US" w:eastAsia="zh-CN"/>
              </w:rPr>
              <w:t>2类</w:t>
            </w:r>
          </w:p>
        </w:tc>
        <w:tc>
          <w:tcPr>
            <w:tcW w:w="302" w:type="pct"/>
            <w:vAlign w:val="center"/>
          </w:tcPr>
          <w:p w14:paraId="7F0582AC">
            <w:pPr>
              <w:pStyle w:val="31"/>
              <w:bidi w:val="0"/>
              <w:jc w:val="center"/>
              <w:rPr>
                <w:rFonts w:hint="eastAsia"/>
              </w:rPr>
            </w:pPr>
            <w:r>
              <w:rPr>
                <w:rFonts w:hint="default"/>
                <w:lang w:val="en-US" w:eastAsia="zh-CN"/>
              </w:rPr>
              <w:t>NW</w:t>
            </w:r>
          </w:p>
        </w:tc>
        <w:tc>
          <w:tcPr>
            <w:tcW w:w="574" w:type="pct"/>
            <w:vAlign w:val="center"/>
          </w:tcPr>
          <w:p w14:paraId="157B0335">
            <w:pPr>
              <w:pStyle w:val="31"/>
              <w:bidi w:val="0"/>
              <w:jc w:val="center"/>
              <w:rPr>
                <w:rFonts w:hint="eastAsia"/>
              </w:rPr>
            </w:pPr>
            <w:r>
              <w:rPr>
                <w:rFonts w:hint="default"/>
                <w:lang w:val="en-US" w:eastAsia="zh-CN"/>
              </w:rPr>
              <w:t>2960</w:t>
            </w:r>
          </w:p>
        </w:tc>
      </w:tr>
      <w:tr w14:paraId="7CEE7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31CC123E">
            <w:pPr>
              <w:pStyle w:val="31"/>
              <w:bidi w:val="0"/>
              <w:jc w:val="center"/>
              <w:rPr>
                <w:rFonts w:hint="default"/>
                <w:lang w:val="en-US" w:eastAsia="zh-CN"/>
              </w:rPr>
            </w:pPr>
            <w:r>
              <w:rPr>
                <w:rFonts w:hint="default"/>
                <w:lang w:val="en-US" w:eastAsia="zh-CN"/>
              </w:rPr>
              <w:t>湘潭县茶恩寺镇</w:t>
            </w:r>
          </w:p>
          <w:p w14:paraId="0ABAFFAC">
            <w:pPr>
              <w:pStyle w:val="31"/>
              <w:bidi w:val="0"/>
              <w:jc w:val="center"/>
              <w:rPr>
                <w:rFonts w:hint="eastAsia"/>
              </w:rPr>
            </w:pPr>
            <w:r>
              <w:rPr>
                <w:rFonts w:hint="default"/>
                <w:lang w:val="en-US" w:eastAsia="zh-CN"/>
              </w:rPr>
              <w:t>双阳村衖子口村</w:t>
            </w:r>
          </w:p>
        </w:tc>
        <w:tc>
          <w:tcPr>
            <w:tcW w:w="347" w:type="pct"/>
            <w:vAlign w:val="center"/>
          </w:tcPr>
          <w:p w14:paraId="46550B04">
            <w:pPr>
              <w:pStyle w:val="31"/>
              <w:bidi w:val="0"/>
              <w:jc w:val="center"/>
              <w:rPr>
                <w:rFonts w:hint="eastAsia"/>
              </w:rPr>
            </w:pPr>
            <w:r>
              <w:rPr>
                <w:rFonts w:hint="default"/>
                <w:lang w:val="en-US" w:eastAsia="zh-CN"/>
              </w:rPr>
              <w:t>-1634</w:t>
            </w:r>
          </w:p>
        </w:tc>
        <w:tc>
          <w:tcPr>
            <w:tcW w:w="347" w:type="pct"/>
            <w:vAlign w:val="center"/>
          </w:tcPr>
          <w:p w14:paraId="61E9763A">
            <w:pPr>
              <w:pStyle w:val="31"/>
              <w:bidi w:val="0"/>
              <w:jc w:val="center"/>
              <w:rPr>
                <w:rFonts w:hint="eastAsia"/>
              </w:rPr>
            </w:pPr>
            <w:r>
              <w:rPr>
                <w:rFonts w:hint="default"/>
                <w:lang w:val="en-US" w:eastAsia="zh-CN"/>
              </w:rPr>
              <w:t>2184</w:t>
            </w:r>
          </w:p>
        </w:tc>
        <w:tc>
          <w:tcPr>
            <w:tcW w:w="302" w:type="pct"/>
            <w:vAlign w:val="center"/>
          </w:tcPr>
          <w:p w14:paraId="1C299396">
            <w:pPr>
              <w:pStyle w:val="31"/>
              <w:bidi w:val="0"/>
              <w:ind w:firstLine="0" w:firstLineChars="0"/>
              <w:jc w:val="center"/>
              <w:rPr>
                <w:rFonts w:hint="eastAsia"/>
              </w:rPr>
            </w:pPr>
            <w:r>
              <w:rPr>
                <w:rFonts w:hint="eastAsia"/>
                <w:lang w:val="en-US" w:eastAsia="zh-CN"/>
              </w:rPr>
              <w:t>居民</w:t>
            </w:r>
          </w:p>
        </w:tc>
        <w:tc>
          <w:tcPr>
            <w:tcW w:w="1018" w:type="pct"/>
            <w:vAlign w:val="center"/>
          </w:tcPr>
          <w:p w14:paraId="69FF7069">
            <w:pPr>
              <w:pStyle w:val="31"/>
              <w:bidi w:val="0"/>
              <w:jc w:val="center"/>
              <w:rPr>
                <w:rFonts w:hint="eastAsia"/>
              </w:rPr>
            </w:pPr>
            <w:r>
              <w:rPr>
                <w:rFonts w:hint="default"/>
                <w:lang w:val="en-US" w:eastAsia="zh-CN"/>
              </w:rPr>
              <w:t>约5户，18人</w:t>
            </w:r>
          </w:p>
        </w:tc>
        <w:tc>
          <w:tcPr>
            <w:tcW w:w="439" w:type="pct"/>
            <w:vAlign w:val="center"/>
          </w:tcPr>
          <w:p w14:paraId="2C0C7C99">
            <w:pPr>
              <w:pStyle w:val="31"/>
              <w:bidi w:val="0"/>
              <w:ind w:firstLine="0" w:firstLineChars="0"/>
              <w:jc w:val="center"/>
              <w:rPr>
                <w:rFonts w:hint="eastAsia"/>
              </w:rPr>
            </w:pPr>
            <w:r>
              <w:rPr>
                <w:rFonts w:hint="eastAsia"/>
                <w:lang w:val="en-US" w:eastAsia="zh-CN"/>
              </w:rPr>
              <w:t>2类</w:t>
            </w:r>
          </w:p>
        </w:tc>
        <w:tc>
          <w:tcPr>
            <w:tcW w:w="302" w:type="pct"/>
            <w:vAlign w:val="center"/>
          </w:tcPr>
          <w:p w14:paraId="36E0B3A9">
            <w:pPr>
              <w:pStyle w:val="31"/>
              <w:bidi w:val="0"/>
              <w:jc w:val="center"/>
              <w:rPr>
                <w:rFonts w:hint="eastAsia"/>
              </w:rPr>
            </w:pPr>
            <w:r>
              <w:rPr>
                <w:rFonts w:hint="default"/>
                <w:lang w:val="en-US" w:eastAsia="zh-CN"/>
              </w:rPr>
              <w:t>NW</w:t>
            </w:r>
          </w:p>
        </w:tc>
        <w:tc>
          <w:tcPr>
            <w:tcW w:w="574" w:type="pct"/>
            <w:vAlign w:val="center"/>
          </w:tcPr>
          <w:p w14:paraId="6E926CC4">
            <w:pPr>
              <w:pStyle w:val="31"/>
              <w:bidi w:val="0"/>
              <w:jc w:val="center"/>
              <w:rPr>
                <w:rFonts w:hint="eastAsia"/>
              </w:rPr>
            </w:pPr>
            <w:r>
              <w:rPr>
                <w:rFonts w:hint="default"/>
                <w:lang w:val="en-US" w:eastAsia="zh-CN"/>
              </w:rPr>
              <w:t>2630</w:t>
            </w:r>
          </w:p>
        </w:tc>
      </w:tr>
      <w:tr w14:paraId="4A1FA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66" w:type="pct"/>
            <w:vAlign w:val="center"/>
          </w:tcPr>
          <w:p w14:paraId="184294EF">
            <w:pPr>
              <w:pStyle w:val="31"/>
              <w:bidi w:val="0"/>
              <w:jc w:val="center"/>
              <w:rPr>
                <w:rFonts w:hint="default"/>
                <w:lang w:val="en-US" w:eastAsia="zh-CN"/>
              </w:rPr>
            </w:pPr>
            <w:r>
              <w:rPr>
                <w:rFonts w:hint="default"/>
                <w:lang w:val="en-US" w:eastAsia="zh-CN"/>
              </w:rPr>
              <w:t>湘潭县茶恩寺镇</w:t>
            </w:r>
          </w:p>
          <w:p w14:paraId="46561428">
            <w:pPr>
              <w:pStyle w:val="31"/>
              <w:bidi w:val="0"/>
              <w:jc w:val="center"/>
              <w:rPr>
                <w:rFonts w:hint="eastAsia"/>
              </w:rPr>
            </w:pPr>
            <w:r>
              <w:rPr>
                <w:rFonts w:hint="default"/>
                <w:lang w:val="en-US" w:eastAsia="zh-CN"/>
              </w:rPr>
              <w:t>双阳村太阳山</w:t>
            </w:r>
          </w:p>
        </w:tc>
        <w:tc>
          <w:tcPr>
            <w:tcW w:w="347" w:type="pct"/>
            <w:vAlign w:val="center"/>
          </w:tcPr>
          <w:p w14:paraId="1EE8C334">
            <w:pPr>
              <w:pStyle w:val="31"/>
              <w:bidi w:val="0"/>
              <w:jc w:val="center"/>
              <w:rPr>
                <w:rFonts w:hint="eastAsia"/>
              </w:rPr>
            </w:pPr>
            <w:r>
              <w:rPr>
                <w:rFonts w:hint="default"/>
                <w:lang w:val="en-US" w:eastAsia="zh-CN"/>
              </w:rPr>
              <w:t>-1031</w:t>
            </w:r>
          </w:p>
        </w:tc>
        <w:tc>
          <w:tcPr>
            <w:tcW w:w="347" w:type="pct"/>
            <w:vAlign w:val="center"/>
          </w:tcPr>
          <w:p w14:paraId="16EC6D17">
            <w:pPr>
              <w:pStyle w:val="31"/>
              <w:bidi w:val="0"/>
              <w:jc w:val="center"/>
              <w:rPr>
                <w:rFonts w:hint="eastAsia"/>
              </w:rPr>
            </w:pPr>
            <w:r>
              <w:rPr>
                <w:rFonts w:hint="default"/>
                <w:lang w:val="en-US" w:eastAsia="zh-CN"/>
              </w:rPr>
              <w:t>2328</w:t>
            </w:r>
          </w:p>
        </w:tc>
        <w:tc>
          <w:tcPr>
            <w:tcW w:w="302" w:type="pct"/>
            <w:vAlign w:val="center"/>
          </w:tcPr>
          <w:p w14:paraId="596777E4">
            <w:pPr>
              <w:pStyle w:val="31"/>
              <w:bidi w:val="0"/>
              <w:ind w:firstLine="0" w:firstLineChars="0"/>
              <w:jc w:val="center"/>
              <w:rPr>
                <w:rFonts w:hint="eastAsia"/>
              </w:rPr>
            </w:pPr>
            <w:r>
              <w:rPr>
                <w:rFonts w:hint="eastAsia"/>
                <w:lang w:val="en-US" w:eastAsia="zh-CN"/>
              </w:rPr>
              <w:t>居民</w:t>
            </w:r>
          </w:p>
        </w:tc>
        <w:tc>
          <w:tcPr>
            <w:tcW w:w="1018" w:type="pct"/>
            <w:vAlign w:val="center"/>
          </w:tcPr>
          <w:p w14:paraId="5F95EC60">
            <w:pPr>
              <w:pStyle w:val="31"/>
              <w:bidi w:val="0"/>
              <w:jc w:val="center"/>
              <w:rPr>
                <w:rFonts w:hint="eastAsia"/>
              </w:rPr>
            </w:pPr>
            <w:r>
              <w:rPr>
                <w:rFonts w:hint="default"/>
                <w:lang w:val="en-US" w:eastAsia="zh-CN"/>
              </w:rPr>
              <w:t>约30户，105人</w:t>
            </w:r>
          </w:p>
        </w:tc>
        <w:tc>
          <w:tcPr>
            <w:tcW w:w="439" w:type="pct"/>
            <w:vAlign w:val="center"/>
          </w:tcPr>
          <w:p w14:paraId="2ADBFFB5">
            <w:pPr>
              <w:pStyle w:val="31"/>
              <w:bidi w:val="0"/>
              <w:ind w:firstLine="0" w:firstLineChars="0"/>
              <w:jc w:val="center"/>
              <w:rPr>
                <w:rFonts w:hint="eastAsia"/>
              </w:rPr>
            </w:pPr>
            <w:r>
              <w:rPr>
                <w:rFonts w:hint="eastAsia"/>
                <w:lang w:val="en-US" w:eastAsia="zh-CN"/>
              </w:rPr>
              <w:t>2类</w:t>
            </w:r>
          </w:p>
        </w:tc>
        <w:tc>
          <w:tcPr>
            <w:tcW w:w="302" w:type="pct"/>
            <w:vAlign w:val="center"/>
          </w:tcPr>
          <w:p w14:paraId="17B79828">
            <w:pPr>
              <w:pStyle w:val="31"/>
              <w:bidi w:val="0"/>
              <w:jc w:val="center"/>
              <w:rPr>
                <w:rFonts w:hint="eastAsia"/>
              </w:rPr>
            </w:pPr>
            <w:r>
              <w:rPr>
                <w:rFonts w:hint="default"/>
                <w:lang w:val="en-US" w:eastAsia="zh-CN"/>
              </w:rPr>
              <w:t>NW</w:t>
            </w:r>
          </w:p>
        </w:tc>
        <w:tc>
          <w:tcPr>
            <w:tcW w:w="574" w:type="pct"/>
            <w:vAlign w:val="center"/>
          </w:tcPr>
          <w:p w14:paraId="15EF740B">
            <w:pPr>
              <w:pStyle w:val="31"/>
              <w:bidi w:val="0"/>
              <w:jc w:val="center"/>
              <w:rPr>
                <w:rFonts w:hint="eastAsia"/>
              </w:rPr>
            </w:pPr>
            <w:r>
              <w:rPr>
                <w:rFonts w:hint="default"/>
                <w:lang w:val="en-US" w:eastAsia="zh-CN"/>
              </w:rPr>
              <w:t>2450</w:t>
            </w:r>
          </w:p>
        </w:tc>
      </w:tr>
    </w:tbl>
    <w:p w14:paraId="3346ED3F">
      <w:pPr>
        <w:pStyle w:val="21"/>
        <w:bidi w:val="0"/>
        <w:rPr>
          <w:rFonts w:ascii="Times New Roman" w:hAnsi="Times New Roman" w:cs="宋体"/>
          <w:sz w:val="21"/>
          <w:szCs w:val="21"/>
        </w:rPr>
      </w:pPr>
      <w:r>
        <w:rPr>
          <w:rFonts w:hint="eastAsia" w:ascii="Times New Roman" w:hAnsi="Times New Roman" w:cs="宋体"/>
          <w:sz w:val="21"/>
          <w:szCs w:val="21"/>
        </w:rPr>
        <w:t>备注：选取工作台中心点（经度</w:t>
      </w:r>
      <w:r>
        <w:rPr>
          <w:rFonts w:ascii="Times New Roman" w:hAnsi="Times New Roman" w:cs="Arial"/>
          <w:color w:val="333333"/>
          <w:sz w:val="20"/>
          <w:szCs w:val="20"/>
          <w:shd w:val="clear" w:color="auto" w:fill="FFFFFF"/>
        </w:rPr>
        <w:t>112.9227670</w:t>
      </w:r>
      <w:r>
        <w:rPr>
          <w:rFonts w:ascii="Times New Roman" w:hAnsi="Times New Roman" w:cs="宋体"/>
          <w:sz w:val="21"/>
          <w:szCs w:val="21"/>
        </w:rPr>
        <w:t>°，纬度</w:t>
      </w:r>
      <w:r>
        <w:rPr>
          <w:rFonts w:ascii="Times New Roman" w:hAnsi="Times New Roman" w:cs="Arial"/>
          <w:color w:val="333333"/>
          <w:sz w:val="20"/>
          <w:szCs w:val="20"/>
          <w:shd w:val="clear" w:color="auto" w:fill="FFFFFF"/>
        </w:rPr>
        <w:t>27.3699228</w:t>
      </w:r>
      <w:r>
        <w:rPr>
          <w:rFonts w:ascii="Times New Roman" w:hAnsi="Times New Roman" w:cs="宋体"/>
          <w:sz w:val="21"/>
          <w:szCs w:val="21"/>
        </w:rPr>
        <w:t>°</w:t>
      </w:r>
      <w:r>
        <w:rPr>
          <w:rFonts w:hint="eastAsia" w:ascii="Times New Roman" w:hAnsi="Times New Roman" w:cs="宋体"/>
          <w:sz w:val="21"/>
          <w:szCs w:val="21"/>
        </w:rPr>
        <w:t>）作为原点；</w:t>
      </w:r>
    </w:p>
    <w:p w14:paraId="43084DC6">
      <w:pPr>
        <w:pStyle w:val="23"/>
        <w:rPr>
          <w:szCs w:val="32"/>
        </w:rPr>
      </w:pPr>
      <w:r>
        <w:t>表2.</w:t>
      </w:r>
      <w:r>
        <w:rPr>
          <w:rFonts w:hint="eastAsia"/>
        </w:rPr>
        <w:t>7</w:t>
      </w:r>
      <w:r>
        <w:t>-2  声环境保护目标一览表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098"/>
        <w:gridCol w:w="457"/>
        <w:gridCol w:w="597"/>
        <w:gridCol w:w="513"/>
        <w:gridCol w:w="1028"/>
        <w:gridCol w:w="558"/>
        <w:gridCol w:w="1047"/>
        <w:gridCol w:w="2714"/>
      </w:tblGrid>
      <w:tr w14:paraId="006E4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9" w:type="pct"/>
            <w:vMerge w:val="restart"/>
            <w:vAlign w:val="center"/>
          </w:tcPr>
          <w:p w14:paraId="309C6E23">
            <w:pPr>
              <w:pStyle w:val="31"/>
            </w:pPr>
            <w:r>
              <w:rPr>
                <w:rFonts w:hint="eastAsia"/>
              </w:rPr>
              <w:t>序号</w:t>
            </w:r>
          </w:p>
        </w:tc>
        <w:tc>
          <w:tcPr>
            <w:tcW w:w="644" w:type="pct"/>
            <w:vMerge w:val="restart"/>
            <w:vAlign w:val="center"/>
          </w:tcPr>
          <w:p w14:paraId="7C39F9F2">
            <w:pPr>
              <w:pStyle w:val="31"/>
            </w:pPr>
            <w:r>
              <w:rPr>
                <w:rFonts w:hint="eastAsia"/>
              </w:rPr>
              <w:t>保护目标名称</w:t>
            </w:r>
          </w:p>
        </w:tc>
        <w:tc>
          <w:tcPr>
            <w:tcW w:w="919" w:type="pct"/>
            <w:gridSpan w:val="3"/>
            <w:vAlign w:val="center"/>
          </w:tcPr>
          <w:p w14:paraId="5736B2D2">
            <w:pPr>
              <w:pStyle w:val="31"/>
            </w:pPr>
            <w:r>
              <w:rPr>
                <w:rFonts w:hint="eastAsia"/>
              </w:rPr>
              <w:t>空间相对位置/m</w:t>
            </w:r>
          </w:p>
        </w:tc>
        <w:tc>
          <w:tcPr>
            <w:tcW w:w="603" w:type="pct"/>
            <w:vMerge w:val="restart"/>
            <w:vAlign w:val="center"/>
          </w:tcPr>
          <w:p w14:paraId="68771082">
            <w:pPr>
              <w:pStyle w:val="31"/>
            </w:pPr>
            <w:r>
              <w:rPr>
                <w:rFonts w:hint="eastAsia"/>
              </w:rPr>
              <w:t>距厂界最近距离/m</w:t>
            </w:r>
          </w:p>
        </w:tc>
        <w:tc>
          <w:tcPr>
            <w:tcW w:w="327" w:type="pct"/>
            <w:vMerge w:val="restart"/>
            <w:vAlign w:val="center"/>
          </w:tcPr>
          <w:p w14:paraId="3AC12C7C">
            <w:pPr>
              <w:pStyle w:val="31"/>
            </w:pPr>
            <w:r>
              <w:rPr>
                <w:rFonts w:hint="eastAsia"/>
              </w:rPr>
              <w:t>方位</w:t>
            </w:r>
          </w:p>
        </w:tc>
        <w:tc>
          <w:tcPr>
            <w:tcW w:w="614" w:type="pct"/>
            <w:vMerge w:val="restart"/>
            <w:vAlign w:val="center"/>
          </w:tcPr>
          <w:p w14:paraId="1FD4620C">
            <w:pPr>
              <w:pStyle w:val="31"/>
            </w:pPr>
            <w:r>
              <w:rPr>
                <w:rFonts w:hint="eastAsia"/>
              </w:rPr>
              <w:t>执行标准/功能区类别</w:t>
            </w:r>
          </w:p>
        </w:tc>
        <w:tc>
          <w:tcPr>
            <w:tcW w:w="1591" w:type="pct"/>
            <w:vMerge w:val="restart"/>
            <w:vAlign w:val="center"/>
          </w:tcPr>
          <w:p w14:paraId="31C22766">
            <w:pPr>
              <w:pStyle w:val="31"/>
            </w:pPr>
            <w:r>
              <w:rPr>
                <w:rFonts w:hint="eastAsia"/>
              </w:rPr>
              <w:t>声环境保护目标情况说明（建筑结构、朝向、楼层、周围环境情况）</w:t>
            </w:r>
          </w:p>
        </w:tc>
      </w:tr>
      <w:tr w14:paraId="4063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9" w:type="pct"/>
            <w:vMerge w:val="continue"/>
            <w:vAlign w:val="center"/>
          </w:tcPr>
          <w:p w14:paraId="20C0B21C">
            <w:pPr>
              <w:pStyle w:val="31"/>
            </w:pPr>
          </w:p>
        </w:tc>
        <w:tc>
          <w:tcPr>
            <w:tcW w:w="644" w:type="pct"/>
            <w:vMerge w:val="continue"/>
            <w:vAlign w:val="center"/>
          </w:tcPr>
          <w:p w14:paraId="1B7DA17C">
            <w:pPr>
              <w:pStyle w:val="31"/>
            </w:pPr>
          </w:p>
        </w:tc>
        <w:tc>
          <w:tcPr>
            <w:tcW w:w="268" w:type="pct"/>
            <w:vAlign w:val="center"/>
          </w:tcPr>
          <w:p w14:paraId="3DA8D1B3">
            <w:pPr>
              <w:pStyle w:val="31"/>
            </w:pPr>
            <w:r>
              <w:rPr>
                <w:rFonts w:hint="eastAsia"/>
              </w:rPr>
              <w:t>X</w:t>
            </w:r>
          </w:p>
        </w:tc>
        <w:tc>
          <w:tcPr>
            <w:tcW w:w="350" w:type="pct"/>
            <w:vAlign w:val="center"/>
          </w:tcPr>
          <w:p w14:paraId="10819257">
            <w:pPr>
              <w:pStyle w:val="31"/>
            </w:pPr>
            <w:r>
              <w:rPr>
                <w:rFonts w:hint="eastAsia"/>
              </w:rPr>
              <w:t>Y</w:t>
            </w:r>
          </w:p>
        </w:tc>
        <w:tc>
          <w:tcPr>
            <w:tcW w:w="300" w:type="pct"/>
            <w:vAlign w:val="center"/>
          </w:tcPr>
          <w:p w14:paraId="55D7C85B">
            <w:pPr>
              <w:pStyle w:val="31"/>
            </w:pPr>
            <w:r>
              <w:rPr>
                <w:rFonts w:hint="eastAsia"/>
              </w:rPr>
              <w:t>Z</w:t>
            </w:r>
          </w:p>
        </w:tc>
        <w:tc>
          <w:tcPr>
            <w:tcW w:w="603" w:type="pct"/>
            <w:vMerge w:val="continue"/>
            <w:vAlign w:val="center"/>
          </w:tcPr>
          <w:p w14:paraId="522E201A">
            <w:pPr>
              <w:pStyle w:val="31"/>
            </w:pPr>
          </w:p>
        </w:tc>
        <w:tc>
          <w:tcPr>
            <w:tcW w:w="327" w:type="pct"/>
            <w:vMerge w:val="continue"/>
            <w:vAlign w:val="center"/>
          </w:tcPr>
          <w:p w14:paraId="4E926581">
            <w:pPr>
              <w:pStyle w:val="31"/>
            </w:pPr>
          </w:p>
        </w:tc>
        <w:tc>
          <w:tcPr>
            <w:tcW w:w="614" w:type="pct"/>
            <w:vMerge w:val="continue"/>
            <w:vAlign w:val="center"/>
          </w:tcPr>
          <w:p w14:paraId="614CDA75">
            <w:pPr>
              <w:pStyle w:val="31"/>
            </w:pPr>
          </w:p>
        </w:tc>
        <w:tc>
          <w:tcPr>
            <w:tcW w:w="1591" w:type="pct"/>
            <w:vMerge w:val="continue"/>
            <w:vAlign w:val="center"/>
          </w:tcPr>
          <w:p w14:paraId="5C65971D">
            <w:pPr>
              <w:pStyle w:val="31"/>
            </w:pPr>
          </w:p>
        </w:tc>
      </w:tr>
      <w:tr w14:paraId="2C1F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99" w:type="pct"/>
            <w:vAlign w:val="center"/>
          </w:tcPr>
          <w:p w14:paraId="35F04BEC">
            <w:pPr>
              <w:pStyle w:val="31"/>
            </w:pPr>
            <w:r>
              <w:t>1</w:t>
            </w:r>
          </w:p>
        </w:tc>
        <w:tc>
          <w:tcPr>
            <w:tcW w:w="644" w:type="pct"/>
            <w:vAlign w:val="center"/>
          </w:tcPr>
          <w:p w14:paraId="5E9D78D2">
            <w:pPr>
              <w:pStyle w:val="31"/>
              <w:rPr>
                <w:rFonts w:hint="default" w:eastAsia="宋体"/>
                <w:lang w:val="en-US" w:eastAsia="zh-CN"/>
              </w:rPr>
            </w:pPr>
            <w:r>
              <w:rPr>
                <w:rFonts w:hint="eastAsia"/>
                <w:lang w:val="en-US" w:eastAsia="zh-CN"/>
              </w:rPr>
              <w:t>三樟镇长江村林家坊居民</w:t>
            </w:r>
          </w:p>
        </w:tc>
        <w:tc>
          <w:tcPr>
            <w:tcW w:w="268" w:type="pct"/>
            <w:vAlign w:val="center"/>
          </w:tcPr>
          <w:p w14:paraId="5A30F331">
            <w:pPr>
              <w:pStyle w:val="31"/>
              <w:rPr>
                <w:rFonts w:hint="default" w:eastAsia="宋体"/>
                <w:lang w:val="en-US" w:eastAsia="zh-CN"/>
              </w:rPr>
            </w:pPr>
            <w:r>
              <w:rPr>
                <w:rFonts w:hint="eastAsia"/>
                <w:lang w:val="en-US" w:eastAsia="zh-CN"/>
              </w:rPr>
              <w:t>93</w:t>
            </w:r>
          </w:p>
        </w:tc>
        <w:tc>
          <w:tcPr>
            <w:tcW w:w="350" w:type="pct"/>
            <w:vAlign w:val="center"/>
          </w:tcPr>
          <w:p w14:paraId="22EE9604">
            <w:pPr>
              <w:pStyle w:val="31"/>
              <w:rPr>
                <w:rFonts w:hint="eastAsia" w:eastAsia="宋体"/>
                <w:lang w:val="en-US" w:eastAsia="zh-CN"/>
              </w:rPr>
            </w:pPr>
            <w:r>
              <w:rPr>
                <w:rFonts w:hint="eastAsia"/>
                <w:lang w:val="en-US" w:eastAsia="zh-CN"/>
              </w:rPr>
              <w:t>0</w:t>
            </w:r>
          </w:p>
        </w:tc>
        <w:tc>
          <w:tcPr>
            <w:tcW w:w="300" w:type="pct"/>
            <w:vAlign w:val="center"/>
          </w:tcPr>
          <w:p w14:paraId="35FDCA8E">
            <w:pPr>
              <w:pStyle w:val="31"/>
              <w:rPr>
                <w:rFonts w:hint="eastAsia" w:eastAsia="宋体"/>
                <w:lang w:val="en-US" w:eastAsia="zh-CN"/>
              </w:rPr>
            </w:pPr>
            <w:r>
              <w:rPr>
                <w:rFonts w:hint="eastAsia"/>
                <w:lang w:val="en-US" w:eastAsia="zh-CN"/>
              </w:rPr>
              <w:t>5</w:t>
            </w:r>
          </w:p>
        </w:tc>
        <w:tc>
          <w:tcPr>
            <w:tcW w:w="603" w:type="pct"/>
            <w:vAlign w:val="center"/>
          </w:tcPr>
          <w:p w14:paraId="64507EC7">
            <w:pPr>
              <w:pStyle w:val="31"/>
              <w:rPr>
                <w:rFonts w:hint="default" w:eastAsia="宋体"/>
                <w:lang w:val="en-US" w:eastAsia="zh-CN"/>
              </w:rPr>
            </w:pPr>
            <w:r>
              <w:rPr>
                <w:rFonts w:hint="eastAsia"/>
                <w:lang w:val="en-US" w:eastAsia="zh-CN"/>
              </w:rPr>
              <w:t>40</w:t>
            </w:r>
          </w:p>
        </w:tc>
        <w:tc>
          <w:tcPr>
            <w:tcW w:w="327" w:type="pct"/>
            <w:vAlign w:val="center"/>
          </w:tcPr>
          <w:p w14:paraId="7F1C8649">
            <w:pPr>
              <w:pStyle w:val="31"/>
              <w:rPr>
                <w:rFonts w:hint="eastAsia" w:eastAsia="宋体"/>
                <w:lang w:val="en-US" w:eastAsia="zh-CN"/>
              </w:rPr>
            </w:pPr>
            <w:r>
              <w:rPr>
                <w:rFonts w:hint="eastAsia"/>
                <w:lang w:val="en-US" w:eastAsia="zh-CN"/>
              </w:rPr>
              <w:t>E</w:t>
            </w:r>
          </w:p>
        </w:tc>
        <w:tc>
          <w:tcPr>
            <w:tcW w:w="614" w:type="pct"/>
            <w:vAlign w:val="center"/>
          </w:tcPr>
          <w:p w14:paraId="0458913D">
            <w:pPr>
              <w:pStyle w:val="31"/>
              <w:rPr>
                <w:rFonts w:hint="default" w:eastAsia="宋体"/>
                <w:lang w:val="en-US" w:eastAsia="zh-CN"/>
              </w:rPr>
            </w:pPr>
            <w:r>
              <w:rPr>
                <w:rFonts w:hint="eastAsia"/>
                <w:lang w:val="en-US" w:eastAsia="zh-CN"/>
              </w:rPr>
              <w:t>2类</w:t>
            </w:r>
          </w:p>
        </w:tc>
        <w:tc>
          <w:tcPr>
            <w:tcW w:w="1591" w:type="pct"/>
            <w:vAlign w:val="center"/>
          </w:tcPr>
          <w:p w14:paraId="54C8883B">
            <w:pPr>
              <w:pStyle w:val="31"/>
              <w:rPr>
                <w:rFonts w:hint="default" w:eastAsia="宋体"/>
                <w:lang w:val="en-US" w:eastAsia="zh-CN"/>
              </w:rPr>
            </w:pPr>
            <w:r>
              <w:rPr>
                <w:rFonts w:hint="eastAsia"/>
                <w:lang w:val="en-US" w:eastAsia="zh-CN"/>
              </w:rPr>
              <w:t>农村自建住宅，多为2层砖混结构，大部分侧对本项目，评价范围内总计18户，约70人</w:t>
            </w:r>
          </w:p>
        </w:tc>
      </w:tr>
    </w:tbl>
    <w:p w14:paraId="33BD2112">
      <w:pPr>
        <w:pStyle w:val="23"/>
        <w:bidi w:val="0"/>
        <w:rPr>
          <w:rFonts w:hint="eastAsia"/>
        </w:rPr>
      </w:pPr>
    </w:p>
    <w:p w14:paraId="1E44D1F4">
      <w:pPr>
        <w:pStyle w:val="23"/>
        <w:bidi w:val="0"/>
      </w:pPr>
      <w:r>
        <w:rPr>
          <w:rFonts w:hint="eastAsia"/>
        </w:rPr>
        <w:t>表</w:t>
      </w:r>
      <w:r>
        <w:t>2</w:t>
      </w:r>
      <w:r>
        <w:rPr>
          <w:rFonts w:hint="eastAsia"/>
        </w:rPr>
        <w:t>.7</w:t>
      </w:r>
      <w:r>
        <w:t xml:space="preserve">-3  </w:t>
      </w:r>
      <w:r>
        <w:rPr>
          <w:rFonts w:hint="eastAsia"/>
        </w:rPr>
        <w:t>与扩建项目相关的其他环境保护目标</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673"/>
        <w:gridCol w:w="2056"/>
        <w:gridCol w:w="891"/>
        <w:gridCol w:w="4150"/>
      </w:tblGrid>
      <w:tr w14:paraId="2185A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shd w:val="clear" w:color="auto" w:fill="auto"/>
            <w:vAlign w:val="center"/>
          </w:tcPr>
          <w:p w14:paraId="513731CA">
            <w:pPr>
              <w:pStyle w:val="31"/>
              <w:rPr>
                <w:u w:val="none"/>
              </w:rPr>
            </w:pPr>
            <w:r>
              <w:rPr>
                <w:rFonts w:hint="eastAsia"/>
                <w:u w:val="none"/>
              </w:rPr>
              <w:t>类别</w:t>
            </w:r>
          </w:p>
        </w:tc>
        <w:tc>
          <w:tcPr>
            <w:tcW w:w="395" w:type="pct"/>
            <w:shd w:val="clear" w:color="auto" w:fill="auto"/>
            <w:vAlign w:val="center"/>
          </w:tcPr>
          <w:p w14:paraId="4D7DFC68">
            <w:pPr>
              <w:pStyle w:val="31"/>
              <w:rPr>
                <w:u w:val="none"/>
              </w:rPr>
            </w:pPr>
            <w:r>
              <w:rPr>
                <w:rFonts w:hint="eastAsia"/>
                <w:u w:val="none"/>
              </w:rPr>
              <w:t>保护目标</w:t>
            </w:r>
          </w:p>
        </w:tc>
        <w:tc>
          <w:tcPr>
            <w:tcW w:w="1206" w:type="pct"/>
            <w:shd w:val="clear" w:color="auto" w:fill="auto"/>
            <w:vAlign w:val="center"/>
          </w:tcPr>
          <w:p w14:paraId="7548FC71">
            <w:pPr>
              <w:pStyle w:val="31"/>
              <w:rPr>
                <w:u w:val="none"/>
              </w:rPr>
            </w:pPr>
            <w:r>
              <w:rPr>
                <w:rFonts w:hint="eastAsia"/>
                <w:u w:val="none"/>
              </w:rPr>
              <w:t>目标功能，规模</w:t>
            </w:r>
          </w:p>
        </w:tc>
        <w:tc>
          <w:tcPr>
            <w:tcW w:w="523" w:type="pct"/>
            <w:shd w:val="clear" w:color="auto" w:fill="auto"/>
            <w:vAlign w:val="center"/>
          </w:tcPr>
          <w:p w14:paraId="0C097304">
            <w:pPr>
              <w:pStyle w:val="31"/>
              <w:rPr>
                <w:u w:val="none"/>
              </w:rPr>
            </w:pPr>
            <w:r>
              <w:rPr>
                <w:rFonts w:hint="eastAsia"/>
                <w:u w:val="none"/>
              </w:rPr>
              <w:t>方向、距离</w:t>
            </w:r>
          </w:p>
        </w:tc>
        <w:tc>
          <w:tcPr>
            <w:tcW w:w="2435" w:type="pct"/>
            <w:shd w:val="clear" w:color="auto" w:fill="auto"/>
            <w:vAlign w:val="center"/>
          </w:tcPr>
          <w:p w14:paraId="618E0C96">
            <w:pPr>
              <w:pStyle w:val="31"/>
              <w:rPr>
                <w:u w:val="none"/>
              </w:rPr>
            </w:pPr>
            <w:r>
              <w:rPr>
                <w:rFonts w:hint="eastAsia"/>
                <w:u w:val="none"/>
              </w:rPr>
              <w:t>保护级别</w:t>
            </w:r>
          </w:p>
        </w:tc>
      </w:tr>
      <w:tr w14:paraId="0BBE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shd w:val="clear" w:color="auto" w:fill="auto"/>
            <w:vAlign w:val="center"/>
          </w:tcPr>
          <w:p w14:paraId="20B65F75">
            <w:pPr>
              <w:pStyle w:val="31"/>
              <w:rPr>
                <w:u w:val="none"/>
              </w:rPr>
            </w:pPr>
            <w:r>
              <w:rPr>
                <w:rFonts w:hint="eastAsia"/>
                <w:u w:val="none"/>
              </w:rPr>
              <w:t>地表水环境</w:t>
            </w:r>
          </w:p>
        </w:tc>
        <w:tc>
          <w:tcPr>
            <w:tcW w:w="395" w:type="pct"/>
            <w:shd w:val="clear" w:color="auto" w:fill="auto"/>
            <w:vAlign w:val="center"/>
          </w:tcPr>
          <w:p w14:paraId="0F78DB61">
            <w:pPr>
              <w:pStyle w:val="31"/>
              <w:rPr>
                <w:u w:val="none"/>
              </w:rPr>
            </w:pPr>
            <w:r>
              <w:rPr>
                <w:rFonts w:hint="eastAsia"/>
                <w:u w:val="none"/>
              </w:rPr>
              <w:t>湘江</w:t>
            </w:r>
          </w:p>
        </w:tc>
        <w:tc>
          <w:tcPr>
            <w:tcW w:w="1206" w:type="pct"/>
            <w:shd w:val="clear" w:color="auto" w:fill="auto"/>
            <w:vAlign w:val="center"/>
          </w:tcPr>
          <w:p w14:paraId="2A84E3D8">
            <w:pPr>
              <w:pStyle w:val="31"/>
              <w:rPr>
                <w:u w:val="none"/>
              </w:rPr>
            </w:pPr>
            <w:r>
              <w:rPr>
                <w:rFonts w:hint="eastAsia"/>
                <w:u w:val="none"/>
              </w:rPr>
              <w:t>渔业用水，大河</w:t>
            </w:r>
          </w:p>
        </w:tc>
        <w:tc>
          <w:tcPr>
            <w:tcW w:w="523" w:type="pct"/>
            <w:shd w:val="clear" w:color="auto" w:fill="auto"/>
            <w:vAlign w:val="center"/>
          </w:tcPr>
          <w:p w14:paraId="47259382">
            <w:pPr>
              <w:pStyle w:val="31"/>
              <w:rPr>
                <w:u w:val="none"/>
              </w:rPr>
            </w:pPr>
            <w:r>
              <w:rPr>
                <w:u w:val="none"/>
              </w:rPr>
              <w:t>W</w:t>
            </w:r>
            <w:r>
              <w:rPr>
                <w:rFonts w:hint="eastAsia"/>
                <w:u w:val="none"/>
              </w:rPr>
              <w:t>，</w:t>
            </w:r>
            <w:r>
              <w:rPr>
                <w:u w:val="none"/>
              </w:rPr>
              <w:t>0</w:t>
            </w:r>
            <w:r>
              <w:rPr>
                <w:rFonts w:hint="eastAsia"/>
                <w:u w:val="none"/>
              </w:rPr>
              <w:t>m</w:t>
            </w:r>
          </w:p>
        </w:tc>
        <w:tc>
          <w:tcPr>
            <w:tcW w:w="2435" w:type="pct"/>
            <w:shd w:val="clear" w:color="auto" w:fill="auto"/>
            <w:vAlign w:val="center"/>
          </w:tcPr>
          <w:p w14:paraId="0798CB5B">
            <w:pPr>
              <w:pStyle w:val="31"/>
              <w:rPr>
                <w:u w:val="none"/>
              </w:rPr>
            </w:pPr>
            <w:r>
              <w:rPr>
                <w:rFonts w:hint="eastAsia"/>
                <w:u w:val="none"/>
              </w:rPr>
              <w:t>《地表水环境质量标准》（GB</w:t>
            </w:r>
            <w:r>
              <w:rPr>
                <w:u w:val="none"/>
              </w:rPr>
              <w:t xml:space="preserve"> 3838</w:t>
            </w:r>
            <w:r>
              <w:rPr>
                <w:rFonts w:hint="eastAsia"/>
                <w:u w:val="none"/>
              </w:rPr>
              <w:t>-200</w:t>
            </w:r>
            <w:r>
              <w:rPr>
                <w:u w:val="none"/>
              </w:rPr>
              <w:t>2</w:t>
            </w:r>
            <w:r>
              <w:rPr>
                <w:rFonts w:hint="eastAsia"/>
                <w:u w:val="none"/>
              </w:rPr>
              <w:t>）</w:t>
            </w:r>
            <w:r>
              <w:rPr>
                <w:u w:val="none"/>
              </w:rPr>
              <w:fldChar w:fldCharType="begin"/>
            </w:r>
            <w:r>
              <w:rPr>
                <w:u w:val="none"/>
              </w:rPr>
              <w:instrText xml:space="preserve"> </w:instrText>
            </w:r>
            <w:r>
              <w:rPr>
                <w:rFonts w:hint="eastAsia"/>
                <w:u w:val="none"/>
              </w:rPr>
              <w:instrText xml:space="preserve">= 3 \* ROMAN</w:instrText>
            </w:r>
            <w:r>
              <w:rPr>
                <w:u w:val="none"/>
              </w:rPr>
              <w:instrText xml:space="preserve"> </w:instrText>
            </w:r>
            <w:r>
              <w:rPr>
                <w:u w:val="none"/>
              </w:rPr>
              <w:fldChar w:fldCharType="separate"/>
            </w:r>
            <w:r>
              <w:rPr>
                <w:u w:val="none"/>
              </w:rPr>
              <w:t>III</w:t>
            </w:r>
            <w:r>
              <w:rPr>
                <w:u w:val="none"/>
              </w:rPr>
              <w:fldChar w:fldCharType="end"/>
            </w:r>
            <w:r>
              <w:rPr>
                <w:u w:val="none"/>
              </w:rPr>
              <w:t>类标准</w:t>
            </w:r>
          </w:p>
        </w:tc>
      </w:tr>
      <w:tr w14:paraId="15EE1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shd w:val="clear" w:color="auto" w:fill="auto"/>
            <w:vAlign w:val="center"/>
          </w:tcPr>
          <w:p w14:paraId="2DDA66A6">
            <w:pPr>
              <w:pStyle w:val="31"/>
              <w:rPr>
                <w:u w:val="none"/>
              </w:rPr>
            </w:pPr>
            <w:r>
              <w:rPr>
                <w:rFonts w:hint="eastAsia"/>
                <w:u w:val="none"/>
              </w:rPr>
              <w:t>地下水</w:t>
            </w:r>
          </w:p>
        </w:tc>
        <w:tc>
          <w:tcPr>
            <w:tcW w:w="395" w:type="pct"/>
            <w:shd w:val="clear" w:color="auto" w:fill="auto"/>
            <w:vAlign w:val="center"/>
          </w:tcPr>
          <w:p w14:paraId="2EA0AA2C">
            <w:pPr>
              <w:pStyle w:val="31"/>
              <w:rPr>
                <w:u w:val="none"/>
              </w:rPr>
            </w:pPr>
            <w:r>
              <w:rPr>
                <w:rFonts w:hint="eastAsia"/>
                <w:u w:val="none"/>
              </w:rPr>
              <w:t>周边地下水</w:t>
            </w:r>
          </w:p>
        </w:tc>
        <w:tc>
          <w:tcPr>
            <w:tcW w:w="1206" w:type="pct"/>
            <w:shd w:val="clear" w:color="auto" w:fill="auto"/>
            <w:vAlign w:val="center"/>
          </w:tcPr>
          <w:p w14:paraId="64AD38D7">
            <w:pPr>
              <w:pStyle w:val="31"/>
              <w:rPr>
                <w:u w:val="none"/>
              </w:rPr>
            </w:pPr>
            <w:r>
              <w:rPr>
                <w:rFonts w:hint="eastAsia"/>
                <w:u w:val="none"/>
              </w:rPr>
              <w:t>区域已全部自来水供应，无取用地下水</w:t>
            </w:r>
          </w:p>
        </w:tc>
        <w:tc>
          <w:tcPr>
            <w:tcW w:w="523" w:type="pct"/>
            <w:shd w:val="clear" w:color="auto" w:fill="auto"/>
            <w:vAlign w:val="center"/>
          </w:tcPr>
          <w:p w14:paraId="646A8EA8">
            <w:pPr>
              <w:pStyle w:val="31"/>
              <w:rPr>
                <w:u w:val="none"/>
              </w:rPr>
            </w:pPr>
            <w:r>
              <w:rPr>
                <w:rFonts w:hint="eastAsia"/>
                <w:u w:val="none"/>
              </w:rPr>
              <w:t>/</w:t>
            </w:r>
          </w:p>
        </w:tc>
        <w:tc>
          <w:tcPr>
            <w:tcW w:w="2435" w:type="pct"/>
            <w:shd w:val="clear" w:color="auto" w:fill="auto"/>
            <w:vAlign w:val="center"/>
          </w:tcPr>
          <w:p w14:paraId="66EFBB37">
            <w:pPr>
              <w:pStyle w:val="31"/>
              <w:rPr>
                <w:u w:val="none"/>
              </w:rPr>
            </w:pPr>
            <w:r>
              <w:rPr>
                <w:rFonts w:hint="eastAsia"/>
                <w:u w:val="none"/>
              </w:rPr>
              <w:t>《地下水质量标准》（GB/T14848-2017）III类标准</w:t>
            </w:r>
          </w:p>
        </w:tc>
      </w:tr>
      <w:tr w14:paraId="645F3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shd w:val="clear" w:color="auto" w:fill="auto"/>
            <w:vAlign w:val="center"/>
          </w:tcPr>
          <w:p w14:paraId="43DF7971">
            <w:pPr>
              <w:pStyle w:val="31"/>
              <w:rPr>
                <w:u w:val="none"/>
              </w:rPr>
            </w:pPr>
            <w:r>
              <w:rPr>
                <w:rFonts w:hint="eastAsia"/>
                <w:u w:val="none"/>
              </w:rPr>
              <w:t>土壤</w:t>
            </w:r>
          </w:p>
        </w:tc>
        <w:tc>
          <w:tcPr>
            <w:tcW w:w="395" w:type="pct"/>
            <w:shd w:val="clear" w:color="auto" w:fill="auto"/>
            <w:vAlign w:val="center"/>
          </w:tcPr>
          <w:p w14:paraId="6F42CB60">
            <w:pPr>
              <w:pStyle w:val="31"/>
              <w:rPr>
                <w:u w:val="none"/>
              </w:rPr>
            </w:pPr>
            <w:r>
              <w:rPr>
                <w:rFonts w:hint="eastAsia"/>
                <w:u w:val="none"/>
              </w:rPr>
              <w:t>周边农田</w:t>
            </w:r>
          </w:p>
        </w:tc>
        <w:tc>
          <w:tcPr>
            <w:tcW w:w="1206" w:type="pct"/>
            <w:shd w:val="clear" w:color="auto" w:fill="auto"/>
            <w:vAlign w:val="center"/>
          </w:tcPr>
          <w:p w14:paraId="70810E38">
            <w:pPr>
              <w:pStyle w:val="31"/>
              <w:rPr>
                <w:u w:val="none"/>
              </w:rPr>
            </w:pPr>
            <w:r>
              <w:rPr>
                <w:rFonts w:hint="eastAsia"/>
                <w:u w:val="none"/>
              </w:rPr>
              <w:t>周边农田主要种植水稻</w:t>
            </w:r>
          </w:p>
        </w:tc>
        <w:tc>
          <w:tcPr>
            <w:tcW w:w="523" w:type="pct"/>
            <w:shd w:val="clear" w:color="auto" w:fill="auto"/>
            <w:vAlign w:val="center"/>
          </w:tcPr>
          <w:p w14:paraId="3F36E8C4">
            <w:pPr>
              <w:pStyle w:val="31"/>
              <w:rPr>
                <w:rFonts w:hint="default" w:eastAsia="宋体"/>
                <w:u w:val="none"/>
                <w:lang w:val="en-US" w:eastAsia="zh-CN"/>
              </w:rPr>
            </w:pPr>
            <w:r>
              <w:rPr>
                <w:rFonts w:hint="eastAsia"/>
                <w:u w:val="none"/>
                <w:lang w:val="en-US" w:eastAsia="zh-CN"/>
              </w:rPr>
              <w:t>N，15m</w:t>
            </w:r>
          </w:p>
          <w:p w14:paraId="220B6D5C">
            <w:pPr>
              <w:pStyle w:val="31"/>
              <w:rPr>
                <w:u w:val="none"/>
              </w:rPr>
            </w:pPr>
            <w:r>
              <w:rPr>
                <w:rFonts w:hint="eastAsia"/>
                <w:u w:val="none"/>
              </w:rPr>
              <w:t>S，</w:t>
            </w:r>
            <w:r>
              <w:rPr>
                <w:rFonts w:hint="eastAsia"/>
                <w:u w:val="none"/>
                <w:lang w:val="en-US" w:eastAsia="zh-CN"/>
              </w:rPr>
              <w:t>25</w:t>
            </w:r>
            <w:r>
              <w:rPr>
                <w:rFonts w:hint="eastAsia"/>
                <w:u w:val="none"/>
              </w:rPr>
              <w:t>m</w:t>
            </w:r>
          </w:p>
        </w:tc>
        <w:tc>
          <w:tcPr>
            <w:tcW w:w="2435" w:type="pct"/>
            <w:shd w:val="clear" w:color="auto" w:fill="auto"/>
            <w:vAlign w:val="center"/>
          </w:tcPr>
          <w:p w14:paraId="2B6F355E">
            <w:pPr>
              <w:pStyle w:val="31"/>
              <w:rPr>
                <w:u w:val="none"/>
              </w:rPr>
            </w:pPr>
            <w:r>
              <w:rPr>
                <w:rFonts w:hint="eastAsia"/>
                <w:u w:val="none"/>
              </w:rPr>
              <w:t>《土壤环境质量 农用地土壤污染环境风险管控标准》（GB15618-2018）</w:t>
            </w:r>
          </w:p>
        </w:tc>
      </w:tr>
      <w:tr w14:paraId="6263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1" w:type="pct"/>
            <w:shd w:val="clear" w:color="auto" w:fill="auto"/>
            <w:vAlign w:val="center"/>
          </w:tcPr>
          <w:p w14:paraId="7830EF90">
            <w:pPr>
              <w:pStyle w:val="31"/>
              <w:rPr>
                <w:u w:val="none"/>
              </w:rPr>
            </w:pPr>
            <w:r>
              <w:rPr>
                <w:rFonts w:hint="eastAsia"/>
                <w:u w:val="none"/>
              </w:rPr>
              <w:t>生态</w:t>
            </w:r>
          </w:p>
        </w:tc>
        <w:tc>
          <w:tcPr>
            <w:tcW w:w="395" w:type="pct"/>
            <w:shd w:val="clear" w:color="auto" w:fill="auto"/>
            <w:vAlign w:val="center"/>
          </w:tcPr>
          <w:p w14:paraId="086362A6">
            <w:pPr>
              <w:pStyle w:val="31"/>
              <w:rPr>
                <w:u w:val="none"/>
              </w:rPr>
            </w:pPr>
            <w:r>
              <w:rPr>
                <w:rFonts w:hint="eastAsia"/>
                <w:u w:val="none"/>
              </w:rPr>
              <w:t>周边动植物</w:t>
            </w:r>
          </w:p>
        </w:tc>
        <w:tc>
          <w:tcPr>
            <w:tcW w:w="1206" w:type="pct"/>
            <w:shd w:val="clear" w:color="auto" w:fill="auto"/>
            <w:vAlign w:val="center"/>
          </w:tcPr>
          <w:p w14:paraId="67CC2D2E">
            <w:pPr>
              <w:pStyle w:val="31"/>
              <w:rPr>
                <w:u w:val="none"/>
              </w:rPr>
            </w:pPr>
            <w:r>
              <w:rPr>
                <w:rFonts w:hint="eastAsia"/>
                <w:u w:val="none"/>
              </w:rPr>
              <w:t>保护周边陆域生态系统和湘江水生生态系统</w:t>
            </w:r>
          </w:p>
        </w:tc>
        <w:tc>
          <w:tcPr>
            <w:tcW w:w="523" w:type="pct"/>
            <w:shd w:val="clear" w:color="auto" w:fill="auto"/>
            <w:vAlign w:val="center"/>
          </w:tcPr>
          <w:p w14:paraId="1EEE245D">
            <w:pPr>
              <w:pStyle w:val="31"/>
              <w:rPr>
                <w:u w:val="none"/>
              </w:rPr>
            </w:pPr>
            <w:r>
              <w:rPr>
                <w:rFonts w:hint="eastAsia"/>
                <w:u w:val="none"/>
              </w:rPr>
              <w:t>/</w:t>
            </w:r>
          </w:p>
        </w:tc>
        <w:tc>
          <w:tcPr>
            <w:tcW w:w="2435" w:type="pct"/>
            <w:shd w:val="clear" w:color="auto" w:fill="auto"/>
            <w:vAlign w:val="center"/>
          </w:tcPr>
          <w:p w14:paraId="30F5D7C8">
            <w:pPr>
              <w:pStyle w:val="31"/>
              <w:rPr>
                <w:u w:val="none"/>
              </w:rPr>
            </w:pPr>
            <w:r>
              <w:rPr>
                <w:rFonts w:hint="eastAsia"/>
                <w:u w:val="none"/>
              </w:rPr>
              <w:t>保护周边生态系统不被破坏</w:t>
            </w:r>
          </w:p>
        </w:tc>
      </w:tr>
      <w:bookmarkEnd w:id="82"/>
    </w:tbl>
    <w:p w14:paraId="070E1CF3">
      <w:pPr>
        <w:pStyle w:val="21"/>
        <w:ind w:firstLine="480"/>
        <w:rPr>
          <w:u w:val="none"/>
        </w:rPr>
      </w:pPr>
      <w:r>
        <w:rPr>
          <w:rFonts w:hint="eastAsia"/>
          <w:u w:val="none"/>
        </w:rPr>
        <w:t>株洲航电枢纽位于本项目下游约</w:t>
      </w:r>
      <w:r>
        <w:rPr>
          <w:rFonts w:hint="eastAsia"/>
          <w:u w:val="none"/>
          <w:lang w:val="en-US" w:eastAsia="zh-CN"/>
        </w:rPr>
        <w:t>57</w:t>
      </w:r>
      <w:r>
        <w:rPr>
          <w:rFonts w:hint="eastAsia"/>
          <w:u w:val="none"/>
        </w:rPr>
        <w:t>km处，其回水区范围长度约为96km，本项目处于其回水区范围内。</w:t>
      </w:r>
    </w:p>
    <w:p w14:paraId="3F42290B">
      <w:pPr>
        <w:pStyle w:val="21"/>
        <w:ind w:firstLine="480"/>
        <w:rPr>
          <w:u w:val="none"/>
        </w:rPr>
        <w:sectPr>
          <w:pgSz w:w="11906" w:h="16838"/>
          <w:pgMar w:top="1440" w:right="1800" w:bottom="1440" w:left="1800" w:header="851" w:footer="992" w:gutter="0"/>
          <w:pgNumType w:fmt="decimal"/>
          <w:cols w:space="425" w:num="1"/>
          <w:docGrid w:type="lines" w:linePitch="312" w:charSpace="0"/>
        </w:sectPr>
      </w:pPr>
    </w:p>
    <w:p w14:paraId="59223093">
      <w:pPr>
        <w:pStyle w:val="25"/>
        <w:rPr>
          <w:rFonts w:hint="eastAsia"/>
        </w:rPr>
      </w:pPr>
      <w:bookmarkStart w:id="83" w:name="_Toc1535"/>
      <w:r>
        <w:rPr>
          <w:rFonts w:hint="eastAsia"/>
        </w:rPr>
        <w:t>3建设项目工程分析</w:t>
      </w:r>
      <w:bookmarkEnd w:id="83"/>
    </w:p>
    <w:p w14:paraId="43142750">
      <w:pPr>
        <w:pStyle w:val="28"/>
        <w:bidi w:val="0"/>
        <w:rPr>
          <w:rFonts w:hint="eastAsia"/>
          <w:lang w:val="en-US" w:eastAsia="zh-CN"/>
        </w:rPr>
      </w:pPr>
      <w:bookmarkStart w:id="84" w:name="_Toc20937"/>
      <w:r>
        <w:rPr>
          <w:rFonts w:hint="eastAsia"/>
          <w:lang w:val="en-US" w:eastAsia="zh-CN"/>
        </w:rPr>
        <w:t>3.1现有工程概况</w:t>
      </w:r>
      <w:bookmarkEnd w:id="84"/>
    </w:p>
    <w:p w14:paraId="09996822">
      <w:pPr>
        <w:pStyle w:val="33"/>
        <w:bidi w:val="0"/>
        <w:rPr>
          <w:rFonts w:hint="eastAsia"/>
          <w:lang w:val="en-US" w:eastAsia="zh-CN"/>
        </w:rPr>
      </w:pPr>
      <w:bookmarkStart w:id="85" w:name="_Toc27706"/>
      <w:r>
        <w:rPr>
          <w:rFonts w:hint="eastAsia"/>
          <w:lang w:val="en-US" w:eastAsia="zh-CN"/>
        </w:rPr>
        <w:t>3.1.1现有工程环保手续履行情况</w:t>
      </w:r>
      <w:bookmarkEnd w:id="85"/>
    </w:p>
    <w:p w14:paraId="5A665BE5">
      <w:pPr>
        <w:pStyle w:val="21"/>
        <w:rPr>
          <w:rFonts w:hint="eastAsia"/>
          <w:lang w:val="en-US" w:eastAsia="zh-CN"/>
        </w:rPr>
      </w:pPr>
      <w:r>
        <w:rPr>
          <w:rFonts w:hint="eastAsia"/>
          <w:lang w:val="en-US" w:eastAsia="zh-CN"/>
        </w:rPr>
        <w:t>衡东兴泰船舶维修有限公司于2018年在衡阳市衡东县三樟镇长江村湘江滩涂，开展船舶修理建设项目。其规模为年维修船舶5万载重吨（折合约50艘1000载重吨船舶规模），修理内容为船舶的切割换块和补漆。</w:t>
      </w:r>
    </w:p>
    <w:p w14:paraId="7B2D6E67">
      <w:pPr>
        <w:pStyle w:val="21"/>
        <w:rPr>
          <w:rFonts w:hint="eastAsia"/>
          <w:lang w:val="en-US" w:eastAsia="zh-CN"/>
        </w:rPr>
      </w:pPr>
      <w:r>
        <w:rPr>
          <w:rFonts w:hint="eastAsia"/>
          <w:lang w:val="en-US" w:eastAsia="zh-CN"/>
        </w:rPr>
        <w:t>项目建成投产以来，未执行环境影响评价手续。2018年，衡东县环境保护局环境监察人员现场检查，提出项目未按照要求办理环境影响评价手续，无污染防治措施，无排污许可证。因此，衡东县环保局按照法定程序对衡东兴泰船舶维修有限公司船舶修理建设项目进行了行政处罚，企业主已按照处罚要求，缴纳了罚款。</w:t>
      </w:r>
    </w:p>
    <w:p w14:paraId="64C0E6A7">
      <w:pPr>
        <w:pStyle w:val="21"/>
        <w:rPr>
          <w:rFonts w:hint="eastAsia"/>
          <w:lang w:val="en-US" w:eastAsia="zh-CN"/>
        </w:rPr>
      </w:pPr>
      <w:r>
        <w:rPr>
          <w:rFonts w:hint="eastAsia"/>
          <w:lang w:val="en-US" w:eastAsia="zh-CN"/>
        </w:rPr>
        <w:t>该项目按照《中华人民共和国环境保护法》、《中华人民共和国环境影响评价法》（2016年9月1日起施行）和中华人民共和国国务院令第682号《建设项目环境保护管理条例》（2017年6月21日修订通过）等法律、法规的要求，重庆大润环境科学研究院有限公司于2019年2月编制完成《衡东兴泰船舶维修有限公司船舶修理建设项目环境影响报告书》的编制，2019年4月30日由衡东县环境保护局下达该环评文件的批复（东环评</w:t>
      </w:r>
      <w:r>
        <w:rPr>
          <w:rFonts w:hint="eastAsia" w:ascii="宋体" w:hAnsi="宋体" w:eastAsia="宋体" w:cs="宋体"/>
          <w:lang w:val="en-US" w:eastAsia="zh-CN"/>
        </w:rPr>
        <w:t>〔</w:t>
      </w:r>
      <w:r>
        <w:rPr>
          <w:rFonts w:hint="eastAsia"/>
          <w:lang w:val="en-US" w:eastAsia="zh-CN"/>
        </w:rPr>
        <w:t>2019</w:t>
      </w:r>
      <w:r>
        <w:rPr>
          <w:rFonts w:hint="eastAsia" w:ascii="宋体" w:hAnsi="宋体" w:eastAsia="宋体" w:cs="宋体"/>
          <w:lang w:val="en-US" w:eastAsia="zh-CN"/>
        </w:rPr>
        <w:t>〕</w:t>
      </w:r>
      <w:r>
        <w:rPr>
          <w:rFonts w:hint="eastAsia"/>
          <w:lang w:val="en-US" w:eastAsia="zh-CN"/>
        </w:rPr>
        <w:t>14号）。</w:t>
      </w:r>
    </w:p>
    <w:p w14:paraId="293C7046">
      <w:pPr>
        <w:pStyle w:val="21"/>
        <w:rPr>
          <w:rFonts w:hint="eastAsia"/>
          <w:lang w:val="en-US" w:eastAsia="zh-CN"/>
        </w:rPr>
      </w:pPr>
      <w:r>
        <w:rPr>
          <w:rFonts w:hint="eastAsia"/>
          <w:lang w:val="en-US" w:eastAsia="zh-CN"/>
        </w:rPr>
        <w:t>衡东兴泰船舶维修有限公司按照环评要求进行整改后，于2020年7月7日进行了排污许可登记（登记编号：91430424MA4M4YJ56F001W），于2020年11月重新投入运营，并开展自主竣工环保验收工作，于2021年1月27日通过竣工环境保护自主验收会议，2021年4月28日报衡阳市生态环境局衡东分局备案（备案号：2021004）。</w:t>
      </w:r>
    </w:p>
    <w:p w14:paraId="1B8D358A">
      <w:pPr>
        <w:pStyle w:val="21"/>
        <w:rPr>
          <w:rFonts w:hint="eastAsia"/>
          <w:lang w:val="en-US" w:eastAsia="zh-CN"/>
        </w:rPr>
      </w:pPr>
      <w:r>
        <w:rPr>
          <w:rFonts w:hint="eastAsia"/>
          <w:lang w:val="en-US" w:eastAsia="zh-CN"/>
        </w:rPr>
        <w:t>衡东兴泰船舶维修有限公司于2021年1月完成突发环境事件应急预案编制，并于2021年1月13日报衡阳市生态环境局衡东分局备案（备案号：430424-2021-001-L）。</w:t>
      </w:r>
    </w:p>
    <w:p w14:paraId="5965141F">
      <w:pPr>
        <w:pStyle w:val="21"/>
        <w:rPr>
          <w:rFonts w:hint="eastAsia"/>
          <w:lang w:val="en-US" w:eastAsia="zh-CN"/>
        </w:rPr>
      </w:pPr>
      <w:r>
        <w:rPr>
          <w:rFonts w:hint="eastAsia"/>
          <w:lang w:val="en-US" w:eastAsia="zh-CN"/>
        </w:rPr>
        <w:t>衡东兴泰船舶维修有限公司于2025年7月29日重新进行排污许可登记，登记编号为91430424MA4M4YJ56F001W。</w:t>
      </w:r>
    </w:p>
    <w:p w14:paraId="6E674F65">
      <w:pPr>
        <w:pStyle w:val="21"/>
        <w:rPr>
          <w:rFonts w:hint="eastAsia"/>
          <w:lang w:val="en-US" w:eastAsia="zh-CN"/>
        </w:rPr>
      </w:pPr>
    </w:p>
    <w:p w14:paraId="44019811">
      <w:pPr>
        <w:pStyle w:val="21"/>
        <w:rPr>
          <w:rFonts w:hint="default"/>
          <w:lang w:val="en-US" w:eastAsia="zh-CN"/>
        </w:rPr>
      </w:pPr>
    </w:p>
    <w:p w14:paraId="44F5C312">
      <w:pPr>
        <w:pStyle w:val="23"/>
        <w:bidi w:val="0"/>
        <w:rPr>
          <w:rFonts w:hint="eastAsia"/>
          <w:lang w:val="en-US" w:eastAsia="zh-CN"/>
        </w:rPr>
      </w:pPr>
      <w:r>
        <w:rPr>
          <w:rFonts w:hint="eastAsia"/>
          <w:lang w:val="en-US" w:eastAsia="zh-CN"/>
        </w:rPr>
        <w:t>表3.1-1  现有工程环保手续履行情况表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3737"/>
        <w:gridCol w:w="1434"/>
        <w:gridCol w:w="2131"/>
      </w:tblGrid>
      <w:tr w14:paraId="66B38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0" w:type="dxa"/>
            <w:vAlign w:val="center"/>
          </w:tcPr>
          <w:p w14:paraId="06E65AC7">
            <w:pPr>
              <w:pStyle w:val="31"/>
              <w:bidi w:val="0"/>
              <w:jc w:val="center"/>
              <w:rPr>
                <w:rFonts w:hint="default"/>
                <w:lang w:val="en-US" w:eastAsia="zh-CN"/>
              </w:rPr>
            </w:pPr>
            <w:r>
              <w:rPr>
                <w:rFonts w:hint="eastAsia"/>
                <w:lang w:val="en-US" w:eastAsia="zh-CN"/>
              </w:rPr>
              <w:t>手续</w:t>
            </w:r>
          </w:p>
        </w:tc>
        <w:tc>
          <w:tcPr>
            <w:tcW w:w="3737" w:type="dxa"/>
            <w:vAlign w:val="center"/>
          </w:tcPr>
          <w:p w14:paraId="0CEA0ED4">
            <w:pPr>
              <w:pStyle w:val="31"/>
              <w:bidi w:val="0"/>
              <w:jc w:val="center"/>
              <w:rPr>
                <w:rFonts w:hint="default"/>
                <w:lang w:val="en-US" w:eastAsia="zh-CN"/>
              </w:rPr>
            </w:pPr>
            <w:r>
              <w:rPr>
                <w:rFonts w:hint="eastAsia"/>
                <w:lang w:val="en-US" w:eastAsia="zh-CN"/>
              </w:rPr>
              <w:t>情况</w:t>
            </w:r>
          </w:p>
        </w:tc>
        <w:tc>
          <w:tcPr>
            <w:tcW w:w="1434" w:type="dxa"/>
            <w:vAlign w:val="center"/>
          </w:tcPr>
          <w:p w14:paraId="602539F1">
            <w:pPr>
              <w:pStyle w:val="31"/>
              <w:bidi w:val="0"/>
              <w:jc w:val="center"/>
              <w:rPr>
                <w:rFonts w:hint="default"/>
                <w:lang w:val="en-US" w:eastAsia="zh-CN"/>
              </w:rPr>
            </w:pPr>
            <w:r>
              <w:rPr>
                <w:rFonts w:hint="eastAsia"/>
                <w:lang w:val="en-US" w:eastAsia="zh-CN"/>
              </w:rPr>
              <w:t>完成时间</w:t>
            </w:r>
          </w:p>
        </w:tc>
        <w:tc>
          <w:tcPr>
            <w:tcW w:w="2131" w:type="dxa"/>
            <w:vAlign w:val="center"/>
          </w:tcPr>
          <w:p w14:paraId="25B59CF7">
            <w:pPr>
              <w:pStyle w:val="31"/>
              <w:bidi w:val="0"/>
              <w:jc w:val="center"/>
              <w:rPr>
                <w:rFonts w:hint="default"/>
                <w:lang w:val="en-US" w:eastAsia="zh-CN"/>
              </w:rPr>
            </w:pPr>
            <w:r>
              <w:rPr>
                <w:rFonts w:hint="eastAsia"/>
                <w:lang w:val="en-US" w:eastAsia="zh-CN"/>
              </w:rPr>
              <w:t>相关文号</w:t>
            </w:r>
          </w:p>
        </w:tc>
      </w:tr>
      <w:tr w14:paraId="020A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0" w:type="dxa"/>
            <w:vAlign w:val="center"/>
          </w:tcPr>
          <w:p w14:paraId="20E4F8CF">
            <w:pPr>
              <w:pStyle w:val="31"/>
              <w:bidi w:val="0"/>
              <w:jc w:val="center"/>
              <w:rPr>
                <w:rFonts w:hint="default"/>
                <w:lang w:val="en-US" w:eastAsia="zh-CN"/>
              </w:rPr>
            </w:pPr>
            <w:r>
              <w:rPr>
                <w:rFonts w:hint="eastAsia"/>
                <w:lang w:val="en-US" w:eastAsia="zh-CN"/>
              </w:rPr>
              <w:t>环境影响评价</w:t>
            </w:r>
          </w:p>
        </w:tc>
        <w:tc>
          <w:tcPr>
            <w:tcW w:w="3737" w:type="dxa"/>
            <w:vAlign w:val="center"/>
          </w:tcPr>
          <w:p w14:paraId="1BE13DB0">
            <w:pPr>
              <w:pStyle w:val="31"/>
              <w:bidi w:val="0"/>
              <w:jc w:val="center"/>
              <w:rPr>
                <w:rFonts w:hint="default"/>
                <w:lang w:val="en-US" w:eastAsia="zh-CN"/>
              </w:rPr>
            </w:pPr>
            <w:r>
              <w:rPr>
                <w:rFonts w:hint="eastAsia"/>
                <w:lang w:val="en-US" w:eastAsia="zh-CN"/>
              </w:rPr>
              <w:t>委托重庆大润环境科学研究院有限公司完成《衡东兴泰船舶维修有限公司船舶修理建设项目环境影响报告书》编制</w:t>
            </w:r>
          </w:p>
        </w:tc>
        <w:tc>
          <w:tcPr>
            <w:tcW w:w="1434" w:type="dxa"/>
            <w:vAlign w:val="center"/>
          </w:tcPr>
          <w:p w14:paraId="058231AD">
            <w:pPr>
              <w:pStyle w:val="31"/>
              <w:bidi w:val="0"/>
              <w:jc w:val="center"/>
              <w:rPr>
                <w:rFonts w:hint="default"/>
                <w:lang w:val="en-US" w:eastAsia="zh-CN"/>
              </w:rPr>
            </w:pPr>
            <w:r>
              <w:rPr>
                <w:rFonts w:hint="eastAsia"/>
                <w:lang w:val="en-US" w:eastAsia="zh-CN"/>
              </w:rPr>
              <w:t>2019年4月30日</w:t>
            </w:r>
          </w:p>
        </w:tc>
        <w:tc>
          <w:tcPr>
            <w:tcW w:w="2131" w:type="dxa"/>
            <w:vAlign w:val="center"/>
          </w:tcPr>
          <w:p w14:paraId="34B30548">
            <w:pPr>
              <w:pStyle w:val="31"/>
              <w:bidi w:val="0"/>
              <w:jc w:val="center"/>
              <w:rPr>
                <w:rFonts w:hint="default"/>
                <w:lang w:val="en-US" w:eastAsia="zh-CN"/>
              </w:rPr>
            </w:pPr>
            <w:r>
              <w:rPr>
                <w:rFonts w:hint="default"/>
                <w:lang w:val="en-US" w:eastAsia="zh-CN"/>
              </w:rPr>
              <w:t>东环评〔2019〕14号</w:t>
            </w:r>
          </w:p>
        </w:tc>
      </w:tr>
      <w:tr w14:paraId="5086A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0" w:type="dxa"/>
            <w:vAlign w:val="center"/>
          </w:tcPr>
          <w:p w14:paraId="5E10E5DD">
            <w:pPr>
              <w:pStyle w:val="31"/>
              <w:bidi w:val="0"/>
              <w:jc w:val="center"/>
              <w:rPr>
                <w:rFonts w:hint="default"/>
                <w:lang w:val="en-US" w:eastAsia="zh-CN"/>
              </w:rPr>
            </w:pPr>
            <w:r>
              <w:rPr>
                <w:rFonts w:hint="eastAsia"/>
                <w:lang w:val="en-US" w:eastAsia="zh-CN"/>
              </w:rPr>
              <w:t>突发环境事件应急预案</w:t>
            </w:r>
          </w:p>
        </w:tc>
        <w:tc>
          <w:tcPr>
            <w:tcW w:w="3737" w:type="dxa"/>
            <w:vAlign w:val="center"/>
          </w:tcPr>
          <w:p w14:paraId="52D90450">
            <w:pPr>
              <w:pStyle w:val="31"/>
              <w:bidi w:val="0"/>
              <w:jc w:val="center"/>
              <w:rPr>
                <w:rFonts w:hint="default"/>
                <w:lang w:val="en-US" w:eastAsia="zh-CN"/>
              </w:rPr>
            </w:pPr>
            <w:r>
              <w:rPr>
                <w:rFonts w:hint="eastAsia"/>
                <w:lang w:val="en-US" w:eastAsia="zh-CN"/>
              </w:rPr>
              <w:t>委托</w:t>
            </w:r>
            <w:r>
              <w:rPr>
                <w:rFonts w:hint="default"/>
                <w:lang w:val="en-US" w:eastAsia="zh-CN"/>
              </w:rPr>
              <w:t>衡阳市蓝天环保有限公司</w:t>
            </w:r>
            <w:r>
              <w:rPr>
                <w:rFonts w:hint="eastAsia"/>
                <w:lang w:val="en-US" w:eastAsia="zh-CN"/>
              </w:rPr>
              <w:t>完成《衡东兴泰船舶维修有限公司突发环境事件应急预案》</w:t>
            </w:r>
          </w:p>
        </w:tc>
        <w:tc>
          <w:tcPr>
            <w:tcW w:w="1434" w:type="dxa"/>
            <w:vAlign w:val="center"/>
          </w:tcPr>
          <w:p w14:paraId="455BF524">
            <w:pPr>
              <w:pStyle w:val="31"/>
              <w:bidi w:val="0"/>
              <w:jc w:val="center"/>
              <w:rPr>
                <w:rFonts w:hint="default"/>
                <w:lang w:val="en-US" w:eastAsia="zh-CN"/>
              </w:rPr>
            </w:pPr>
            <w:r>
              <w:rPr>
                <w:rFonts w:hint="eastAsia"/>
                <w:lang w:val="en-US" w:eastAsia="zh-CN"/>
              </w:rPr>
              <w:t>2021年1月13日</w:t>
            </w:r>
          </w:p>
        </w:tc>
        <w:tc>
          <w:tcPr>
            <w:tcW w:w="2131" w:type="dxa"/>
            <w:vAlign w:val="center"/>
          </w:tcPr>
          <w:p w14:paraId="3BDF3EC9">
            <w:pPr>
              <w:pStyle w:val="31"/>
              <w:bidi w:val="0"/>
              <w:jc w:val="center"/>
              <w:rPr>
                <w:rFonts w:hint="default"/>
                <w:lang w:val="en-US" w:eastAsia="zh-CN"/>
              </w:rPr>
            </w:pPr>
            <w:r>
              <w:rPr>
                <w:rFonts w:hint="eastAsia"/>
                <w:lang w:val="en-US" w:eastAsia="zh-CN"/>
              </w:rPr>
              <w:t>430424-2021-001-L</w:t>
            </w:r>
          </w:p>
        </w:tc>
      </w:tr>
      <w:tr w14:paraId="39CA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0" w:type="dxa"/>
            <w:vAlign w:val="center"/>
          </w:tcPr>
          <w:p w14:paraId="3E5B08EA">
            <w:pPr>
              <w:pStyle w:val="31"/>
              <w:bidi w:val="0"/>
              <w:jc w:val="center"/>
              <w:rPr>
                <w:rFonts w:hint="default"/>
                <w:lang w:val="en-US" w:eastAsia="zh-CN"/>
              </w:rPr>
            </w:pPr>
            <w:r>
              <w:rPr>
                <w:rFonts w:hint="eastAsia"/>
                <w:lang w:val="en-US" w:eastAsia="zh-CN"/>
              </w:rPr>
              <w:t>排污许可</w:t>
            </w:r>
          </w:p>
        </w:tc>
        <w:tc>
          <w:tcPr>
            <w:tcW w:w="3737" w:type="dxa"/>
            <w:vAlign w:val="center"/>
          </w:tcPr>
          <w:p w14:paraId="1CE4A840">
            <w:pPr>
              <w:pStyle w:val="31"/>
              <w:bidi w:val="0"/>
              <w:jc w:val="center"/>
              <w:rPr>
                <w:rFonts w:hint="default"/>
                <w:lang w:val="en-US" w:eastAsia="zh-CN"/>
              </w:rPr>
            </w:pPr>
            <w:r>
              <w:rPr>
                <w:rFonts w:hint="eastAsia"/>
                <w:lang w:val="en-US" w:eastAsia="zh-CN"/>
              </w:rPr>
              <w:t>属于登记管理，于2020年7月7日首次登记，2025年7月29日重新登记</w:t>
            </w:r>
          </w:p>
        </w:tc>
        <w:tc>
          <w:tcPr>
            <w:tcW w:w="1434" w:type="dxa"/>
            <w:vAlign w:val="center"/>
          </w:tcPr>
          <w:p w14:paraId="6485072A">
            <w:pPr>
              <w:pStyle w:val="31"/>
              <w:bidi w:val="0"/>
              <w:jc w:val="center"/>
              <w:rPr>
                <w:rFonts w:hint="default"/>
                <w:lang w:val="en-US" w:eastAsia="zh-CN"/>
              </w:rPr>
            </w:pPr>
            <w:r>
              <w:rPr>
                <w:rFonts w:hint="eastAsia"/>
                <w:lang w:val="en-US" w:eastAsia="zh-CN"/>
              </w:rPr>
              <w:t>2020年7月7日，2025年7月29日</w:t>
            </w:r>
          </w:p>
        </w:tc>
        <w:tc>
          <w:tcPr>
            <w:tcW w:w="2131" w:type="dxa"/>
            <w:vAlign w:val="center"/>
          </w:tcPr>
          <w:p w14:paraId="1B735824">
            <w:pPr>
              <w:pStyle w:val="31"/>
              <w:bidi w:val="0"/>
              <w:jc w:val="center"/>
              <w:rPr>
                <w:rFonts w:hint="eastAsia"/>
                <w:lang w:val="en-US" w:eastAsia="zh-CN"/>
              </w:rPr>
            </w:pPr>
            <w:r>
              <w:rPr>
                <w:rFonts w:hint="eastAsia"/>
                <w:lang w:val="en-US" w:eastAsia="zh-CN"/>
              </w:rPr>
              <w:t>91430424MA4M</w:t>
            </w:r>
          </w:p>
          <w:p w14:paraId="3C2A0EFA">
            <w:pPr>
              <w:pStyle w:val="31"/>
              <w:bidi w:val="0"/>
              <w:jc w:val="center"/>
              <w:rPr>
                <w:rFonts w:hint="default"/>
                <w:lang w:val="en-US" w:eastAsia="zh-CN"/>
              </w:rPr>
            </w:pPr>
            <w:r>
              <w:rPr>
                <w:rFonts w:hint="eastAsia"/>
                <w:lang w:val="en-US" w:eastAsia="zh-CN"/>
              </w:rPr>
              <w:t>4YJ56F001W</w:t>
            </w:r>
          </w:p>
        </w:tc>
      </w:tr>
      <w:tr w14:paraId="2597C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0" w:type="dxa"/>
            <w:vAlign w:val="center"/>
          </w:tcPr>
          <w:p w14:paraId="7F3CD228">
            <w:pPr>
              <w:pStyle w:val="31"/>
              <w:bidi w:val="0"/>
              <w:jc w:val="center"/>
              <w:rPr>
                <w:rFonts w:hint="default"/>
                <w:lang w:val="en-US" w:eastAsia="zh-CN"/>
              </w:rPr>
            </w:pPr>
            <w:r>
              <w:rPr>
                <w:rFonts w:hint="eastAsia"/>
                <w:lang w:val="en-US" w:eastAsia="zh-CN"/>
              </w:rPr>
              <w:t>竣工环境保护验收</w:t>
            </w:r>
          </w:p>
        </w:tc>
        <w:tc>
          <w:tcPr>
            <w:tcW w:w="3737" w:type="dxa"/>
            <w:vAlign w:val="center"/>
          </w:tcPr>
          <w:p w14:paraId="1410689E">
            <w:pPr>
              <w:pStyle w:val="31"/>
              <w:bidi w:val="0"/>
              <w:jc w:val="center"/>
              <w:rPr>
                <w:rFonts w:hint="default"/>
                <w:lang w:val="en-US" w:eastAsia="zh-CN"/>
              </w:rPr>
            </w:pPr>
            <w:r>
              <w:rPr>
                <w:rFonts w:hint="eastAsia"/>
                <w:lang w:val="en-US" w:eastAsia="zh-CN"/>
              </w:rPr>
              <w:t>2021年1月27日通过竣工环境保护自主验收会议</w:t>
            </w:r>
          </w:p>
        </w:tc>
        <w:tc>
          <w:tcPr>
            <w:tcW w:w="1434" w:type="dxa"/>
            <w:vAlign w:val="center"/>
          </w:tcPr>
          <w:p w14:paraId="23BEE3BD">
            <w:pPr>
              <w:pStyle w:val="31"/>
              <w:bidi w:val="0"/>
              <w:jc w:val="center"/>
              <w:rPr>
                <w:rFonts w:hint="default"/>
                <w:lang w:val="en-US" w:eastAsia="zh-CN"/>
              </w:rPr>
            </w:pPr>
            <w:r>
              <w:rPr>
                <w:rFonts w:hint="eastAsia"/>
                <w:lang w:val="en-US" w:eastAsia="zh-CN"/>
              </w:rPr>
              <w:t>2021年4月28日</w:t>
            </w:r>
          </w:p>
        </w:tc>
        <w:tc>
          <w:tcPr>
            <w:tcW w:w="2131" w:type="dxa"/>
            <w:vAlign w:val="center"/>
          </w:tcPr>
          <w:p w14:paraId="0D138DD9">
            <w:pPr>
              <w:pStyle w:val="31"/>
              <w:bidi w:val="0"/>
              <w:jc w:val="center"/>
              <w:rPr>
                <w:rFonts w:hint="default"/>
                <w:lang w:val="en-US" w:eastAsia="zh-CN"/>
              </w:rPr>
            </w:pPr>
            <w:r>
              <w:rPr>
                <w:rFonts w:hint="eastAsia"/>
                <w:lang w:val="en-US" w:eastAsia="zh-CN"/>
              </w:rPr>
              <w:t>2021004</w:t>
            </w:r>
          </w:p>
        </w:tc>
      </w:tr>
    </w:tbl>
    <w:p w14:paraId="4ABB03C0">
      <w:pPr>
        <w:pStyle w:val="33"/>
        <w:bidi w:val="0"/>
        <w:rPr>
          <w:rFonts w:hint="eastAsia"/>
          <w:lang w:val="en-US" w:eastAsia="zh-CN"/>
        </w:rPr>
      </w:pPr>
      <w:bookmarkStart w:id="86" w:name="_Toc22064"/>
      <w:r>
        <w:rPr>
          <w:rFonts w:hint="eastAsia"/>
          <w:lang w:val="en-US" w:eastAsia="zh-CN"/>
        </w:rPr>
        <w:t>3.1.2现有工程主要建设内容</w:t>
      </w:r>
      <w:bookmarkEnd w:id="86"/>
    </w:p>
    <w:p w14:paraId="0E97EC3E">
      <w:pPr>
        <w:pStyle w:val="21"/>
        <w:rPr>
          <w:rFonts w:hint="default"/>
          <w:lang w:val="en-US" w:eastAsia="zh-CN"/>
        </w:rPr>
      </w:pPr>
      <w:r>
        <w:rPr>
          <w:rFonts w:hint="eastAsia"/>
          <w:lang w:val="en-US" w:eastAsia="zh-CN"/>
        </w:rPr>
        <w:t>1、主要建设内容</w:t>
      </w:r>
    </w:p>
    <w:p w14:paraId="1A8DA37A">
      <w:pPr>
        <w:pStyle w:val="21"/>
        <w:rPr>
          <w:rFonts w:hint="eastAsia"/>
          <w:vertAlign w:val="baseline"/>
          <w:lang w:val="en-US" w:eastAsia="zh-CN"/>
        </w:rPr>
      </w:pPr>
      <w:r>
        <w:rPr>
          <w:rFonts w:hint="eastAsia"/>
          <w:lang w:val="en-US" w:eastAsia="zh-CN"/>
        </w:rPr>
        <w:t>衡东兴泰船舶维修有限公司位于衡阳市衡东县三樟镇长江村湘江滩涂地，占地面积6000m</w:t>
      </w:r>
      <w:r>
        <w:rPr>
          <w:rFonts w:hint="eastAsia"/>
          <w:vertAlign w:val="superscript"/>
          <w:lang w:val="en-US" w:eastAsia="zh-CN"/>
        </w:rPr>
        <w:t>2</w:t>
      </w:r>
      <w:r>
        <w:rPr>
          <w:rFonts w:hint="eastAsia"/>
          <w:vertAlign w:val="baseline"/>
          <w:lang w:val="en-US" w:eastAsia="zh-CN"/>
        </w:rPr>
        <w:t>，主要建设内容包括船台、空压站、原材料仓库、化学品仓库、喷砂装置用河沙堆场、油漆库、办公室及其他配套设施，具体建设内容如下：</w:t>
      </w:r>
    </w:p>
    <w:p w14:paraId="68E5992C">
      <w:pPr>
        <w:pStyle w:val="23"/>
        <w:bidi w:val="0"/>
        <w:rPr>
          <w:rFonts w:hint="eastAsia"/>
          <w:lang w:val="en-US" w:eastAsia="zh-CN"/>
        </w:rPr>
      </w:pPr>
      <w:r>
        <w:rPr>
          <w:rFonts w:hint="eastAsia"/>
          <w:lang w:val="en-US" w:eastAsia="zh-CN"/>
        </w:rPr>
        <w:t>表3.1-2  现有工程主要建设内容一览表</w:t>
      </w:r>
    </w:p>
    <w:tbl>
      <w:tblPr>
        <w:tblStyle w:val="15"/>
        <w:tblW w:w="856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2141"/>
        <w:gridCol w:w="5318"/>
      </w:tblGrid>
      <w:tr w14:paraId="68762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blHeader/>
        </w:trPr>
        <w:tc>
          <w:tcPr>
            <w:tcW w:w="1110" w:type="dxa"/>
            <w:tcBorders>
              <w:tl2br w:val="nil"/>
              <w:tr2bl w:val="nil"/>
            </w:tcBorders>
            <w:noWrap w:val="0"/>
            <w:vAlign w:val="center"/>
          </w:tcPr>
          <w:p w14:paraId="2346CBB8">
            <w:pPr>
              <w:pStyle w:val="31"/>
              <w:bidi w:val="0"/>
              <w:jc w:val="center"/>
              <w:rPr>
                <w:rFonts w:hint="default"/>
              </w:rPr>
            </w:pPr>
            <w:r>
              <w:rPr>
                <w:rFonts w:hint="default"/>
              </w:rPr>
              <w:t>工程类别</w:t>
            </w:r>
          </w:p>
        </w:tc>
        <w:tc>
          <w:tcPr>
            <w:tcW w:w="2141" w:type="dxa"/>
            <w:tcBorders>
              <w:tl2br w:val="nil"/>
              <w:tr2bl w:val="nil"/>
            </w:tcBorders>
            <w:noWrap w:val="0"/>
            <w:vAlign w:val="center"/>
          </w:tcPr>
          <w:p w14:paraId="667AA671">
            <w:pPr>
              <w:pStyle w:val="31"/>
              <w:bidi w:val="0"/>
              <w:jc w:val="center"/>
              <w:rPr>
                <w:rFonts w:hint="default"/>
                <w:lang w:eastAsia="zh-CN"/>
              </w:rPr>
            </w:pPr>
            <w:r>
              <w:rPr>
                <w:rFonts w:hint="default"/>
                <w:lang w:eastAsia="zh-CN"/>
              </w:rPr>
              <w:t>建设内容</w:t>
            </w:r>
          </w:p>
        </w:tc>
        <w:tc>
          <w:tcPr>
            <w:tcW w:w="5318" w:type="dxa"/>
            <w:tcBorders>
              <w:tl2br w:val="nil"/>
              <w:tr2bl w:val="nil"/>
            </w:tcBorders>
            <w:noWrap w:val="0"/>
            <w:vAlign w:val="center"/>
          </w:tcPr>
          <w:p w14:paraId="7CD9211E">
            <w:pPr>
              <w:pStyle w:val="31"/>
              <w:bidi w:val="0"/>
              <w:jc w:val="center"/>
              <w:rPr>
                <w:rFonts w:hint="default"/>
                <w:lang w:eastAsia="zh-CN"/>
              </w:rPr>
            </w:pPr>
            <w:r>
              <w:rPr>
                <w:rFonts w:hint="default"/>
                <w:lang w:eastAsia="zh-CN"/>
              </w:rPr>
              <w:t>实际建设情况</w:t>
            </w:r>
          </w:p>
        </w:tc>
      </w:tr>
      <w:tr w14:paraId="6D5DF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tcBorders>
              <w:tl2br w:val="nil"/>
              <w:tr2bl w:val="nil"/>
            </w:tcBorders>
            <w:noWrap w:val="0"/>
            <w:vAlign w:val="center"/>
          </w:tcPr>
          <w:p w14:paraId="4AF86034">
            <w:pPr>
              <w:pStyle w:val="31"/>
              <w:bidi w:val="0"/>
              <w:jc w:val="center"/>
              <w:rPr>
                <w:rFonts w:hint="default"/>
                <w:lang w:val="en-GB" w:eastAsia="zh-CN"/>
              </w:rPr>
            </w:pPr>
            <w:r>
              <w:rPr>
                <w:rFonts w:hint="eastAsia"/>
                <w:lang w:val="en-US" w:eastAsia="zh-CN"/>
              </w:rPr>
              <w:t>主体工程</w:t>
            </w:r>
          </w:p>
        </w:tc>
        <w:tc>
          <w:tcPr>
            <w:tcW w:w="2141" w:type="dxa"/>
            <w:tcBorders>
              <w:tl2br w:val="nil"/>
              <w:tr2bl w:val="nil"/>
            </w:tcBorders>
            <w:noWrap w:val="0"/>
            <w:vAlign w:val="center"/>
          </w:tcPr>
          <w:p w14:paraId="69FF6827">
            <w:pPr>
              <w:pStyle w:val="31"/>
              <w:bidi w:val="0"/>
              <w:jc w:val="center"/>
              <w:rPr>
                <w:rFonts w:hint="default"/>
                <w:lang w:val="en-GB" w:eastAsia="zh-CN"/>
              </w:rPr>
            </w:pPr>
            <w:r>
              <w:rPr>
                <w:rFonts w:hint="eastAsia"/>
                <w:lang w:val="en-US" w:eastAsia="zh-CN"/>
              </w:rPr>
              <w:t>船台</w:t>
            </w:r>
          </w:p>
        </w:tc>
        <w:tc>
          <w:tcPr>
            <w:tcW w:w="5318" w:type="dxa"/>
            <w:tcBorders>
              <w:tl2br w:val="nil"/>
              <w:tr2bl w:val="nil"/>
            </w:tcBorders>
            <w:noWrap w:val="0"/>
            <w:vAlign w:val="center"/>
          </w:tcPr>
          <w:p w14:paraId="72BF6AC4">
            <w:pPr>
              <w:pStyle w:val="31"/>
              <w:bidi w:val="0"/>
              <w:jc w:val="center"/>
              <w:rPr>
                <w:rFonts w:hint="default"/>
                <w:lang w:val="en-US" w:eastAsia="zh-CN"/>
              </w:rPr>
            </w:pPr>
            <w:r>
              <w:rPr>
                <w:rFonts w:hint="eastAsia"/>
                <w:lang w:val="en-US" w:eastAsia="zh-CN"/>
              </w:rPr>
              <w:t>已建成1个船台，船台大小为100m×50m；本项目仅进行船体外壳的维修</w:t>
            </w:r>
          </w:p>
        </w:tc>
      </w:tr>
      <w:tr w14:paraId="6327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restart"/>
            <w:tcBorders>
              <w:tl2br w:val="nil"/>
              <w:tr2bl w:val="nil"/>
            </w:tcBorders>
            <w:noWrap w:val="0"/>
            <w:vAlign w:val="center"/>
          </w:tcPr>
          <w:p w14:paraId="7506834F">
            <w:pPr>
              <w:pStyle w:val="31"/>
              <w:bidi w:val="0"/>
              <w:jc w:val="center"/>
              <w:rPr>
                <w:rFonts w:hint="default"/>
                <w:lang w:val="en-GB" w:eastAsia="zh-CN"/>
              </w:rPr>
            </w:pPr>
            <w:r>
              <w:rPr>
                <w:rFonts w:hint="eastAsia"/>
                <w:lang w:val="en-US" w:eastAsia="zh-CN"/>
              </w:rPr>
              <w:t>公用工程</w:t>
            </w:r>
          </w:p>
        </w:tc>
        <w:tc>
          <w:tcPr>
            <w:tcW w:w="2141" w:type="dxa"/>
            <w:tcBorders>
              <w:tl2br w:val="nil"/>
              <w:tr2bl w:val="nil"/>
            </w:tcBorders>
            <w:noWrap w:val="0"/>
            <w:vAlign w:val="center"/>
          </w:tcPr>
          <w:p w14:paraId="5A15FAE9">
            <w:pPr>
              <w:pStyle w:val="31"/>
              <w:bidi w:val="0"/>
              <w:jc w:val="center"/>
              <w:rPr>
                <w:rFonts w:hint="default"/>
                <w:lang w:val="en-GB" w:eastAsia="zh-CN"/>
              </w:rPr>
            </w:pPr>
            <w:r>
              <w:rPr>
                <w:rFonts w:hint="eastAsia"/>
                <w:lang w:val="en-US" w:eastAsia="zh-CN"/>
              </w:rPr>
              <w:t>给水系统</w:t>
            </w:r>
          </w:p>
        </w:tc>
        <w:tc>
          <w:tcPr>
            <w:tcW w:w="5318" w:type="dxa"/>
            <w:tcBorders>
              <w:tl2br w:val="nil"/>
              <w:tr2bl w:val="nil"/>
            </w:tcBorders>
            <w:noWrap w:val="0"/>
            <w:vAlign w:val="center"/>
          </w:tcPr>
          <w:p w14:paraId="67F7DC87">
            <w:pPr>
              <w:pStyle w:val="31"/>
              <w:bidi w:val="0"/>
              <w:jc w:val="center"/>
              <w:rPr>
                <w:rFonts w:hint="default"/>
                <w:lang w:val="en-US" w:eastAsia="zh-CN"/>
              </w:rPr>
            </w:pPr>
            <w:r>
              <w:rPr>
                <w:rFonts w:hint="eastAsia"/>
                <w:lang w:val="en-US" w:eastAsia="zh-CN"/>
              </w:rPr>
              <w:t>生产用水为</w:t>
            </w:r>
            <w:r>
              <w:rPr>
                <w:rFonts w:hint="eastAsia"/>
                <w:lang w:val="en-GB" w:eastAsia="zh-CN"/>
              </w:rPr>
              <w:t>湘江水；</w:t>
            </w:r>
            <w:r>
              <w:rPr>
                <w:rFonts w:hint="eastAsia"/>
                <w:lang w:val="en-US" w:eastAsia="zh-CN"/>
              </w:rPr>
              <w:t>生活用水依托自建房中给水系统</w:t>
            </w:r>
          </w:p>
        </w:tc>
      </w:tr>
      <w:tr w14:paraId="3560A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7AF91A04">
            <w:pPr>
              <w:pStyle w:val="31"/>
              <w:bidi w:val="0"/>
              <w:jc w:val="center"/>
              <w:rPr>
                <w:rFonts w:hint="default"/>
                <w:lang w:val="en-GB" w:eastAsia="zh-CN"/>
              </w:rPr>
            </w:pPr>
          </w:p>
        </w:tc>
        <w:tc>
          <w:tcPr>
            <w:tcW w:w="2141" w:type="dxa"/>
            <w:tcBorders>
              <w:tl2br w:val="nil"/>
              <w:tr2bl w:val="nil"/>
            </w:tcBorders>
            <w:noWrap w:val="0"/>
            <w:vAlign w:val="center"/>
          </w:tcPr>
          <w:p w14:paraId="208B5ED4">
            <w:pPr>
              <w:pStyle w:val="31"/>
              <w:bidi w:val="0"/>
              <w:jc w:val="center"/>
              <w:rPr>
                <w:rFonts w:hint="default"/>
                <w:lang w:val="en-US" w:eastAsia="zh-CN"/>
              </w:rPr>
            </w:pPr>
            <w:r>
              <w:rPr>
                <w:rFonts w:hint="eastAsia"/>
                <w:lang w:val="en-US" w:eastAsia="zh-CN"/>
              </w:rPr>
              <w:t>排水系统</w:t>
            </w:r>
          </w:p>
        </w:tc>
        <w:tc>
          <w:tcPr>
            <w:tcW w:w="5318" w:type="dxa"/>
            <w:tcBorders>
              <w:tl2br w:val="nil"/>
              <w:tr2bl w:val="nil"/>
            </w:tcBorders>
            <w:noWrap w:val="0"/>
            <w:vAlign w:val="center"/>
          </w:tcPr>
          <w:p w14:paraId="1FE69C62">
            <w:pPr>
              <w:pStyle w:val="31"/>
              <w:bidi w:val="0"/>
              <w:jc w:val="center"/>
              <w:rPr>
                <w:rFonts w:hint="default"/>
                <w:lang w:val="en-US" w:eastAsia="zh-CN"/>
              </w:rPr>
            </w:pPr>
            <w:r>
              <w:rPr>
                <w:rFonts w:hint="eastAsia"/>
                <w:lang w:val="en-US" w:eastAsia="zh-CN"/>
              </w:rPr>
              <w:t>设有沉淀池一个</w:t>
            </w:r>
            <w:r>
              <w:rPr>
                <w:rFonts w:hint="eastAsia"/>
                <w:lang w:val="en-GB" w:eastAsia="zh-CN"/>
              </w:rPr>
              <w:t>，化粪池</w:t>
            </w:r>
            <w:r>
              <w:rPr>
                <w:rFonts w:hint="eastAsia"/>
                <w:lang w:val="en-US" w:eastAsia="zh-CN"/>
              </w:rPr>
              <w:t>依托自建房现有</w:t>
            </w:r>
          </w:p>
        </w:tc>
      </w:tr>
      <w:tr w14:paraId="72573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5493CCB1">
            <w:pPr>
              <w:pStyle w:val="31"/>
              <w:bidi w:val="0"/>
              <w:jc w:val="center"/>
              <w:rPr>
                <w:rFonts w:hint="default"/>
                <w:lang w:val="en-GB" w:eastAsia="zh-CN"/>
              </w:rPr>
            </w:pPr>
          </w:p>
        </w:tc>
        <w:tc>
          <w:tcPr>
            <w:tcW w:w="2141" w:type="dxa"/>
            <w:tcBorders>
              <w:tl2br w:val="nil"/>
              <w:tr2bl w:val="nil"/>
            </w:tcBorders>
            <w:noWrap w:val="0"/>
            <w:vAlign w:val="center"/>
          </w:tcPr>
          <w:p w14:paraId="0D9D59EF">
            <w:pPr>
              <w:pStyle w:val="31"/>
              <w:bidi w:val="0"/>
              <w:jc w:val="center"/>
              <w:rPr>
                <w:rFonts w:hint="default"/>
                <w:lang w:val="en-GB" w:eastAsia="zh-CN"/>
              </w:rPr>
            </w:pPr>
            <w:r>
              <w:rPr>
                <w:rFonts w:hint="eastAsia"/>
                <w:lang w:val="en-US" w:eastAsia="zh-CN"/>
              </w:rPr>
              <w:t>箱式变压器</w:t>
            </w:r>
          </w:p>
        </w:tc>
        <w:tc>
          <w:tcPr>
            <w:tcW w:w="5318" w:type="dxa"/>
            <w:tcBorders>
              <w:tl2br w:val="nil"/>
              <w:tr2bl w:val="nil"/>
            </w:tcBorders>
            <w:noWrap w:val="0"/>
            <w:vAlign w:val="center"/>
          </w:tcPr>
          <w:p w14:paraId="17470C9B">
            <w:pPr>
              <w:pStyle w:val="31"/>
              <w:bidi w:val="0"/>
              <w:jc w:val="center"/>
              <w:rPr>
                <w:rFonts w:hint="default"/>
                <w:lang w:val="en-US" w:eastAsia="zh-CN"/>
              </w:rPr>
            </w:pPr>
            <w:r>
              <w:rPr>
                <w:rFonts w:hint="eastAsia"/>
                <w:lang w:val="en-US" w:eastAsia="zh-CN"/>
              </w:rPr>
              <w:t>无</w:t>
            </w:r>
          </w:p>
        </w:tc>
      </w:tr>
      <w:tr w14:paraId="6C0E2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7CEBF3EE">
            <w:pPr>
              <w:pStyle w:val="31"/>
              <w:bidi w:val="0"/>
              <w:jc w:val="center"/>
              <w:rPr>
                <w:rFonts w:hint="default"/>
                <w:lang w:val="en-GB" w:eastAsia="zh-CN"/>
              </w:rPr>
            </w:pPr>
          </w:p>
        </w:tc>
        <w:tc>
          <w:tcPr>
            <w:tcW w:w="2141" w:type="dxa"/>
            <w:tcBorders>
              <w:tl2br w:val="nil"/>
              <w:tr2bl w:val="nil"/>
            </w:tcBorders>
            <w:noWrap w:val="0"/>
            <w:vAlign w:val="center"/>
          </w:tcPr>
          <w:p w14:paraId="39B92C15">
            <w:pPr>
              <w:pStyle w:val="31"/>
              <w:bidi w:val="0"/>
              <w:jc w:val="center"/>
              <w:rPr>
                <w:rFonts w:hint="default"/>
                <w:lang w:val="en-GB" w:eastAsia="zh-CN"/>
              </w:rPr>
            </w:pPr>
            <w:r>
              <w:rPr>
                <w:rFonts w:hint="eastAsia"/>
                <w:lang w:val="en-US" w:eastAsia="zh-CN"/>
              </w:rPr>
              <w:t>道路及硬化、绿化</w:t>
            </w:r>
          </w:p>
        </w:tc>
        <w:tc>
          <w:tcPr>
            <w:tcW w:w="5318" w:type="dxa"/>
            <w:tcBorders>
              <w:tl2br w:val="nil"/>
              <w:tr2bl w:val="nil"/>
            </w:tcBorders>
            <w:noWrap w:val="0"/>
            <w:vAlign w:val="center"/>
          </w:tcPr>
          <w:p w14:paraId="60CE26B9">
            <w:pPr>
              <w:pStyle w:val="31"/>
              <w:bidi w:val="0"/>
              <w:jc w:val="center"/>
              <w:rPr>
                <w:rFonts w:hint="default"/>
                <w:lang w:val="en-US" w:eastAsia="zh-CN"/>
              </w:rPr>
            </w:pPr>
            <w:r>
              <w:rPr>
                <w:rFonts w:hint="eastAsia"/>
                <w:lang w:val="en-GB" w:eastAsia="zh-CN"/>
              </w:rPr>
              <w:t>场内道路部分硬化</w:t>
            </w:r>
          </w:p>
        </w:tc>
      </w:tr>
      <w:tr w14:paraId="3A88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restart"/>
            <w:tcBorders>
              <w:tl2br w:val="nil"/>
              <w:tr2bl w:val="nil"/>
            </w:tcBorders>
            <w:noWrap w:val="0"/>
            <w:vAlign w:val="center"/>
          </w:tcPr>
          <w:p w14:paraId="6C15257B">
            <w:pPr>
              <w:pStyle w:val="31"/>
              <w:bidi w:val="0"/>
              <w:jc w:val="center"/>
              <w:rPr>
                <w:rFonts w:hint="default"/>
                <w:lang w:val="en-GB" w:eastAsia="zh-CN"/>
              </w:rPr>
            </w:pPr>
            <w:r>
              <w:rPr>
                <w:rFonts w:hint="eastAsia"/>
                <w:lang w:val="en-US" w:eastAsia="zh-CN"/>
              </w:rPr>
              <w:t>辅助工程</w:t>
            </w:r>
          </w:p>
        </w:tc>
        <w:tc>
          <w:tcPr>
            <w:tcW w:w="2141" w:type="dxa"/>
            <w:tcBorders>
              <w:tl2br w:val="nil"/>
              <w:tr2bl w:val="nil"/>
            </w:tcBorders>
            <w:noWrap w:val="0"/>
            <w:vAlign w:val="center"/>
          </w:tcPr>
          <w:p w14:paraId="06D3ECFF">
            <w:pPr>
              <w:pStyle w:val="31"/>
              <w:bidi w:val="0"/>
              <w:jc w:val="center"/>
              <w:rPr>
                <w:rFonts w:hint="default"/>
                <w:lang w:val="en-GB" w:eastAsia="zh-CN"/>
              </w:rPr>
            </w:pPr>
            <w:r>
              <w:rPr>
                <w:rFonts w:hint="eastAsia"/>
                <w:lang w:val="en-US" w:eastAsia="zh-CN"/>
              </w:rPr>
              <w:t>空压站</w:t>
            </w:r>
          </w:p>
        </w:tc>
        <w:tc>
          <w:tcPr>
            <w:tcW w:w="5318" w:type="dxa"/>
            <w:tcBorders>
              <w:tl2br w:val="nil"/>
              <w:tr2bl w:val="nil"/>
            </w:tcBorders>
            <w:noWrap w:val="0"/>
            <w:vAlign w:val="center"/>
          </w:tcPr>
          <w:p w14:paraId="08D69E7B">
            <w:pPr>
              <w:pStyle w:val="31"/>
              <w:bidi w:val="0"/>
              <w:jc w:val="center"/>
              <w:rPr>
                <w:rFonts w:hint="default"/>
                <w:lang w:val="en-US" w:eastAsia="zh-CN"/>
              </w:rPr>
            </w:pPr>
            <w:r>
              <w:rPr>
                <w:rFonts w:hint="eastAsia"/>
                <w:lang w:val="en-US" w:eastAsia="zh-CN"/>
              </w:rPr>
              <w:t>已设置变频双螺杆风冷空气压缩机＋储气罐＋冷干机＋油水分离器</w:t>
            </w:r>
          </w:p>
        </w:tc>
      </w:tr>
      <w:tr w14:paraId="14661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00D7DF21">
            <w:pPr>
              <w:pStyle w:val="31"/>
              <w:bidi w:val="0"/>
              <w:jc w:val="center"/>
              <w:rPr>
                <w:rFonts w:hint="default"/>
                <w:lang w:val="en-GB" w:eastAsia="zh-CN"/>
              </w:rPr>
            </w:pPr>
          </w:p>
        </w:tc>
        <w:tc>
          <w:tcPr>
            <w:tcW w:w="2141" w:type="dxa"/>
            <w:tcBorders>
              <w:tl2br w:val="nil"/>
              <w:tr2bl w:val="nil"/>
            </w:tcBorders>
            <w:noWrap w:val="0"/>
            <w:vAlign w:val="center"/>
          </w:tcPr>
          <w:p w14:paraId="559CB665">
            <w:pPr>
              <w:pStyle w:val="31"/>
              <w:bidi w:val="0"/>
              <w:jc w:val="center"/>
              <w:rPr>
                <w:rFonts w:hint="default"/>
                <w:lang w:val="en-GB" w:eastAsia="zh-CN"/>
              </w:rPr>
            </w:pPr>
            <w:r>
              <w:rPr>
                <w:rFonts w:hint="eastAsia"/>
                <w:lang w:val="en-US" w:eastAsia="zh-CN"/>
              </w:rPr>
              <w:t>原材料仓库</w:t>
            </w:r>
          </w:p>
        </w:tc>
        <w:tc>
          <w:tcPr>
            <w:tcW w:w="5318" w:type="dxa"/>
            <w:tcBorders>
              <w:tl2br w:val="nil"/>
              <w:tr2bl w:val="nil"/>
            </w:tcBorders>
            <w:noWrap w:val="0"/>
            <w:vAlign w:val="center"/>
          </w:tcPr>
          <w:p w14:paraId="37CD2406">
            <w:pPr>
              <w:pStyle w:val="31"/>
              <w:bidi w:val="0"/>
              <w:jc w:val="center"/>
              <w:rPr>
                <w:rFonts w:hint="default"/>
                <w:lang w:val="en-US" w:eastAsia="zh-CN"/>
              </w:rPr>
            </w:pPr>
            <w:r>
              <w:rPr>
                <w:rFonts w:hint="eastAsia"/>
                <w:lang w:val="en-US" w:eastAsia="zh-CN"/>
              </w:rPr>
              <w:t>1间，依托居民现有房屋中，单间房屋改造而成</w:t>
            </w:r>
            <w:r>
              <w:rPr>
                <w:rFonts w:hint="eastAsia"/>
                <w:lang w:val="en-GB" w:eastAsia="zh-CN"/>
              </w:rPr>
              <w:t>，有效容积约为</w:t>
            </w:r>
            <w:r>
              <w:rPr>
                <w:rFonts w:hint="eastAsia"/>
                <w:lang w:val="en-US" w:eastAsia="zh-CN"/>
              </w:rPr>
              <w:t>24m</w:t>
            </w:r>
            <w:r>
              <w:rPr>
                <w:rFonts w:hint="eastAsia"/>
                <w:vertAlign w:val="superscript"/>
                <w:lang w:val="en-US" w:eastAsia="zh-CN"/>
              </w:rPr>
              <w:t>2</w:t>
            </w:r>
          </w:p>
        </w:tc>
      </w:tr>
      <w:tr w14:paraId="3949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65650058">
            <w:pPr>
              <w:pStyle w:val="31"/>
              <w:bidi w:val="0"/>
              <w:jc w:val="center"/>
              <w:rPr>
                <w:rFonts w:hint="default"/>
                <w:lang w:val="en-GB" w:eastAsia="zh-CN"/>
              </w:rPr>
            </w:pPr>
          </w:p>
        </w:tc>
        <w:tc>
          <w:tcPr>
            <w:tcW w:w="2141" w:type="dxa"/>
            <w:tcBorders>
              <w:tl2br w:val="nil"/>
              <w:tr2bl w:val="nil"/>
            </w:tcBorders>
            <w:noWrap w:val="0"/>
            <w:vAlign w:val="center"/>
          </w:tcPr>
          <w:p w14:paraId="21A416D8">
            <w:pPr>
              <w:pStyle w:val="31"/>
              <w:bidi w:val="0"/>
              <w:jc w:val="center"/>
              <w:rPr>
                <w:rFonts w:hint="default"/>
                <w:lang w:val="en-GB" w:eastAsia="zh-CN"/>
              </w:rPr>
            </w:pPr>
            <w:r>
              <w:rPr>
                <w:rFonts w:hint="eastAsia"/>
                <w:lang w:val="en-US" w:eastAsia="zh-CN"/>
              </w:rPr>
              <w:t>化学品仓库</w:t>
            </w:r>
          </w:p>
        </w:tc>
        <w:tc>
          <w:tcPr>
            <w:tcW w:w="5318" w:type="dxa"/>
            <w:tcBorders>
              <w:tl2br w:val="nil"/>
              <w:tr2bl w:val="nil"/>
            </w:tcBorders>
            <w:noWrap w:val="0"/>
            <w:vAlign w:val="center"/>
          </w:tcPr>
          <w:p w14:paraId="23FF828C">
            <w:pPr>
              <w:pStyle w:val="31"/>
              <w:bidi w:val="0"/>
              <w:jc w:val="center"/>
              <w:rPr>
                <w:rFonts w:hint="default"/>
                <w:lang w:val="en-US" w:eastAsia="zh-CN"/>
              </w:rPr>
            </w:pPr>
            <w:r>
              <w:rPr>
                <w:rFonts w:hint="eastAsia"/>
                <w:lang w:val="en-US" w:eastAsia="zh-CN"/>
              </w:rPr>
              <w:t>暂存于原料库中</w:t>
            </w:r>
          </w:p>
        </w:tc>
      </w:tr>
      <w:tr w14:paraId="3706D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4410009C">
            <w:pPr>
              <w:pStyle w:val="31"/>
              <w:bidi w:val="0"/>
              <w:jc w:val="center"/>
              <w:rPr>
                <w:rFonts w:hint="default"/>
                <w:lang w:val="en-GB" w:eastAsia="zh-CN"/>
              </w:rPr>
            </w:pPr>
          </w:p>
        </w:tc>
        <w:tc>
          <w:tcPr>
            <w:tcW w:w="2141" w:type="dxa"/>
            <w:tcBorders>
              <w:tl2br w:val="nil"/>
              <w:tr2bl w:val="nil"/>
            </w:tcBorders>
            <w:noWrap w:val="0"/>
            <w:vAlign w:val="center"/>
          </w:tcPr>
          <w:p w14:paraId="16311CD6">
            <w:pPr>
              <w:pStyle w:val="31"/>
              <w:bidi w:val="0"/>
              <w:jc w:val="center"/>
              <w:rPr>
                <w:rFonts w:hint="default"/>
                <w:lang w:val="en-GB" w:eastAsia="zh-CN"/>
              </w:rPr>
            </w:pPr>
            <w:r>
              <w:rPr>
                <w:rFonts w:hint="eastAsia"/>
                <w:lang w:val="en-US" w:eastAsia="zh-CN"/>
              </w:rPr>
              <w:t>喷砂装置用河沙堆场</w:t>
            </w:r>
          </w:p>
        </w:tc>
        <w:tc>
          <w:tcPr>
            <w:tcW w:w="5318" w:type="dxa"/>
            <w:tcBorders>
              <w:tl2br w:val="nil"/>
              <w:tr2bl w:val="nil"/>
            </w:tcBorders>
            <w:noWrap w:val="0"/>
            <w:vAlign w:val="center"/>
          </w:tcPr>
          <w:p w14:paraId="172D1F25">
            <w:pPr>
              <w:pStyle w:val="31"/>
              <w:bidi w:val="0"/>
              <w:jc w:val="center"/>
              <w:rPr>
                <w:rFonts w:hint="default"/>
                <w:lang w:val="en-US" w:eastAsia="zh-CN"/>
              </w:rPr>
            </w:pPr>
            <w:r>
              <w:rPr>
                <w:rFonts w:hint="eastAsia"/>
                <w:lang w:val="en-US" w:eastAsia="zh-CN"/>
              </w:rPr>
              <w:t>位于自建房外院落中，有效面积约20m</w:t>
            </w:r>
            <w:r>
              <w:rPr>
                <w:rFonts w:hint="eastAsia"/>
                <w:vertAlign w:val="superscript"/>
                <w:lang w:val="en-US" w:eastAsia="zh-CN"/>
              </w:rPr>
              <w:t>2</w:t>
            </w:r>
            <w:r>
              <w:rPr>
                <w:rFonts w:hint="eastAsia"/>
                <w:lang w:val="en-US" w:eastAsia="zh-CN"/>
              </w:rPr>
              <w:t>，钢结构顶棚+三面砖砌围挡</w:t>
            </w:r>
          </w:p>
        </w:tc>
      </w:tr>
      <w:tr w14:paraId="282A8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0C7D3FF3">
            <w:pPr>
              <w:pStyle w:val="31"/>
              <w:bidi w:val="0"/>
              <w:jc w:val="center"/>
              <w:rPr>
                <w:rFonts w:hint="default"/>
                <w:lang w:val="en-GB" w:eastAsia="zh-CN"/>
              </w:rPr>
            </w:pPr>
          </w:p>
        </w:tc>
        <w:tc>
          <w:tcPr>
            <w:tcW w:w="2141" w:type="dxa"/>
            <w:tcBorders>
              <w:tl2br w:val="nil"/>
              <w:tr2bl w:val="nil"/>
            </w:tcBorders>
            <w:noWrap w:val="0"/>
            <w:vAlign w:val="center"/>
          </w:tcPr>
          <w:p w14:paraId="1D6C6EA3">
            <w:pPr>
              <w:pStyle w:val="31"/>
              <w:bidi w:val="0"/>
              <w:jc w:val="center"/>
              <w:rPr>
                <w:rFonts w:hint="default"/>
                <w:lang w:val="en-GB" w:eastAsia="zh-CN"/>
              </w:rPr>
            </w:pPr>
            <w:r>
              <w:rPr>
                <w:rFonts w:hint="eastAsia"/>
                <w:lang w:val="en-US" w:eastAsia="zh-CN"/>
              </w:rPr>
              <w:t>油漆库</w:t>
            </w:r>
          </w:p>
        </w:tc>
        <w:tc>
          <w:tcPr>
            <w:tcW w:w="5318" w:type="dxa"/>
            <w:tcBorders>
              <w:tl2br w:val="nil"/>
              <w:tr2bl w:val="nil"/>
            </w:tcBorders>
            <w:noWrap w:val="0"/>
            <w:vAlign w:val="center"/>
          </w:tcPr>
          <w:p w14:paraId="6C94830E">
            <w:pPr>
              <w:pStyle w:val="31"/>
              <w:bidi w:val="0"/>
              <w:jc w:val="center"/>
              <w:rPr>
                <w:rFonts w:hint="default"/>
                <w:lang w:val="en-US" w:eastAsia="zh-CN"/>
              </w:rPr>
            </w:pPr>
            <w:r>
              <w:rPr>
                <w:rFonts w:hint="eastAsia"/>
                <w:lang w:val="en-US" w:eastAsia="zh-CN"/>
              </w:rPr>
              <w:t>暂存于原料库中</w:t>
            </w:r>
          </w:p>
        </w:tc>
      </w:tr>
      <w:tr w14:paraId="5AAD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1344BDB3">
            <w:pPr>
              <w:pStyle w:val="31"/>
              <w:bidi w:val="0"/>
              <w:jc w:val="center"/>
              <w:rPr>
                <w:rFonts w:hint="default"/>
                <w:lang w:val="en-GB" w:eastAsia="zh-CN"/>
              </w:rPr>
            </w:pPr>
          </w:p>
        </w:tc>
        <w:tc>
          <w:tcPr>
            <w:tcW w:w="2141" w:type="dxa"/>
            <w:tcBorders>
              <w:tl2br w:val="nil"/>
              <w:tr2bl w:val="nil"/>
            </w:tcBorders>
            <w:noWrap w:val="0"/>
            <w:vAlign w:val="center"/>
          </w:tcPr>
          <w:p w14:paraId="6B33975E">
            <w:pPr>
              <w:pStyle w:val="31"/>
              <w:bidi w:val="0"/>
              <w:jc w:val="center"/>
              <w:rPr>
                <w:rFonts w:hint="default"/>
                <w:lang w:val="en-GB" w:eastAsia="zh-CN"/>
              </w:rPr>
            </w:pPr>
            <w:r>
              <w:rPr>
                <w:rFonts w:hint="eastAsia"/>
                <w:lang w:val="en-US" w:eastAsia="zh-CN"/>
              </w:rPr>
              <w:t>办公室</w:t>
            </w:r>
          </w:p>
        </w:tc>
        <w:tc>
          <w:tcPr>
            <w:tcW w:w="5318" w:type="dxa"/>
            <w:tcBorders>
              <w:tl2br w:val="nil"/>
              <w:tr2bl w:val="nil"/>
            </w:tcBorders>
            <w:noWrap w:val="0"/>
            <w:vAlign w:val="center"/>
          </w:tcPr>
          <w:p w14:paraId="708D9E65">
            <w:pPr>
              <w:pStyle w:val="31"/>
              <w:bidi w:val="0"/>
              <w:jc w:val="center"/>
              <w:rPr>
                <w:rFonts w:hint="default"/>
                <w:lang w:val="en-US" w:eastAsia="zh-CN"/>
              </w:rPr>
            </w:pPr>
            <w:r>
              <w:rPr>
                <w:rFonts w:hint="eastAsia"/>
                <w:lang w:val="en-US" w:eastAsia="zh-CN"/>
              </w:rPr>
              <w:t>已设置，为简易板房结构；</w:t>
            </w:r>
          </w:p>
        </w:tc>
      </w:tr>
      <w:tr w14:paraId="3E85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restart"/>
            <w:tcBorders>
              <w:tl2br w:val="nil"/>
              <w:tr2bl w:val="nil"/>
            </w:tcBorders>
            <w:noWrap w:val="0"/>
            <w:vAlign w:val="center"/>
          </w:tcPr>
          <w:p w14:paraId="59515B3E">
            <w:pPr>
              <w:pStyle w:val="31"/>
              <w:bidi w:val="0"/>
              <w:jc w:val="center"/>
              <w:rPr>
                <w:rFonts w:hint="default"/>
                <w:lang w:val="en-GB" w:eastAsia="zh-CN"/>
              </w:rPr>
            </w:pPr>
            <w:r>
              <w:rPr>
                <w:rFonts w:hint="eastAsia"/>
                <w:lang w:val="en-US" w:eastAsia="zh-CN"/>
              </w:rPr>
              <w:t>环保工程</w:t>
            </w:r>
          </w:p>
        </w:tc>
        <w:tc>
          <w:tcPr>
            <w:tcW w:w="2141" w:type="dxa"/>
            <w:tcBorders>
              <w:tl2br w:val="nil"/>
              <w:tr2bl w:val="nil"/>
            </w:tcBorders>
            <w:noWrap w:val="0"/>
            <w:vAlign w:val="center"/>
          </w:tcPr>
          <w:p w14:paraId="10DDC48A">
            <w:pPr>
              <w:pStyle w:val="31"/>
              <w:bidi w:val="0"/>
              <w:jc w:val="center"/>
              <w:rPr>
                <w:rFonts w:hint="default"/>
                <w:lang w:val="en-GB" w:eastAsia="zh-CN"/>
              </w:rPr>
            </w:pPr>
            <w:r>
              <w:rPr>
                <w:rFonts w:hint="eastAsia"/>
                <w:lang w:val="en-US" w:eastAsia="zh-CN"/>
              </w:rPr>
              <w:t>化粪池</w:t>
            </w:r>
          </w:p>
        </w:tc>
        <w:tc>
          <w:tcPr>
            <w:tcW w:w="5318" w:type="dxa"/>
            <w:tcBorders>
              <w:tl2br w:val="nil"/>
              <w:tr2bl w:val="nil"/>
            </w:tcBorders>
            <w:noWrap w:val="0"/>
            <w:vAlign w:val="center"/>
          </w:tcPr>
          <w:p w14:paraId="3CCEEE53">
            <w:pPr>
              <w:pStyle w:val="31"/>
              <w:bidi w:val="0"/>
              <w:jc w:val="center"/>
              <w:rPr>
                <w:rFonts w:hint="default"/>
                <w:lang w:val="en-US" w:eastAsia="zh-CN"/>
              </w:rPr>
            </w:pPr>
            <w:r>
              <w:rPr>
                <w:rFonts w:hint="eastAsia"/>
                <w:lang w:val="en-US" w:eastAsia="zh-CN"/>
              </w:rPr>
              <w:t>厂区范围内不设化粪池，生活废水依托自建房现有化粪池进行处理</w:t>
            </w:r>
          </w:p>
        </w:tc>
      </w:tr>
      <w:tr w14:paraId="4026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49A1BA3C">
            <w:pPr>
              <w:pStyle w:val="31"/>
              <w:bidi w:val="0"/>
              <w:jc w:val="center"/>
              <w:rPr>
                <w:rFonts w:hint="default"/>
                <w:lang w:val="en-GB" w:eastAsia="zh-CN"/>
              </w:rPr>
            </w:pPr>
          </w:p>
        </w:tc>
        <w:tc>
          <w:tcPr>
            <w:tcW w:w="2141" w:type="dxa"/>
            <w:tcBorders>
              <w:tl2br w:val="nil"/>
              <w:tr2bl w:val="nil"/>
            </w:tcBorders>
            <w:noWrap w:val="0"/>
            <w:vAlign w:val="center"/>
          </w:tcPr>
          <w:p w14:paraId="78B3FD67">
            <w:pPr>
              <w:pStyle w:val="31"/>
              <w:bidi w:val="0"/>
              <w:jc w:val="center"/>
              <w:rPr>
                <w:rFonts w:hint="default"/>
                <w:lang w:val="en-GB" w:eastAsia="zh-CN"/>
              </w:rPr>
            </w:pPr>
            <w:r>
              <w:rPr>
                <w:rFonts w:hint="eastAsia"/>
                <w:lang w:val="en-US" w:eastAsia="zh-CN"/>
              </w:rPr>
              <w:t>生活垃圾收集处</w:t>
            </w:r>
          </w:p>
        </w:tc>
        <w:tc>
          <w:tcPr>
            <w:tcW w:w="5318" w:type="dxa"/>
            <w:tcBorders>
              <w:tl2br w:val="nil"/>
              <w:tr2bl w:val="nil"/>
            </w:tcBorders>
            <w:noWrap w:val="0"/>
            <w:vAlign w:val="center"/>
          </w:tcPr>
          <w:p w14:paraId="2EEA43B3">
            <w:pPr>
              <w:pStyle w:val="31"/>
              <w:bidi w:val="0"/>
              <w:jc w:val="center"/>
              <w:rPr>
                <w:rFonts w:hint="default"/>
                <w:lang w:val="en-US" w:eastAsia="zh-CN"/>
              </w:rPr>
            </w:pPr>
            <w:r>
              <w:rPr>
                <w:rFonts w:hint="eastAsia"/>
                <w:lang w:val="en-GB" w:eastAsia="zh-CN"/>
              </w:rPr>
              <w:t>已放置垃圾桶</w:t>
            </w:r>
          </w:p>
        </w:tc>
      </w:tr>
      <w:tr w14:paraId="3110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5A8C6500">
            <w:pPr>
              <w:pStyle w:val="31"/>
              <w:bidi w:val="0"/>
              <w:jc w:val="center"/>
              <w:rPr>
                <w:rFonts w:hint="default"/>
                <w:lang w:val="en-GB" w:eastAsia="zh-CN"/>
              </w:rPr>
            </w:pPr>
          </w:p>
        </w:tc>
        <w:tc>
          <w:tcPr>
            <w:tcW w:w="2141" w:type="dxa"/>
            <w:tcBorders>
              <w:tl2br w:val="nil"/>
              <w:tr2bl w:val="nil"/>
            </w:tcBorders>
            <w:noWrap w:val="0"/>
            <w:vAlign w:val="center"/>
          </w:tcPr>
          <w:p w14:paraId="45D79838">
            <w:pPr>
              <w:pStyle w:val="31"/>
              <w:bidi w:val="0"/>
              <w:jc w:val="center"/>
              <w:rPr>
                <w:rFonts w:hint="default"/>
                <w:lang w:val="en-GB" w:eastAsia="zh-CN"/>
              </w:rPr>
            </w:pPr>
            <w:r>
              <w:rPr>
                <w:rFonts w:hint="eastAsia"/>
                <w:lang w:val="en-US" w:eastAsia="zh-CN"/>
              </w:rPr>
              <w:t>一般固废暂存间</w:t>
            </w:r>
          </w:p>
        </w:tc>
        <w:tc>
          <w:tcPr>
            <w:tcW w:w="5318" w:type="dxa"/>
            <w:tcBorders>
              <w:tl2br w:val="nil"/>
              <w:tr2bl w:val="nil"/>
            </w:tcBorders>
            <w:noWrap w:val="0"/>
            <w:vAlign w:val="center"/>
          </w:tcPr>
          <w:p w14:paraId="5D98B92D">
            <w:pPr>
              <w:pStyle w:val="31"/>
              <w:bidi w:val="0"/>
              <w:jc w:val="center"/>
              <w:rPr>
                <w:rFonts w:hint="default"/>
                <w:lang w:val="en-US" w:eastAsia="zh-CN"/>
              </w:rPr>
            </w:pPr>
            <w:r>
              <w:rPr>
                <w:rFonts w:hint="eastAsia"/>
                <w:lang w:val="en-US" w:eastAsia="zh-CN"/>
              </w:rPr>
              <w:t>未设置</w:t>
            </w:r>
          </w:p>
        </w:tc>
      </w:tr>
      <w:tr w14:paraId="263A0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10" w:type="dxa"/>
            <w:vMerge w:val="continue"/>
            <w:tcBorders>
              <w:tl2br w:val="nil"/>
              <w:tr2bl w:val="nil"/>
            </w:tcBorders>
            <w:noWrap w:val="0"/>
            <w:vAlign w:val="center"/>
          </w:tcPr>
          <w:p w14:paraId="626395C0">
            <w:pPr>
              <w:pStyle w:val="31"/>
              <w:bidi w:val="0"/>
              <w:jc w:val="center"/>
              <w:rPr>
                <w:rFonts w:hint="default"/>
                <w:lang w:val="en-GB" w:eastAsia="zh-CN"/>
              </w:rPr>
            </w:pPr>
          </w:p>
        </w:tc>
        <w:tc>
          <w:tcPr>
            <w:tcW w:w="2141" w:type="dxa"/>
            <w:tcBorders>
              <w:tl2br w:val="nil"/>
              <w:tr2bl w:val="nil"/>
            </w:tcBorders>
            <w:noWrap w:val="0"/>
            <w:vAlign w:val="center"/>
          </w:tcPr>
          <w:p w14:paraId="2D9AC996">
            <w:pPr>
              <w:pStyle w:val="31"/>
              <w:bidi w:val="0"/>
              <w:jc w:val="center"/>
              <w:rPr>
                <w:rFonts w:hint="default"/>
                <w:lang w:val="en-GB" w:eastAsia="zh-CN"/>
              </w:rPr>
            </w:pPr>
            <w:r>
              <w:rPr>
                <w:rFonts w:hint="eastAsia"/>
                <w:lang w:val="en-US" w:eastAsia="zh-CN"/>
              </w:rPr>
              <w:t>危险废物暂存间</w:t>
            </w:r>
          </w:p>
        </w:tc>
        <w:tc>
          <w:tcPr>
            <w:tcW w:w="5318" w:type="dxa"/>
            <w:tcBorders>
              <w:tl2br w:val="nil"/>
              <w:tr2bl w:val="nil"/>
            </w:tcBorders>
            <w:noWrap w:val="0"/>
            <w:vAlign w:val="center"/>
          </w:tcPr>
          <w:p w14:paraId="1B952119">
            <w:pPr>
              <w:pStyle w:val="31"/>
              <w:bidi w:val="0"/>
              <w:jc w:val="center"/>
              <w:rPr>
                <w:rFonts w:hint="default"/>
                <w:lang w:val="en-US" w:eastAsia="zh-CN"/>
              </w:rPr>
            </w:pPr>
            <w:r>
              <w:rPr>
                <w:rFonts w:hint="eastAsia"/>
                <w:lang w:val="en-GB" w:eastAsia="zh-CN"/>
              </w:rPr>
              <w:t>已建成</w:t>
            </w:r>
            <w:r>
              <w:rPr>
                <w:rFonts w:hint="eastAsia"/>
                <w:lang w:val="en-US" w:eastAsia="zh-CN"/>
              </w:rPr>
              <w:t>1间，依托居民现有房屋中，单间房屋改造而成</w:t>
            </w:r>
            <w:r>
              <w:rPr>
                <w:rFonts w:hint="eastAsia"/>
                <w:lang w:val="en-GB" w:eastAsia="zh-CN"/>
              </w:rPr>
              <w:t>，有效容积约为</w:t>
            </w:r>
            <w:r>
              <w:rPr>
                <w:rFonts w:hint="eastAsia"/>
                <w:lang w:val="en-US" w:eastAsia="zh-CN"/>
              </w:rPr>
              <w:t>20m</w:t>
            </w:r>
            <w:r>
              <w:rPr>
                <w:rFonts w:hint="eastAsia"/>
                <w:vertAlign w:val="superscript"/>
                <w:lang w:val="en-US" w:eastAsia="zh-CN"/>
              </w:rPr>
              <w:t>2</w:t>
            </w:r>
          </w:p>
        </w:tc>
      </w:tr>
    </w:tbl>
    <w:p w14:paraId="2F191FB9">
      <w:pPr>
        <w:pStyle w:val="21"/>
        <w:rPr>
          <w:rFonts w:hint="eastAsia"/>
          <w:lang w:val="en-US" w:eastAsia="zh-CN"/>
        </w:rPr>
      </w:pPr>
      <w:r>
        <w:rPr>
          <w:rFonts w:hint="eastAsia"/>
          <w:lang w:val="en-US" w:eastAsia="zh-CN"/>
        </w:rPr>
        <w:t>2、设计产能</w:t>
      </w:r>
    </w:p>
    <w:p w14:paraId="1C3AB653">
      <w:pPr>
        <w:pStyle w:val="21"/>
        <w:rPr>
          <w:rFonts w:hint="eastAsia"/>
          <w:lang w:val="en-US" w:eastAsia="zh-CN"/>
        </w:rPr>
      </w:pPr>
      <w:r>
        <w:rPr>
          <w:rFonts w:hint="eastAsia"/>
          <w:lang w:val="en-US" w:eastAsia="zh-CN"/>
        </w:rPr>
        <w:t>现有工程不拆解船舶，只进行船舶外壳的切割换块和表面涂装，维修的船舶均为散货船，不维修包括油船、危险化学品船、具有放射性物质或者受到放射性污染的船舶。维修工作主要针对船体钢板锈蚀变薄部分进行割补焊接刷漆除锈工作，不进行动力维修。所有维修工作不在水域上进行，只在陆上船台进行。船舶维修工序中，不使用石棉材料。</w:t>
      </w:r>
    </w:p>
    <w:p w14:paraId="75E6B490">
      <w:pPr>
        <w:pStyle w:val="23"/>
        <w:bidi w:val="0"/>
        <w:rPr>
          <w:rFonts w:hint="eastAsia"/>
          <w:lang w:val="en-US" w:eastAsia="zh-CN"/>
        </w:rPr>
      </w:pPr>
      <w:r>
        <w:rPr>
          <w:rFonts w:hint="eastAsia"/>
          <w:lang w:val="en-US" w:eastAsia="zh-CN"/>
        </w:rPr>
        <w:t>表3.1-3  现有工程生产规模一览表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963"/>
        <w:gridCol w:w="1135"/>
        <w:gridCol w:w="1394"/>
        <w:gridCol w:w="2161"/>
        <w:gridCol w:w="2137"/>
      </w:tblGrid>
      <w:tr w14:paraId="0E0AD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428" w:type="pct"/>
            <w:tcBorders>
              <w:tl2br w:val="nil"/>
              <w:tr2bl w:val="nil"/>
            </w:tcBorders>
            <w:vAlign w:val="center"/>
          </w:tcPr>
          <w:p w14:paraId="5A34FEEA">
            <w:pPr>
              <w:pStyle w:val="31"/>
              <w:bidi w:val="0"/>
              <w:jc w:val="center"/>
              <w:rPr>
                <w:rFonts w:hint="default"/>
                <w:lang w:eastAsia="zh-CN"/>
              </w:rPr>
            </w:pPr>
            <w:r>
              <w:rPr>
                <w:rFonts w:hint="default"/>
                <w:lang w:eastAsia="zh-CN"/>
              </w:rPr>
              <w:t>序号</w:t>
            </w:r>
          </w:p>
        </w:tc>
        <w:tc>
          <w:tcPr>
            <w:tcW w:w="1231" w:type="pct"/>
            <w:gridSpan w:val="2"/>
            <w:tcBorders>
              <w:tl2br w:val="nil"/>
              <w:tr2bl w:val="nil"/>
            </w:tcBorders>
            <w:vAlign w:val="center"/>
          </w:tcPr>
          <w:p w14:paraId="1186AD07">
            <w:pPr>
              <w:pStyle w:val="31"/>
              <w:bidi w:val="0"/>
              <w:jc w:val="center"/>
              <w:rPr>
                <w:rFonts w:hint="default"/>
                <w:lang w:eastAsia="zh-CN"/>
              </w:rPr>
            </w:pPr>
            <w:r>
              <w:rPr>
                <w:rFonts w:hint="default"/>
                <w:lang w:eastAsia="zh-CN"/>
              </w:rPr>
              <w:t>名称</w:t>
            </w:r>
          </w:p>
        </w:tc>
        <w:tc>
          <w:tcPr>
            <w:tcW w:w="2086" w:type="pct"/>
            <w:gridSpan w:val="2"/>
            <w:tcBorders>
              <w:tl2br w:val="nil"/>
              <w:tr2bl w:val="nil"/>
            </w:tcBorders>
            <w:vAlign w:val="center"/>
          </w:tcPr>
          <w:p w14:paraId="1620028D">
            <w:pPr>
              <w:pStyle w:val="31"/>
              <w:bidi w:val="0"/>
              <w:jc w:val="center"/>
              <w:rPr>
                <w:rFonts w:hint="default"/>
                <w:lang w:val="en-US" w:eastAsia="zh-CN"/>
              </w:rPr>
            </w:pPr>
            <w:r>
              <w:rPr>
                <w:rFonts w:hint="eastAsia"/>
                <w:lang w:val="en-US" w:eastAsia="zh-CN"/>
              </w:rPr>
              <w:t>生产规模</w:t>
            </w:r>
          </w:p>
        </w:tc>
        <w:tc>
          <w:tcPr>
            <w:tcW w:w="1253" w:type="pct"/>
            <w:tcBorders>
              <w:tl2br w:val="nil"/>
              <w:tr2bl w:val="nil"/>
            </w:tcBorders>
            <w:vAlign w:val="center"/>
          </w:tcPr>
          <w:p w14:paraId="342CEC8F">
            <w:pPr>
              <w:pStyle w:val="31"/>
              <w:bidi w:val="0"/>
              <w:jc w:val="center"/>
              <w:rPr>
                <w:rFonts w:hint="default"/>
                <w:lang w:eastAsia="zh-CN"/>
              </w:rPr>
            </w:pPr>
            <w:r>
              <w:rPr>
                <w:rFonts w:hint="default"/>
                <w:lang w:eastAsia="zh-CN"/>
              </w:rPr>
              <w:t>备注</w:t>
            </w:r>
          </w:p>
        </w:tc>
      </w:tr>
      <w:tr w14:paraId="5A51C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8" w:type="pct"/>
            <w:vMerge w:val="restart"/>
            <w:tcBorders>
              <w:tl2br w:val="nil"/>
              <w:tr2bl w:val="nil"/>
            </w:tcBorders>
            <w:vAlign w:val="center"/>
          </w:tcPr>
          <w:p w14:paraId="2DACA189">
            <w:pPr>
              <w:pStyle w:val="31"/>
              <w:bidi w:val="0"/>
              <w:jc w:val="center"/>
              <w:rPr>
                <w:rFonts w:hint="default"/>
                <w:lang w:val="en-US" w:eastAsia="zh-CN"/>
              </w:rPr>
            </w:pPr>
            <w:r>
              <w:rPr>
                <w:rFonts w:hint="eastAsia"/>
                <w:lang w:val="en-US" w:eastAsia="zh-CN"/>
              </w:rPr>
              <w:t>1</w:t>
            </w:r>
          </w:p>
        </w:tc>
        <w:tc>
          <w:tcPr>
            <w:tcW w:w="565" w:type="pct"/>
            <w:vMerge w:val="restart"/>
            <w:tcBorders>
              <w:tl2br w:val="nil"/>
              <w:tr2bl w:val="nil"/>
            </w:tcBorders>
            <w:vAlign w:val="center"/>
          </w:tcPr>
          <w:p w14:paraId="70BB43F0">
            <w:pPr>
              <w:pStyle w:val="31"/>
              <w:bidi w:val="0"/>
              <w:jc w:val="center"/>
              <w:rPr>
                <w:rFonts w:hint="default"/>
                <w:lang w:eastAsia="zh-CN"/>
              </w:rPr>
            </w:pPr>
            <w:r>
              <w:rPr>
                <w:rFonts w:hint="eastAsia"/>
                <w:lang w:eastAsia="zh-CN"/>
              </w:rPr>
              <w:t>维修船舶</w:t>
            </w:r>
          </w:p>
        </w:tc>
        <w:tc>
          <w:tcPr>
            <w:tcW w:w="666" w:type="pct"/>
            <w:tcBorders>
              <w:tl2br w:val="nil"/>
              <w:tr2bl w:val="nil"/>
            </w:tcBorders>
            <w:vAlign w:val="center"/>
          </w:tcPr>
          <w:p w14:paraId="0EF6F607">
            <w:pPr>
              <w:pStyle w:val="31"/>
              <w:bidi w:val="0"/>
              <w:jc w:val="center"/>
              <w:rPr>
                <w:rFonts w:hint="eastAsia"/>
                <w:lang w:val="en-US" w:eastAsia="zh-CN"/>
              </w:rPr>
            </w:pPr>
            <w:r>
              <w:rPr>
                <w:rFonts w:hint="default"/>
                <w:lang w:val="en-US" w:eastAsia="zh-CN"/>
              </w:rPr>
              <w:t>切割换块工序</w:t>
            </w:r>
          </w:p>
        </w:tc>
        <w:tc>
          <w:tcPr>
            <w:tcW w:w="818" w:type="pct"/>
            <w:vMerge w:val="restart"/>
            <w:tcBorders>
              <w:tl2br w:val="nil"/>
              <w:tr2bl w:val="nil"/>
            </w:tcBorders>
            <w:vAlign w:val="center"/>
          </w:tcPr>
          <w:p w14:paraId="3B0DD99F">
            <w:pPr>
              <w:pStyle w:val="31"/>
              <w:bidi w:val="0"/>
              <w:jc w:val="center"/>
              <w:rPr>
                <w:rFonts w:hint="default"/>
                <w:lang w:val="en-US" w:eastAsia="zh-CN"/>
              </w:rPr>
            </w:pPr>
            <w:r>
              <w:rPr>
                <w:rFonts w:hint="default"/>
                <w:lang w:val="en-US" w:eastAsia="zh-CN"/>
              </w:rPr>
              <w:t>折合约为50艘1000载重吨船舶</w:t>
            </w:r>
          </w:p>
        </w:tc>
        <w:tc>
          <w:tcPr>
            <w:tcW w:w="1267" w:type="pct"/>
            <w:tcBorders>
              <w:tl2br w:val="nil"/>
              <w:tr2bl w:val="nil"/>
            </w:tcBorders>
            <w:vAlign w:val="center"/>
          </w:tcPr>
          <w:p w14:paraId="39FA9231">
            <w:pPr>
              <w:pStyle w:val="31"/>
              <w:bidi w:val="0"/>
              <w:jc w:val="center"/>
              <w:rPr>
                <w:rFonts w:hint="default"/>
                <w:lang w:val="en-US" w:eastAsia="zh-CN"/>
              </w:rPr>
            </w:pPr>
            <w:r>
              <w:rPr>
                <w:rFonts w:hint="eastAsia"/>
                <w:lang w:val="en-US" w:eastAsia="zh-CN"/>
              </w:rPr>
              <w:t>1</w:t>
            </w:r>
            <w:r>
              <w:rPr>
                <w:rFonts w:hint="default"/>
                <w:lang w:val="en-US" w:eastAsia="zh-CN"/>
              </w:rPr>
              <w:t>00</w:t>
            </w:r>
            <w:r>
              <w:rPr>
                <w:rFonts w:hint="eastAsia"/>
                <w:lang w:val="en-US" w:eastAsia="zh-CN"/>
              </w:rPr>
              <w:t>0</w:t>
            </w:r>
            <w:r>
              <w:rPr>
                <w:rFonts w:hint="default"/>
                <w:lang w:val="en-US" w:eastAsia="zh-CN"/>
              </w:rPr>
              <w:t>m</w:t>
            </w:r>
            <w:r>
              <w:rPr>
                <w:rFonts w:hint="default"/>
                <w:vertAlign w:val="superscript"/>
                <w:lang w:val="en-US" w:eastAsia="zh-CN"/>
              </w:rPr>
              <w:t>2</w:t>
            </w:r>
            <w:r>
              <w:rPr>
                <w:rFonts w:hint="default"/>
                <w:lang w:val="en-US" w:eastAsia="zh-CN"/>
              </w:rPr>
              <w:t>，切割长度约40</w:t>
            </w:r>
            <w:r>
              <w:rPr>
                <w:rFonts w:hint="eastAsia"/>
                <w:lang w:val="en-US" w:eastAsia="zh-CN"/>
              </w:rPr>
              <w:t>0</w:t>
            </w:r>
            <w:r>
              <w:rPr>
                <w:rFonts w:hint="default"/>
                <w:lang w:val="en-US" w:eastAsia="zh-CN"/>
              </w:rPr>
              <w:t>0m</w:t>
            </w:r>
          </w:p>
        </w:tc>
        <w:tc>
          <w:tcPr>
            <w:tcW w:w="1253" w:type="pct"/>
            <w:vMerge w:val="restart"/>
            <w:tcBorders>
              <w:tl2br w:val="nil"/>
              <w:tr2bl w:val="nil"/>
            </w:tcBorders>
            <w:vAlign w:val="center"/>
          </w:tcPr>
          <w:p w14:paraId="39C6E49C">
            <w:pPr>
              <w:pStyle w:val="31"/>
              <w:bidi w:val="0"/>
              <w:jc w:val="center"/>
              <w:rPr>
                <w:rFonts w:hint="default"/>
                <w:lang w:val="en-US" w:eastAsia="zh-CN"/>
              </w:rPr>
            </w:pPr>
            <w:r>
              <w:rPr>
                <w:rFonts w:hint="eastAsia"/>
                <w:lang w:val="en-US" w:eastAsia="zh-CN"/>
              </w:rPr>
              <w:t>受到过往船舶损坏数量的限值，实际年均维修数量在20~30艘左右</w:t>
            </w:r>
          </w:p>
        </w:tc>
      </w:tr>
      <w:tr w14:paraId="1A0C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8" w:type="pct"/>
            <w:vMerge w:val="continue"/>
            <w:tcBorders>
              <w:tl2br w:val="nil"/>
              <w:tr2bl w:val="nil"/>
            </w:tcBorders>
            <w:vAlign w:val="center"/>
          </w:tcPr>
          <w:p w14:paraId="0CF5E155">
            <w:pPr>
              <w:pStyle w:val="31"/>
              <w:bidi w:val="0"/>
              <w:jc w:val="center"/>
              <w:rPr>
                <w:rFonts w:hint="eastAsia"/>
                <w:lang w:val="en-US" w:eastAsia="zh-CN"/>
              </w:rPr>
            </w:pPr>
          </w:p>
        </w:tc>
        <w:tc>
          <w:tcPr>
            <w:tcW w:w="565" w:type="pct"/>
            <w:vMerge w:val="continue"/>
            <w:tcBorders>
              <w:tl2br w:val="nil"/>
              <w:tr2bl w:val="nil"/>
            </w:tcBorders>
            <w:vAlign w:val="center"/>
          </w:tcPr>
          <w:p w14:paraId="7FBB7B77">
            <w:pPr>
              <w:pStyle w:val="31"/>
              <w:bidi w:val="0"/>
              <w:jc w:val="center"/>
              <w:rPr>
                <w:rFonts w:hint="eastAsia"/>
                <w:lang w:eastAsia="zh-CN"/>
              </w:rPr>
            </w:pPr>
          </w:p>
        </w:tc>
        <w:tc>
          <w:tcPr>
            <w:tcW w:w="666" w:type="pct"/>
            <w:tcBorders>
              <w:tl2br w:val="nil"/>
              <w:tr2bl w:val="nil"/>
            </w:tcBorders>
            <w:vAlign w:val="center"/>
          </w:tcPr>
          <w:p w14:paraId="00CE7995">
            <w:pPr>
              <w:pStyle w:val="31"/>
              <w:bidi w:val="0"/>
              <w:jc w:val="center"/>
              <w:rPr>
                <w:rFonts w:hint="eastAsia"/>
                <w:lang w:val="en-US" w:eastAsia="zh-CN"/>
              </w:rPr>
            </w:pPr>
            <w:r>
              <w:rPr>
                <w:rFonts w:hint="default"/>
                <w:lang w:val="en-US" w:eastAsia="zh-CN"/>
              </w:rPr>
              <w:t>焊接工序</w:t>
            </w:r>
          </w:p>
        </w:tc>
        <w:tc>
          <w:tcPr>
            <w:tcW w:w="818" w:type="pct"/>
            <w:vMerge w:val="continue"/>
            <w:tcBorders>
              <w:tl2br w:val="nil"/>
              <w:tr2bl w:val="nil"/>
            </w:tcBorders>
            <w:vAlign w:val="center"/>
          </w:tcPr>
          <w:p w14:paraId="65A30451">
            <w:pPr>
              <w:pStyle w:val="31"/>
              <w:bidi w:val="0"/>
              <w:jc w:val="center"/>
              <w:rPr>
                <w:rFonts w:hint="default"/>
                <w:lang w:val="en-US" w:eastAsia="zh-CN"/>
              </w:rPr>
            </w:pPr>
          </w:p>
        </w:tc>
        <w:tc>
          <w:tcPr>
            <w:tcW w:w="1267" w:type="pct"/>
            <w:tcBorders>
              <w:tl2br w:val="nil"/>
              <w:tr2bl w:val="nil"/>
            </w:tcBorders>
            <w:vAlign w:val="center"/>
          </w:tcPr>
          <w:p w14:paraId="6E80CCAB">
            <w:pPr>
              <w:pStyle w:val="31"/>
              <w:bidi w:val="0"/>
              <w:jc w:val="center"/>
              <w:rPr>
                <w:rFonts w:hint="default"/>
                <w:lang w:val="en-US" w:eastAsia="zh-CN"/>
              </w:rPr>
            </w:pPr>
            <w:r>
              <w:rPr>
                <w:rFonts w:hint="default"/>
                <w:lang w:val="en-US" w:eastAsia="zh-CN"/>
              </w:rPr>
              <w:t>焊接长度约</w:t>
            </w:r>
            <w:r>
              <w:rPr>
                <w:rFonts w:hint="eastAsia"/>
                <w:lang w:val="en-US" w:eastAsia="zh-CN"/>
              </w:rPr>
              <w:t>50</w:t>
            </w:r>
            <w:r>
              <w:rPr>
                <w:rFonts w:hint="default"/>
                <w:lang w:val="en-US" w:eastAsia="zh-CN"/>
              </w:rPr>
              <w:t>00m，焊条耗量0.58kg/m</w:t>
            </w:r>
          </w:p>
        </w:tc>
        <w:tc>
          <w:tcPr>
            <w:tcW w:w="1253" w:type="pct"/>
            <w:vMerge w:val="continue"/>
            <w:tcBorders>
              <w:tl2br w:val="nil"/>
              <w:tr2bl w:val="nil"/>
            </w:tcBorders>
            <w:vAlign w:val="center"/>
          </w:tcPr>
          <w:p w14:paraId="076BBB6A">
            <w:pPr>
              <w:pStyle w:val="31"/>
              <w:bidi w:val="0"/>
              <w:jc w:val="center"/>
              <w:rPr>
                <w:rFonts w:hint="eastAsia"/>
                <w:lang w:val="en-US" w:eastAsia="zh-CN"/>
              </w:rPr>
            </w:pPr>
          </w:p>
        </w:tc>
      </w:tr>
      <w:tr w14:paraId="667D4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8" w:type="pct"/>
            <w:vMerge w:val="continue"/>
            <w:tcBorders>
              <w:tl2br w:val="nil"/>
              <w:tr2bl w:val="nil"/>
            </w:tcBorders>
            <w:vAlign w:val="center"/>
          </w:tcPr>
          <w:p w14:paraId="557DFC1E">
            <w:pPr>
              <w:pStyle w:val="31"/>
              <w:bidi w:val="0"/>
              <w:jc w:val="center"/>
              <w:rPr>
                <w:rFonts w:hint="eastAsia"/>
                <w:lang w:val="en-US" w:eastAsia="zh-CN"/>
              </w:rPr>
            </w:pPr>
          </w:p>
        </w:tc>
        <w:tc>
          <w:tcPr>
            <w:tcW w:w="565" w:type="pct"/>
            <w:vMerge w:val="continue"/>
            <w:tcBorders>
              <w:tl2br w:val="nil"/>
              <w:tr2bl w:val="nil"/>
            </w:tcBorders>
            <w:vAlign w:val="center"/>
          </w:tcPr>
          <w:p w14:paraId="24253CC6">
            <w:pPr>
              <w:pStyle w:val="31"/>
              <w:bidi w:val="0"/>
              <w:jc w:val="center"/>
              <w:rPr>
                <w:rFonts w:hint="eastAsia"/>
                <w:lang w:eastAsia="zh-CN"/>
              </w:rPr>
            </w:pPr>
          </w:p>
        </w:tc>
        <w:tc>
          <w:tcPr>
            <w:tcW w:w="666" w:type="pct"/>
            <w:tcBorders>
              <w:tl2br w:val="nil"/>
              <w:tr2bl w:val="nil"/>
            </w:tcBorders>
            <w:vAlign w:val="center"/>
          </w:tcPr>
          <w:p w14:paraId="37C2AE35">
            <w:pPr>
              <w:pStyle w:val="31"/>
              <w:bidi w:val="0"/>
              <w:jc w:val="center"/>
              <w:rPr>
                <w:rFonts w:hint="eastAsia"/>
                <w:lang w:val="en-US" w:eastAsia="zh-CN"/>
              </w:rPr>
            </w:pPr>
            <w:r>
              <w:rPr>
                <w:rFonts w:hint="default"/>
                <w:lang w:val="en-US" w:eastAsia="zh-CN"/>
              </w:rPr>
              <w:t>喷气除锈工序</w:t>
            </w:r>
          </w:p>
        </w:tc>
        <w:tc>
          <w:tcPr>
            <w:tcW w:w="818" w:type="pct"/>
            <w:vMerge w:val="continue"/>
            <w:tcBorders>
              <w:tl2br w:val="nil"/>
              <w:tr2bl w:val="nil"/>
            </w:tcBorders>
            <w:vAlign w:val="center"/>
          </w:tcPr>
          <w:p w14:paraId="783A8908">
            <w:pPr>
              <w:pStyle w:val="31"/>
              <w:bidi w:val="0"/>
              <w:jc w:val="center"/>
              <w:rPr>
                <w:rFonts w:hint="default"/>
                <w:lang w:val="en-US" w:eastAsia="zh-CN"/>
              </w:rPr>
            </w:pPr>
          </w:p>
        </w:tc>
        <w:tc>
          <w:tcPr>
            <w:tcW w:w="1267" w:type="pct"/>
            <w:tcBorders>
              <w:tl2br w:val="nil"/>
              <w:tr2bl w:val="nil"/>
            </w:tcBorders>
            <w:vAlign w:val="center"/>
          </w:tcPr>
          <w:p w14:paraId="4CFACB9E">
            <w:pPr>
              <w:pStyle w:val="31"/>
              <w:bidi w:val="0"/>
              <w:jc w:val="center"/>
              <w:rPr>
                <w:rFonts w:hint="default"/>
                <w:lang w:val="en-US" w:eastAsia="zh-CN"/>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1253" w:type="pct"/>
            <w:vMerge w:val="continue"/>
            <w:tcBorders>
              <w:tl2br w:val="nil"/>
              <w:tr2bl w:val="nil"/>
            </w:tcBorders>
            <w:vAlign w:val="center"/>
          </w:tcPr>
          <w:p w14:paraId="69389BC6">
            <w:pPr>
              <w:pStyle w:val="31"/>
              <w:bidi w:val="0"/>
              <w:jc w:val="center"/>
              <w:rPr>
                <w:rFonts w:hint="eastAsia"/>
                <w:lang w:val="en-US" w:eastAsia="zh-CN"/>
              </w:rPr>
            </w:pPr>
          </w:p>
        </w:tc>
      </w:tr>
      <w:tr w14:paraId="0714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8" w:type="pct"/>
            <w:vMerge w:val="continue"/>
            <w:tcBorders>
              <w:tl2br w:val="nil"/>
              <w:tr2bl w:val="nil"/>
            </w:tcBorders>
            <w:vAlign w:val="center"/>
          </w:tcPr>
          <w:p w14:paraId="7A1D824B">
            <w:pPr>
              <w:pStyle w:val="31"/>
              <w:bidi w:val="0"/>
              <w:jc w:val="center"/>
              <w:rPr>
                <w:rFonts w:hint="eastAsia"/>
                <w:lang w:val="en-US" w:eastAsia="zh-CN"/>
              </w:rPr>
            </w:pPr>
          </w:p>
        </w:tc>
        <w:tc>
          <w:tcPr>
            <w:tcW w:w="565" w:type="pct"/>
            <w:vMerge w:val="continue"/>
            <w:tcBorders>
              <w:tl2br w:val="nil"/>
              <w:tr2bl w:val="nil"/>
            </w:tcBorders>
            <w:vAlign w:val="center"/>
          </w:tcPr>
          <w:p w14:paraId="11330B4F">
            <w:pPr>
              <w:pStyle w:val="31"/>
              <w:bidi w:val="0"/>
              <w:jc w:val="center"/>
              <w:rPr>
                <w:rFonts w:hint="eastAsia"/>
                <w:lang w:eastAsia="zh-CN"/>
              </w:rPr>
            </w:pPr>
          </w:p>
        </w:tc>
        <w:tc>
          <w:tcPr>
            <w:tcW w:w="666" w:type="pct"/>
            <w:tcBorders>
              <w:tl2br w:val="nil"/>
              <w:tr2bl w:val="nil"/>
            </w:tcBorders>
            <w:vAlign w:val="center"/>
          </w:tcPr>
          <w:p w14:paraId="7384B5C5">
            <w:pPr>
              <w:pStyle w:val="31"/>
              <w:bidi w:val="0"/>
              <w:jc w:val="center"/>
              <w:rPr>
                <w:rFonts w:hint="eastAsia"/>
                <w:lang w:val="en-US" w:eastAsia="zh-CN"/>
              </w:rPr>
            </w:pPr>
            <w:r>
              <w:rPr>
                <w:rFonts w:hint="default"/>
                <w:lang w:val="en-US" w:eastAsia="zh-CN"/>
              </w:rPr>
              <w:t>刷涂工序</w:t>
            </w:r>
          </w:p>
        </w:tc>
        <w:tc>
          <w:tcPr>
            <w:tcW w:w="818" w:type="pct"/>
            <w:vMerge w:val="continue"/>
            <w:tcBorders>
              <w:tl2br w:val="nil"/>
              <w:tr2bl w:val="nil"/>
            </w:tcBorders>
            <w:vAlign w:val="center"/>
          </w:tcPr>
          <w:p w14:paraId="4397225E">
            <w:pPr>
              <w:pStyle w:val="31"/>
              <w:bidi w:val="0"/>
              <w:jc w:val="center"/>
              <w:rPr>
                <w:rFonts w:hint="default"/>
                <w:lang w:val="en-US" w:eastAsia="zh-CN"/>
              </w:rPr>
            </w:pPr>
          </w:p>
        </w:tc>
        <w:tc>
          <w:tcPr>
            <w:tcW w:w="1267" w:type="pct"/>
            <w:tcBorders>
              <w:tl2br w:val="nil"/>
              <w:tr2bl w:val="nil"/>
            </w:tcBorders>
            <w:vAlign w:val="center"/>
          </w:tcPr>
          <w:p w14:paraId="677EF167">
            <w:pPr>
              <w:pStyle w:val="31"/>
              <w:bidi w:val="0"/>
              <w:jc w:val="center"/>
              <w:rPr>
                <w:rFonts w:hint="default"/>
                <w:lang w:val="en-US" w:eastAsia="zh-CN"/>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1253" w:type="pct"/>
            <w:vMerge w:val="continue"/>
            <w:tcBorders>
              <w:tl2br w:val="nil"/>
              <w:tr2bl w:val="nil"/>
            </w:tcBorders>
            <w:vAlign w:val="center"/>
          </w:tcPr>
          <w:p w14:paraId="52212DAF">
            <w:pPr>
              <w:pStyle w:val="31"/>
              <w:bidi w:val="0"/>
              <w:jc w:val="center"/>
              <w:rPr>
                <w:rFonts w:hint="eastAsia"/>
                <w:lang w:val="en-US" w:eastAsia="zh-CN"/>
              </w:rPr>
            </w:pPr>
          </w:p>
        </w:tc>
      </w:tr>
    </w:tbl>
    <w:p w14:paraId="6039E724">
      <w:pPr>
        <w:pStyle w:val="21"/>
        <w:rPr>
          <w:rFonts w:hint="eastAsia"/>
          <w:lang w:val="en-US" w:eastAsia="zh-CN"/>
        </w:rPr>
      </w:pPr>
      <w:r>
        <w:rPr>
          <w:rFonts w:hint="eastAsia"/>
          <w:lang w:val="en-US" w:eastAsia="zh-CN"/>
        </w:rPr>
        <w:t>3、现有工程主要生产设施</w:t>
      </w:r>
    </w:p>
    <w:p w14:paraId="4E4E7451">
      <w:pPr>
        <w:pStyle w:val="23"/>
        <w:bidi w:val="0"/>
        <w:rPr>
          <w:rFonts w:hint="eastAsia"/>
          <w:lang w:val="en-US" w:eastAsia="zh-CN"/>
        </w:rPr>
      </w:pPr>
      <w:r>
        <w:rPr>
          <w:rFonts w:hint="eastAsia"/>
          <w:lang w:val="en-US" w:eastAsia="zh-CN"/>
        </w:rPr>
        <w:t>表3.1-4  现有工程主要生产设备一览表</w:t>
      </w:r>
    </w:p>
    <w:tbl>
      <w:tblPr>
        <w:tblStyle w:val="1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800"/>
        <w:gridCol w:w="2383"/>
        <w:gridCol w:w="1065"/>
        <w:gridCol w:w="2832"/>
      </w:tblGrid>
      <w:tr w14:paraId="6E18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757" w:type="dxa"/>
            <w:tcBorders>
              <w:tl2br w:val="nil"/>
              <w:tr2bl w:val="nil"/>
            </w:tcBorders>
            <w:noWrap w:val="0"/>
            <w:vAlign w:val="center"/>
          </w:tcPr>
          <w:p w14:paraId="1A7F127E">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序号</w:t>
            </w:r>
          </w:p>
        </w:tc>
        <w:tc>
          <w:tcPr>
            <w:tcW w:w="1800" w:type="dxa"/>
            <w:tcBorders>
              <w:tl2br w:val="nil"/>
              <w:tr2bl w:val="nil"/>
            </w:tcBorders>
            <w:noWrap w:val="0"/>
            <w:vAlign w:val="center"/>
          </w:tcPr>
          <w:p w14:paraId="73BB55B0">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设备名称</w:t>
            </w:r>
          </w:p>
        </w:tc>
        <w:tc>
          <w:tcPr>
            <w:tcW w:w="2383" w:type="dxa"/>
            <w:tcBorders>
              <w:tl2br w:val="nil"/>
              <w:tr2bl w:val="nil"/>
            </w:tcBorders>
            <w:noWrap w:val="0"/>
            <w:vAlign w:val="center"/>
          </w:tcPr>
          <w:p w14:paraId="48CACF2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规格型号</w:t>
            </w:r>
          </w:p>
        </w:tc>
        <w:tc>
          <w:tcPr>
            <w:tcW w:w="1065" w:type="dxa"/>
            <w:tcBorders>
              <w:tl2br w:val="nil"/>
              <w:tr2bl w:val="nil"/>
            </w:tcBorders>
            <w:noWrap w:val="0"/>
            <w:vAlign w:val="center"/>
          </w:tcPr>
          <w:p w14:paraId="2D9B2D0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数量</w:t>
            </w:r>
          </w:p>
        </w:tc>
        <w:tc>
          <w:tcPr>
            <w:tcW w:w="2832" w:type="dxa"/>
            <w:tcBorders>
              <w:tl2br w:val="nil"/>
              <w:tr2bl w:val="nil"/>
            </w:tcBorders>
            <w:noWrap w:val="0"/>
            <w:vAlign w:val="center"/>
          </w:tcPr>
          <w:p w14:paraId="27A0BA93">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备注</w:t>
            </w:r>
          </w:p>
        </w:tc>
      </w:tr>
      <w:tr w14:paraId="7C88B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6D016CA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1</w:t>
            </w:r>
          </w:p>
        </w:tc>
        <w:tc>
          <w:tcPr>
            <w:tcW w:w="1800" w:type="dxa"/>
            <w:tcBorders>
              <w:tl2br w:val="nil"/>
              <w:tr2bl w:val="nil"/>
            </w:tcBorders>
            <w:noWrap w:val="0"/>
            <w:vAlign w:val="center"/>
          </w:tcPr>
          <w:p w14:paraId="2047CBF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卷扬机</w:t>
            </w:r>
          </w:p>
        </w:tc>
        <w:tc>
          <w:tcPr>
            <w:tcW w:w="2383" w:type="dxa"/>
            <w:tcBorders>
              <w:tl2br w:val="nil"/>
              <w:tr2bl w:val="nil"/>
            </w:tcBorders>
            <w:noWrap w:val="0"/>
            <w:vAlign w:val="center"/>
          </w:tcPr>
          <w:p w14:paraId="399456DE">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5T</w:t>
            </w:r>
          </w:p>
        </w:tc>
        <w:tc>
          <w:tcPr>
            <w:tcW w:w="1065" w:type="dxa"/>
            <w:tcBorders>
              <w:tl2br w:val="nil"/>
              <w:tr2bl w:val="nil"/>
            </w:tcBorders>
            <w:noWrap w:val="0"/>
            <w:vAlign w:val="center"/>
          </w:tcPr>
          <w:p w14:paraId="4338DCE6">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lang w:val="en-US" w:eastAsia="zh-CN"/>
              </w:rPr>
              <w:t>1</w:t>
            </w:r>
            <w:r>
              <w:rPr>
                <w:rFonts w:ascii="Times New Roman" w:hAnsi="Times New Roman" w:eastAsia="宋体" w:cs="Times New Roman"/>
                <w:color w:val="000000"/>
                <w:szCs w:val="21"/>
                <w:u w:val="none" w:color="auto"/>
              </w:rPr>
              <w:t>台</w:t>
            </w:r>
          </w:p>
        </w:tc>
        <w:tc>
          <w:tcPr>
            <w:tcW w:w="2832" w:type="dxa"/>
            <w:tcBorders>
              <w:tl2br w:val="nil"/>
              <w:tr2bl w:val="nil"/>
            </w:tcBorders>
            <w:noWrap w:val="0"/>
            <w:vAlign w:val="center"/>
          </w:tcPr>
          <w:p w14:paraId="2A27C5D1">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位于船台，牵引拖拽</w:t>
            </w:r>
          </w:p>
        </w:tc>
      </w:tr>
      <w:tr w14:paraId="745D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196AECFB">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2</w:t>
            </w:r>
          </w:p>
        </w:tc>
        <w:tc>
          <w:tcPr>
            <w:tcW w:w="1800" w:type="dxa"/>
            <w:tcBorders>
              <w:tl2br w:val="nil"/>
              <w:tr2bl w:val="nil"/>
            </w:tcBorders>
            <w:noWrap w:val="0"/>
            <w:vAlign w:val="center"/>
          </w:tcPr>
          <w:p w14:paraId="2088423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地锚、缆桩</w:t>
            </w:r>
          </w:p>
        </w:tc>
        <w:tc>
          <w:tcPr>
            <w:tcW w:w="2383" w:type="dxa"/>
            <w:tcBorders>
              <w:tl2br w:val="nil"/>
              <w:tr2bl w:val="nil"/>
            </w:tcBorders>
            <w:noWrap w:val="0"/>
            <w:vAlign w:val="center"/>
          </w:tcPr>
          <w:p w14:paraId="2C1E734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w:t>
            </w:r>
          </w:p>
        </w:tc>
        <w:tc>
          <w:tcPr>
            <w:tcW w:w="1065" w:type="dxa"/>
            <w:tcBorders>
              <w:tl2br w:val="nil"/>
              <w:tr2bl w:val="nil"/>
            </w:tcBorders>
            <w:noWrap w:val="0"/>
            <w:vAlign w:val="center"/>
          </w:tcPr>
          <w:p w14:paraId="452D0E91">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w:t>
            </w:r>
          </w:p>
        </w:tc>
        <w:tc>
          <w:tcPr>
            <w:tcW w:w="2832" w:type="dxa"/>
            <w:tcBorders>
              <w:tl2br w:val="nil"/>
              <w:tr2bl w:val="nil"/>
            </w:tcBorders>
            <w:noWrap w:val="0"/>
            <w:vAlign w:val="center"/>
          </w:tcPr>
          <w:p w14:paraId="6960F599">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强度达到技术要求</w:t>
            </w:r>
          </w:p>
        </w:tc>
      </w:tr>
      <w:tr w14:paraId="4D4C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3437959E">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3</w:t>
            </w:r>
          </w:p>
        </w:tc>
        <w:tc>
          <w:tcPr>
            <w:tcW w:w="1800" w:type="dxa"/>
            <w:tcBorders>
              <w:tl2br w:val="nil"/>
              <w:tr2bl w:val="nil"/>
            </w:tcBorders>
            <w:noWrap w:val="0"/>
            <w:vAlign w:val="center"/>
          </w:tcPr>
          <w:p w14:paraId="4D6C3D5B">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重载荷气囊</w:t>
            </w:r>
          </w:p>
        </w:tc>
        <w:tc>
          <w:tcPr>
            <w:tcW w:w="2383" w:type="dxa"/>
            <w:tcBorders>
              <w:tl2br w:val="nil"/>
              <w:tr2bl w:val="nil"/>
            </w:tcBorders>
            <w:noWrap w:val="0"/>
            <w:vAlign w:val="center"/>
          </w:tcPr>
          <w:p w14:paraId="36EFB42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Ф1.2m*8m</w:t>
            </w:r>
          </w:p>
        </w:tc>
        <w:tc>
          <w:tcPr>
            <w:tcW w:w="1065" w:type="dxa"/>
            <w:tcBorders>
              <w:tl2br w:val="nil"/>
              <w:tr2bl w:val="nil"/>
            </w:tcBorders>
            <w:noWrap w:val="0"/>
            <w:vAlign w:val="center"/>
          </w:tcPr>
          <w:p w14:paraId="473E6B8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20条</w:t>
            </w:r>
          </w:p>
        </w:tc>
        <w:tc>
          <w:tcPr>
            <w:tcW w:w="2832" w:type="dxa"/>
            <w:tcBorders>
              <w:tl2br w:val="nil"/>
              <w:tr2bl w:val="nil"/>
            </w:tcBorders>
            <w:noWrap w:val="0"/>
            <w:vAlign w:val="center"/>
          </w:tcPr>
          <w:p w14:paraId="7E97245D">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05538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166DAA9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4</w:t>
            </w:r>
          </w:p>
        </w:tc>
        <w:tc>
          <w:tcPr>
            <w:tcW w:w="1800" w:type="dxa"/>
            <w:tcBorders>
              <w:tl2br w:val="nil"/>
              <w:tr2bl w:val="nil"/>
            </w:tcBorders>
            <w:noWrap w:val="0"/>
            <w:vAlign w:val="center"/>
          </w:tcPr>
          <w:p w14:paraId="61C65CD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空压机</w:t>
            </w:r>
          </w:p>
        </w:tc>
        <w:tc>
          <w:tcPr>
            <w:tcW w:w="2383" w:type="dxa"/>
            <w:tcBorders>
              <w:tl2br w:val="nil"/>
              <w:tr2bl w:val="nil"/>
            </w:tcBorders>
            <w:noWrap w:val="0"/>
            <w:vAlign w:val="center"/>
          </w:tcPr>
          <w:p w14:paraId="1FBBED4E">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Z75A</w:t>
            </w:r>
          </w:p>
        </w:tc>
        <w:tc>
          <w:tcPr>
            <w:tcW w:w="1065" w:type="dxa"/>
            <w:tcBorders>
              <w:tl2br w:val="nil"/>
              <w:tr2bl w:val="nil"/>
            </w:tcBorders>
            <w:noWrap w:val="0"/>
            <w:vAlign w:val="center"/>
          </w:tcPr>
          <w:p w14:paraId="24F22FE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1台</w:t>
            </w:r>
          </w:p>
        </w:tc>
        <w:tc>
          <w:tcPr>
            <w:tcW w:w="2832" w:type="dxa"/>
            <w:tcBorders>
              <w:tl2br w:val="nil"/>
              <w:tr2bl w:val="nil"/>
            </w:tcBorders>
            <w:noWrap w:val="0"/>
            <w:vAlign w:val="center"/>
          </w:tcPr>
          <w:p w14:paraId="3FFCC333">
            <w:pPr>
              <w:pStyle w:val="43"/>
              <w:rPr>
                <w:rFonts w:hint="eastAsia" w:ascii="Times New Roman" w:hAnsi="Times New Roman" w:eastAsia="宋体" w:cs="Times New Roman"/>
                <w:color w:val="000000"/>
                <w:szCs w:val="21"/>
                <w:u w:val="none" w:color="auto"/>
                <w:lang w:eastAsia="zh-CN"/>
              </w:rPr>
            </w:pPr>
            <w:r>
              <w:rPr>
                <w:rFonts w:ascii="Times New Roman" w:hAnsi="Times New Roman" w:eastAsia="宋体" w:cs="Times New Roman"/>
                <w:color w:val="000000"/>
                <w:szCs w:val="21"/>
                <w:u w:val="none" w:color="auto"/>
              </w:rPr>
              <w:t>空压机房</w:t>
            </w:r>
          </w:p>
        </w:tc>
      </w:tr>
      <w:tr w14:paraId="323C2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vMerge w:val="restart"/>
            <w:tcBorders>
              <w:tl2br w:val="nil"/>
              <w:tr2bl w:val="nil"/>
            </w:tcBorders>
            <w:noWrap w:val="0"/>
            <w:vAlign w:val="center"/>
          </w:tcPr>
          <w:p w14:paraId="363DC85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5</w:t>
            </w:r>
          </w:p>
        </w:tc>
        <w:tc>
          <w:tcPr>
            <w:tcW w:w="1800" w:type="dxa"/>
            <w:vMerge w:val="restart"/>
            <w:tcBorders>
              <w:tl2br w:val="nil"/>
              <w:tr2bl w:val="nil"/>
            </w:tcBorders>
            <w:noWrap w:val="0"/>
            <w:vAlign w:val="center"/>
          </w:tcPr>
          <w:p w14:paraId="1D8A6EE7">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电焊机</w:t>
            </w:r>
          </w:p>
        </w:tc>
        <w:tc>
          <w:tcPr>
            <w:tcW w:w="2383" w:type="dxa"/>
            <w:tcBorders>
              <w:tl2br w:val="nil"/>
              <w:tr2bl w:val="nil"/>
            </w:tcBorders>
            <w:noWrap w:val="0"/>
            <w:vAlign w:val="center"/>
          </w:tcPr>
          <w:p w14:paraId="38FD492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BX1-500</w:t>
            </w:r>
          </w:p>
        </w:tc>
        <w:tc>
          <w:tcPr>
            <w:tcW w:w="1065" w:type="dxa"/>
            <w:tcBorders>
              <w:tl2br w:val="nil"/>
              <w:tr2bl w:val="nil"/>
            </w:tcBorders>
            <w:noWrap w:val="0"/>
            <w:vAlign w:val="center"/>
          </w:tcPr>
          <w:p w14:paraId="7B67D789">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lang w:val="en-US" w:eastAsia="zh-CN"/>
              </w:rPr>
              <w:t>4</w:t>
            </w:r>
            <w:r>
              <w:rPr>
                <w:rFonts w:ascii="Times New Roman" w:hAnsi="Times New Roman" w:eastAsia="宋体" w:cs="Times New Roman"/>
                <w:color w:val="000000"/>
                <w:szCs w:val="21"/>
                <w:u w:val="none" w:color="auto"/>
              </w:rPr>
              <w:t>台</w:t>
            </w:r>
          </w:p>
        </w:tc>
        <w:tc>
          <w:tcPr>
            <w:tcW w:w="2832" w:type="dxa"/>
            <w:tcBorders>
              <w:tl2br w:val="nil"/>
              <w:tr2bl w:val="nil"/>
            </w:tcBorders>
            <w:noWrap w:val="0"/>
            <w:vAlign w:val="center"/>
          </w:tcPr>
          <w:p w14:paraId="110833A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2B6B1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vMerge w:val="continue"/>
            <w:tcBorders>
              <w:tl2br w:val="nil"/>
              <w:tr2bl w:val="nil"/>
            </w:tcBorders>
            <w:noWrap w:val="0"/>
            <w:vAlign w:val="center"/>
          </w:tcPr>
          <w:p w14:paraId="163E8465">
            <w:pPr>
              <w:pStyle w:val="43"/>
              <w:outlineLvl w:val="9"/>
              <w:rPr>
                <w:rFonts w:ascii="Times New Roman" w:hAnsi="Times New Roman" w:eastAsia="宋体" w:cs="Times New Roman"/>
                <w:color w:val="000000"/>
                <w:szCs w:val="21"/>
                <w:u w:val="none" w:color="auto"/>
              </w:rPr>
            </w:pPr>
          </w:p>
        </w:tc>
        <w:tc>
          <w:tcPr>
            <w:tcW w:w="1800" w:type="dxa"/>
            <w:vMerge w:val="continue"/>
            <w:tcBorders>
              <w:tl2br w:val="nil"/>
              <w:tr2bl w:val="nil"/>
            </w:tcBorders>
            <w:noWrap w:val="0"/>
            <w:vAlign w:val="center"/>
          </w:tcPr>
          <w:p w14:paraId="6ABFCFDB">
            <w:pPr>
              <w:pStyle w:val="43"/>
              <w:outlineLvl w:val="9"/>
              <w:rPr>
                <w:rFonts w:ascii="Times New Roman" w:hAnsi="Times New Roman" w:eastAsia="宋体" w:cs="Times New Roman"/>
                <w:color w:val="000000"/>
                <w:szCs w:val="21"/>
                <w:u w:val="none" w:color="auto"/>
              </w:rPr>
            </w:pPr>
          </w:p>
        </w:tc>
        <w:tc>
          <w:tcPr>
            <w:tcW w:w="2383" w:type="dxa"/>
            <w:tcBorders>
              <w:tl2br w:val="nil"/>
              <w:tr2bl w:val="nil"/>
            </w:tcBorders>
            <w:noWrap w:val="0"/>
            <w:vAlign w:val="center"/>
          </w:tcPr>
          <w:p w14:paraId="29C673D0">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BX1-</w:t>
            </w:r>
            <w:r>
              <w:rPr>
                <w:rFonts w:hint="eastAsia" w:ascii="Times New Roman" w:hAnsi="Times New Roman" w:eastAsia="宋体" w:cs="Times New Roman"/>
                <w:color w:val="000000"/>
                <w:szCs w:val="21"/>
                <w:u w:val="none" w:color="auto"/>
                <w:lang w:val="en-US" w:eastAsia="zh-CN"/>
              </w:rPr>
              <w:t>4</w:t>
            </w:r>
            <w:r>
              <w:rPr>
                <w:rFonts w:ascii="Times New Roman" w:hAnsi="Times New Roman" w:eastAsia="宋体" w:cs="Times New Roman"/>
                <w:color w:val="000000"/>
                <w:szCs w:val="21"/>
                <w:u w:val="none" w:color="auto"/>
              </w:rPr>
              <w:t>00</w:t>
            </w:r>
          </w:p>
        </w:tc>
        <w:tc>
          <w:tcPr>
            <w:tcW w:w="1065" w:type="dxa"/>
            <w:tcBorders>
              <w:tl2br w:val="nil"/>
              <w:tr2bl w:val="nil"/>
            </w:tcBorders>
            <w:noWrap w:val="0"/>
            <w:vAlign w:val="center"/>
          </w:tcPr>
          <w:p w14:paraId="5EFA5AA1">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2台</w:t>
            </w:r>
          </w:p>
        </w:tc>
        <w:tc>
          <w:tcPr>
            <w:tcW w:w="2832" w:type="dxa"/>
            <w:tcBorders>
              <w:tl2br w:val="nil"/>
              <w:tr2bl w:val="nil"/>
            </w:tcBorders>
            <w:noWrap w:val="0"/>
            <w:vAlign w:val="center"/>
          </w:tcPr>
          <w:p w14:paraId="3B15139D">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13CC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1218C0D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6</w:t>
            </w:r>
          </w:p>
        </w:tc>
        <w:tc>
          <w:tcPr>
            <w:tcW w:w="1800" w:type="dxa"/>
            <w:tcBorders>
              <w:tl2br w:val="nil"/>
              <w:tr2bl w:val="nil"/>
            </w:tcBorders>
            <w:noWrap w:val="0"/>
            <w:vAlign w:val="center"/>
          </w:tcPr>
          <w:p w14:paraId="055FCDF2">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氧割机</w:t>
            </w:r>
          </w:p>
        </w:tc>
        <w:tc>
          <w:tcPr>
            <w:tcW w:w="2383" w:type="dxa"/>
            <w:tcBorders>
              <w:tl2br w:val="nil"/>
              <w:tr2bl w:val="nil"/>
            </w:tcBorders>
            <w:noWrap w:val="0"/>
            <w:vAlign w:val="center"/>
          </w:tcPr>
          <w:p w14:paraId="68F2E473">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DK7760</w:t>
            </w:r>
          </w:p>
        </w:tc>
        <w:tc>
          <w:tcPr>
            <w:tcW w:w="1065" w:type="dxa"/>
            <w:tcBorders>
              <w:tl2br w:val="nil"/>
              <w:tr2bl w:val="nil"/>
            </w:tcBorders>
            <w:noWrap w:val="0"/>
            <w:vAlign w:val="center"/>
          </w:tcPr>
          <w:p w14:paraId="480A460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2台</w:t>
            </w:r>
          </w:p>
        </w:tc>
        <w:tc>
          <w:tcPr>
            <w:tcW w:w="2832" w:type="dxa"/>
            <w:tcBorders>
              <w:tl2br w:val="nil"/>
              <w:tr2bl w:val="nil"/>
            </w:tcBorders>
            <w:noWrap w:val="0"/>
            <w:vAlign w:val="center"/>
          </w:tcPr>
          <w:p w14:paraId="76818C5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02061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6500597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7</w:t>
            </w:r>
          </w:p>
        </w:tc>
        <w:tc>
          <w:tcPr>
            <w:tcW w:w="1800" w:type="dxa"/>
            <w:tcBorders>
              <w:tl2br w:val="nil"/>
              <w:tr2bl w:val="nil"/>
            </w:tcBorders>
            <w:noWrap w:val="0"/>
            <w:vAlign w:val="center"/>
          </w:tcPr>
          <w:p w14:paraId="135FD9C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减压器</w:t>
            </w:r>
          </w:p>
        </w:tc>
        <w:tc>
          <w:tcPr>
            <w:tcW w:w="2383" w:type="dxa"/>
            <w:tcBorders>
              <w:tl2br w:val="nil"/>
              <w:tr2bl w:val="nil"/>
            </w:tcBorders>
            <w:noWrap w:val="0"/>
            <w:vAlign w:val="center"/>
          </w:tcPr>
          <w:p w14:paraId="52DEAFB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w:t>
            </w:r>
          </w:p>
        </w:tc>
        <w:tc>
          <w:tcPr>
            <w:tcW w:w="1065" w:type="dxa"/>
            <w:tcBorders>
              <w:tl2br w:val="nil"/>
              <w:tr2bl w:val="nil"/>
            </w:tcBorders>
            <w:noWrap w:val="0"/>
            <w:vAlign w:val="center"/>
          </w:tcPr>
          <w:p w14:paraId="24281D0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2台</w:t>
            </w:r>
          </w:p>
        </w:tc>
        <w:tc>
          <w:tcPr>
            <w:tcW w:w="2832" w:type="dxa"/>
            <w:tcBorders>
              <w:tl2br w:val="nil"/>
              <w:tr2bl w:val="nil"/>
            </w:tcBorders>
            <w:noWrap w:val="0"/>
            <w:vAlign w:val="center"/>
          </w:tcPr>
          <w:p w14:paraId="27E7F196">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0BB01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605ECAE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8</w:t>
            </w:r>
          </w:p>
        </w:tc>
        <w:tc>
          <w:tcPr>
            <w:tcW w:w="1800" w:type="dxa"/>
            <w:tcBorders>
              <w:tl2br w:val="nil"/>
              <w:tr2bl w:val="nil"/>
            </w:tcBorders>
            <w:noWrap w:val="0"/>
            <w:vAlign w:val="center"/>
          </w:tcPr>
          <w:p w14:paraId="08B25254">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割炬</w:t>
            </w:r>
          </w:p>
        </w:tc>
        <w:tc>
          <w:tcPr>
            <w:tcW w:w="2383" w:type="dxa"/>
            <w:tcBorders>
              <w:tl2br w:val="nil"/>
              <w:tr2bl w:val="nil"/>
            </w:tcBorders>
            <w:noWrap w:val="0"/>
            <w:vAlign w:val="center"/>
          </w:tcPr>
          <w:p w14:paraId="2794DAB8">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w:t>
            </w:r>
          </w:p>
        </w:tc>
        <w:tc>
          <w:tcPr>
            <w:tcW w:w="1065" w:type="dxa"/>
            <w:tcBorders>
              <w:tl2br w:val="nil"/>
              <w:tr2bl w:val="nil"/>
            </w:tcBorders>
            <w:noWrap w:val="0"/>
            <w:vAlign w:val="center"/>
          </w:tcPr>
          <w:p w14:paraId="62515791">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4支</w:t>
            </w:r>
          </w:p>
        </w:tc>
        <w:tc>
          <w:tcPr>
            <w:tcW w:w="2832" w:type="dxa"/>
            <w:tcBorders>
              <w:tl2br w:val="nil"/>
              <w:tr2bl w:val="nil"/>
            </w:tcBorders>
            <w:noWrap w:val="0"/>
            <w:vAlign w:val="center"/>
          </w:tcPr>
          <w:p w14:paraId="26451987">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26A88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757" w:type="dxa"/>
            <w:tcBorders>
              <w:tl2br w:val="nil"/>
              <w:tr2bl w:val="nil"/>
            </w:tcBorders>
            <w:noWrap w:val="0"/>
            <w:vAlign w:val="center"/>
          </w:tcPr>
          <w:p w14:paraId="0D511A47">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9</w:t>
            </w:r>
          </w:p>
        </w:tc>
        <w:tc>
          <w:tcPr>
            <w:tcW w:w="1800" w:type="dxa"/>
            <w:tcBorders>
              <w:tl2br w:val="nil"/>
              <w:tr2bl w:val="nil"/>
            </w:tcBorders>
            <w:noWrap w:val="0"/>
            <w:vAlign w:val="center"/>
          </w:tcPr>
          <w:p w14:paraId="375E33A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打磨机</w:t>
            </w:r>
          </w:p>
        </w:tc>
        <w:tc>
          <w:tcPr>
            <w:tcW w:w="2383" w:type="dxa"/>
            <w:tcBorders>
              <w:tl2br w:val="nil"/>
              <w:tr2bl w:val="nil"/>
            </w:tcBorders>
            <w:noWrap w:val="0"/>
            <w:vAlign w:val="center"/>
          </w:tcPr>
          <w:p w14:paraId="624650B3">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TWS6700</w:t>
            </w:r>
          </w:p>
        </w:tc>
        <w:tc>
          <w:tcPr>
            <w:tcW w:w="1065" w:type="dxa"/>
            <w:tcBorders>
              <w:tl2br w:val="nil"/>
              <w:tr2bl w:val="nil"/>
            </w:tcBorders>
            <w:noWrap w:val="0"/>
            <w:vAlign w:val="center"/>
          </w:tcPr>
          <w:p w14:paraId="32D8F6D5">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lang w:val="en-US" w:eastAsia="zh-CN"/>
              </w:rPr>
              <w:t>2</w:t>
            </w:r>
            <w:r>
              <w:rPr>
                <w:rFonts w:ascii="Times New Roman" w:hAnsi="Times New Roman" w:eastAsia="宋体" w:cs="Times New Roman"/>
                <w:color w:val="000000"/>
                <w:szCs w:val="21"/>
                <w:u w:val="none" w:color="auto"/>
              </w:rPr>
              <w:t>台</w:t>
            </w:r>
          </w:p>
        </w:tc>
        <w:tc>
          <w:tcPr>
            <w:tcW w:w="2832" w:type="dxa"/>
            <w:tcBorders>
              <w:tl2br w:val="nil"/>
              <w:tr2bl w:val="nil"/>
            </w:tcBorders>
            <w:noWrap w:val="0"/>
            <w:vAlign w:val="center"/>
          </w:tcPr>
          <w:p w14:paraId="61975C74">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r w14:paraId="32516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57" w:type="dxa"/>
            <w:tcBorders>
              <w:tl2br w:val="nil"/>
              <w:tr2bl w:val="nil"/>
            </w:tcBorders>
            <w:noWrap w:val="0"/>
            <w:vAlign w:val="center"/>
          </w:tcPr>
          <w:p w14:paraId="6F844872">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10</w:t>
            </w:r>
          </w:p>
        </w:tc>
        <w:tc>
          <w:tcPr>
            <w:tcW w:w="1800" w:type="dxa"/>
            <w:tcBorders>
              <w:tl2br w:val="nil"/>
              <w:tr2bl w:val="nil"/>
            </w:tcBorders>
            <w:noWrap w:val="0"/>
            <w:vAlign w:val="center"/>
          </w:tcPr>
          <w:p w14:paraId="0A554A3F">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喷砂除锈机</w:t>
            </w:r>
          </w:p>
        </w:tc>
        <w:tc>
          <w:tcPr>
            <w:tcW w:w="2383" w:type="dxa"/>
            <w:tcBorders>
              <w:tl2br w:val="nil"/>
              <w:tr2bl w:val="nil"/>
            </w:tcBorders>
            <w:noWrap w:val="0"/>
            <w:vAlign w:val="center"/>
          </w:tcPr>
          <w:p w14:paraId="51BBC88C">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w:t>
            </w:r>
          </w:p>
        </w:tc>
        <w:tc>
          <w:tcPr>
            <w:tcW w:w="1065" w:type="dxa"/>
            <w:tcBorders>
              <w:tl2br w:val="nil"/>
              <w:tr2bl w:val="nil"/>
            </w:tcBorders>
            <w:noWrap w:val="0"/>
            <w:vAlign w:val="center"/>
          </w:tcPr>
          <w:p w14:paraId="6E34E786">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1台</w:t>
            </w:r>
          </w:p>
        </w:tc>
        <w:tc>
          <w:tcPr>
            <w:tcW w:w="2832" w:type="dxa"/>
            <w:tcBorders>
              <w:tl2br w:val="nil"/>
              <w:tr2bl w:val="nil"/>
            </w:tcBorders>
            <w:noWrap w:val="0"/>
            <w:vAlign w:val="center"/>
          </w:tcPr>
          <w:p w14:paraId="6A0A2E0D">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船台使用</w:t>
            </w:r>
          </w:p>
        </w:tc>
      </w:tr>
    </w:tbl>
    <w:p w14:paraId="5690BADD">
      <w:pPr>
        <w:pStyle w:val="21"/>
        <w:rPr>
          <w:rFonts w:hint="eastAsia"/>
          <w:lang w:val="en-US" w:eastAsia="zh-CN"/>
        </w:rPr>
      </w:pPr>
      <w:r>
        <w:rPr>
          <w:rFonts w:hint="eastAsia"/>
          <w:lang w:val="en-US" w:eastAsia="zh-CN"/>
        </w:rPr>
        <w:t>4、现有工程主要原辅材料</w:t>
      </w:r>
    </w:p>
    <w:p w14:paraId="1CBAB571">
      <w:pPr>
        <w:pStyle w:val="23"/>
        <w:bidi w:val="0"/>
        <w:rPr>
          <w:rFonts w:hint="eastAsia"/>
          <w:lang w:val="en-US" w:eastAsia="zh-CN"/>
        </w:rPr>
      </w:pPr>
      <w:r>
        <w:rPr>
          <w:rFonts w:hint="eastAsia"/>
          <w:lang w:val="en-US" w:eastAsia="zh-CN"/>
        </w:rPr>
        <w:t>表3.1-5  现有工程主要原辅材料消耗情况一览表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263"/>
        <w:gridCol w:w="760"/>
        <w:gridCol w:w="3210"/>
        <w:gridCol w:w="1011"/>
        <w:gridCol w:w="1515"/>
      </w:tblGrid>
      <w:tr w14:paraId="3CD91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446" w:type="pct"/>
            <w:tcBorders>
              <w:tl2br w:val="nil"/>
              <w:tr2bl w:val="nil"/>
            </w:tcBorders>
            <w:noWrap w:val="0"/>
            <w:vAlign w:val="center"/>
          </w:tcPr>
          <w:p w14:paraId="4BDB3E1A">
            <w:pPr>
              <w:pStyle w:val="31"/>
              <w:bidi w:val="0"/>
              <w:jc w:val="center"/>
              <w:rPr>
                <w:rFonts w:hint="default"/>
                <w:lang w:eastAsia="zh-CN"/>
              </w:rPr>
            </w:pPr>
            <w:r>
              <w:rPr>
                <w:rFonts w:hint="default"/>
                <w:lang w:eastAsia="zh-CN"/>
              </w:rPr>
              <w:t>序号</w:t>
            </w:r>
          </w:p>
        </w:tc>
        <w:tc>
          <w:tcPr>
            <w:tcW w:w="741" w:type="pct"/>
            <w:tcBorders>
              <w:tl2br w:val="nil"/>
              <w:tr2bl w:val="nil"/>
            </w:tcBorders>
            <w:noWrap w:val="0"/>
            <w:vAlign w:val="center"/>
          </w:tcPr>
          <w:p w14:paraId="2864A882">
            <w:pPr>
              <w:pStyle w:val="31"/>
              <w:bidi w:val="0"/>
              <w:jc w:val="center"/>
              <w:rPr>
                <w:rFonts w:hint="default"/>
                <w:lang w:eastAsia="zh-CN"/>
              </w:rPr>
            </w:pPr>
            <w:r>
              <w:rPr>
                <w:rFonts w:hint="default"/>
                <w:lang w:eastAsia="zh-CN"/>
              </w:rPr>
              <w:t>名称</w:t>
            </w:r>
          </w:p>
        </w:tc>
        <w:tc>
          <w:tcPr>
            <w:tcW w:w="446" w:type="pct"/>
            <w:tcBorders>
              <w:tl2br w:val="nil"/>
              <w:tr2bl w:val="nil"/>
            </w:tcBorders>
            <w:noWrap w:val="0"/>
            <w:vAlign w:val="center"/>
          </w:tcPr>
          <w:p w14:paraId="69ED2347">
            <w:pPr>
              <w:pStyle w:val="31"/>
              <w:bidi w:val="0"/>
              <w:jc w:val="center"/>
              <w:rPr>
                <w:rFonts w:hint="default"/>
                <w:lang w:val="en-US" w:eastAsia="zh-CN"/>
              </w:rPr>
            </w:pPr>
            <w:r>
              <w:rPr>
                <w:rFonts w:hint="eastAsia"/>
                <w:lang w:val="en-US" w:eastAsia="zh-CN"/>
              </w:rPr>
              <w:t>单位</w:t>
            </w:r>
          </w:p>
        </w:tc>
        <w:tc>
          <w:tcPr>
            <w:tcW w:w="1883" w:type="pct"/>
            <w:tcBorders>
              <w:tl2br w:val="nil"/>
              <w:tr2bl w:val="nil"/>
            </w:tcBorders>
            <w:noWrap w:val="0"/>
            <w:vAlign w:val="center"/>
          </w:tcPr>
          <w:p w14:paraId="699FBB2B">
            <w:pPr>
              <w:pStyle w:val="31"/>
              <w:bidi w:val="0"/>
              <w:jc w:val="center"/>
              <w:rPr>
                <w:rFonts w:hint="default"/>
                <w:lang w:val="en-US" w:eastAsia="zh-CN"/>
              </w:rPr>
            </w:pPr>
            <w:r>
              <w:rPr>
                <w:rFonts w:hint="eastAsia"/>
                <w:lang w:val="en-US" w:eastAsia="zh-CN"/>
              </w:rPr>
              <w:t>规格</w:t>
            </w:r>
          </w:p>
        </w:tc>
        <w:tc>
          <w:tcPr>
            <w:tcW w:w="593" w:type="pct"/>
            <w:tcBorders>
              <w:tl2br w:val="nil"/>
              <w:tr2bl w:val="nil"/>
            </w:tcBorders>
            <w:noWrap w:val="0"/>
            <w:vAlign w:val="center"/>
          </w:tcPr>
          <w:p w14:paraId="02686A7B">
            <w:pPr>
              <w:pStyle w:val="31"/>
              <w:bidi w:val="0"/>
              <w:jc w:val="center"/>
              <w:rPr>
                <w:rFonts w:hint="default"/>
                <w:lang w:val="en-US" w:eastAsia="zh-CN"/>
              </w:rPr>
            </w:pPr>
            <w:r>
              <w:rPr>
                <w:rFonts w:hint="eastAsia"/>
                <w:lang w:val="en-US" w:eastAsia="zh-CN"/>
              </w:rPr>
              <w:t>年用量</w:t>
            </w:r>
          </w:p>
        </w:tc>
        <w:tc>
          <w:tcPr>
            <w:tcW w:w="888" w:type="pct"/>
            <w:tcBorders>
              <w:tl2br w:val="nil"/>
              <w:tr2bl w:val="nil"/>
            </w:tcBorders>
            <w:noWrap w:val="0"/>
            <w:vAlign w:val="center"/>
          </w:tcPr>
          <w:p w14:paraId="5B0F3823">
            <w:pPr>
              <w:pStyle w:val="31"/>
              <w:bidi w:val="0"/>
              <w:jc w:val="center"/>
              <w:rPr>
                <w:rFonts w:hint="default"/>
                <w:lang w:val="en-US" w:eastAsia="zh-CN"/>
              </w:rPr>
            </w:pPr>
            <w:r>
              <w:rPr>
                <w:rFonts w:hint="eastAsia"/>
                <w:lang w:val="en-US" w:eastAsia="zh-CN"/>
              </w:rPr>
              <w:t>最大贮存量</w:t>
            </w:r>
          </w:p>
        </w:tc>
      </w:tr>
      <w:tr w14:paraId="33B1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53F10AA1">
            <w:pPr>
              <w:pStyle w:val="31"/>
              <w:bidi w:val="0"/>
              <w:jc w:val="center"/>
              <w:rPr>
                <w:rFonts w:hint="default"/>
              </w:rPr>
            </w:pPr>
            <w:r>
              <w:rPr>
                <w:rFonts w:hint="default"/>
              </w:rPr>
              <w:t>1</w:t>
            </w:r>
          </w:p>
        </w:tc>
        <w:tc>
          <w:tcPr>
            <w:tcW w:w="741" w:type="pct"/>
            <w:tcBorders>
              <w:tl2br w:val="nil"/>
              <w:tr2bl w:val="nil"/>
            </w:tcBorders>
            <w:noWrap w:val="0"/>
            <w:vAlign w:val="center"/>
          </w:tcPr>
          <w:p w14:paraId="26D6868B">
            <w:pPr>
              <w:pStyle w:val="31"/>
              <w:bidi w:val="0"/>
              <w:jc w:val="center"/>
              <w:rPr>
                <w:rFonts w:hint="default"/>
                <w:lang w:val="en-US" w:eastAsia="zh-CN"/>
              </w:rPr>
            </w:pPr>
            <w:r>
              <w:rPr>
                <w:rFonts w:hint="default"/>
              </w:rPr>
              <w:t>钢板</w:t>
            </w:r>
          </w:p>
        </w:tc>
        <w:tc>
          <w:tcPr>
            <w:tcW w:w="446" w:type="pct"/>
            <w:tcBorders>
              <w:tl2br w:val="nil"/>
              <w:tr2bl w:val="nil"/>
            </w:tcBorders>
            <w:noWrap w:val="0"/>
            <w:vAlign w:val="center"/>
          </w:tcPr>
          <w:p w14:paraId="3B152892">
            <w:pPr>
              <w:pStyle w:val="31"/>
              <w:bidi w:val="0"/>
              <w:jc w:val="center"/>
              <w:rPr>
                <w:rFonts w:hint="default"/>
                <w:lang w:val="en-US" w:eastAsia="zh-CN"/>
              </w:rPr>
            </w:pPr>
            <w:r>
              <w:rPr>
                <w:rFonts w:hint="eastAsia"/>
                <w:lang w:val="en-US" w:eastAsia="zh-CN"/>
              </w:rPr>
              <w:t>t</w:t>
            </w:r>
          </w:p>
        </w:tc>
        <w:tc>
          <w:tcPr>
            <w:tcW w:w="1883" w:type="pct"/>
            <w:tcBorders>
              <w:tl2br w:val="nil"/>
              <w:tr2bl w:val="nil"/>
            </w:tcBorders>
            <w:noWrap w:val="0"/>
            <w:vAlign w:val="center"/>
          </w:tcPr>
          <w:p w14:paraId="63323CC9">
            <w:pPr>
              <w:pStyle w:val="31"/>
              <w:bidi w:val="0"/>
              <w:jc w:val="center"/>
              <w:rPr>
                <w:rFonts w:hint="default"/>
                <w:lang w:val="en-US" w:eastAsia="zh-CN"/>
              </w:rPr>
            </w:pPr>
            <w:r>
              <w:rPr>
                <w:rFonts w:hint="eastAsia"/>
                <w:lang w:val="en-US" w:eastAsia="zh-CN"/>
              </w:rPr>
              <w:t>/</w:t>
            </w:r>
          </w:p>
        </w:tc>
        <w:tc>
          <w:tcPr>
            <w:tcW w:w="593" w:type="pct"/>
            <w:tcBorders>
              <w:tl2br w:val="nil"/>
              <w:tr2bl w:val="nil"/>
            </w:tcBorders>
            <w:noWrap w:val="0"/>
            <w:vAlign w:val="center"/>
          </w:tcPr>
          <w:p w14:paraId="41AFB904">
            <w:pPr>
              <w:pStyle w:val="31"/>
              <w:bidi w:val="0"/>
              <w:jc w:val="center"/>
              <w:rPr>
                <w:rFonts w:hint="default"/>
                <w:lang w:val="en-US" w:eastAsia="zh-CN"/>
              </w:rPr>
            </w:pPr>
            <w:r>
              <w:rPr>
                <w:rFonts w:hint="eastAsia"/>
                <w:lang w:val="en-US" w:eastAsia="zh-CN"/>
              </w:rPr>
              <w:t>158</w:t>
            </w:r>
          </w:p>
        </w:tc>
        <w:tc>
          <w:tcPr>
            <w:tcW w:w="888" w:type="pct"/>
            <w:tcBorders>
              <w:tl2br w:val="nil"/>
              <w:tr2bl w:val="nil"/>
            </w:tcBorders>
            <w:noWrap w:val="0"/>
            <w:vAlign w:val="center"/>
          </w:tcPr>
          <w:p w14:paraId="5F0F37D0">
            <w:pPr>
              <w:pStyle w:val="31"/>
              <w:bidi w:val="0"/>
              <w:jc w:val="center"/>
              <w:rPr>
                <w:rFonts w:hint="default"/>
                <w:lang w:val="en-US" w:eastAsia="zh-CN"/>
              </w:rPr>
            </w:pPr>
            <w:r>
              <w:rPr>
                <w:rFonts w:hint="eastAsia"/>
                <w:lang w:val="en-US" w:eastAsia="zh-CN"/>
              </w:rPr>
              <w:t>2</w:t>
            </w:r>
          </w:p>
        </w:tc>
      </w:tr>
      <w:tr w14:paraId="64EFC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072AE534">
            <w:pPr>
              <w:pStyle w:val="31"/>
              <w:bidi w:val="0"/>
              <w:jc w:val="center"/>
              <w:rPr>
                <w:rFonts w:hint="eastAsia"/>
                <w:lang w:val="en-US" w:eastAsia="zh-CN"/>
              </w:rPr>
            </w:pPr>
            <w:r>
              <w:rPr>
                <w:rFonts w:hint="eastAsia"/>
                <w:lang w:val="en-US" w:eastAsia="zh-CN"/>
              </w:rPr>
              <w:t>2</w:t>
            </w:r>
          </w:p>
        </w:tc>
        <w:tc>
          <w:tcPr>
            <w:tcW w:w="741" w:type="pct"/>
            <w:tcBorders>
              <w:tl2br w:val="nil"/>
              <w:tr2bl w:val="nil"/>
            </w:tcBorders>
            <w:noWrap w:val="0"/>
            <w:vAlign w:val="center"/>
          </w:tcPr>
          <w:p w14:paraId="6598BCD5">
            <w:pPr>
              <w:pStyle w:val="31"/>
              <w:bidi w:val="0"/>
              <w:jc w:val="center"/>
              <w:rPr>
                <w:rFonts w:hint="default"/>
                <w:lang w:val="en-US" w:eastAsia="zh-CN"/>
              </w:rPr>
            </w:pPr>
            <w:r>
              <w:rPr>
                <w:rFonts w:hint="default"/>
              </w:rPr>
              <w:t>焊条</w:t>
            </w:r>
          </w:p>
        </w:tc>
        <w:tc>
          <w:tcPr>
            <w:tcW w:w="446" w:type="pct"/>
            <w:tcBorders>
              <w:tl2br w:val="nil"/>
              <w:tr2bl w:val="nil"/>
            </w:tcBorders>
            <w:noWrap w:val="0"/>
            <w:vAlign w:val="center"/>
          </w:tcPr>
          <w:p w14:paraId="293C539C">
            <w:pPr>
              <w:pStyle w:val="31"/>
              <w:bidi w:val="0"/>
              <w:jc w:val="center"/>
              <w:rPr>
                <w:rFonts w:hint="eastAsia"/>
                <w:lang w:val="en-US" w:eastAsia="zh-CN"/>
              </w:rPr>
            </w:pPr>
            <w:r>
              <w:rPr>
                <w:rFonts w:hint="eastAsia"/>
                <w:lang w:val="en-US" w:eastAsia="zh-CN"/>
              </w:rPr>
              <w:t>t</w:t>
            </w:r>
          </w:p>
        </w:tc>
        <w:tc>
          <w:tcPr>
            <w:tcW w:w="1883" w:type="pct"/>
            <w:tcBorders>
              <w:tl2br w:val="nil"/>
              <w:tr2bl w:val="nil"/>
            </w:tcBorders>
            <w:noWrap w:val="0"/>
            <w:vAlign w:val="center"/>
          </w:tcPr>
          <w:p w14:paraId="6B722210">
            <w:pPr>
              <w:pStyle w:val="31"/>
              <w:bidi w:val="0"/>
              <w:jc w:val="center"/>
              <w:rPr>
                <w:rFonts w:hint="eastAsia" w:eastAsia="宋体"/>
                <w:lang w:val="en-US" w:eastAsia="zh-CN"/>
              </w:rPr>
            </w:pPr>
            <w:r>
              <w:rPr>
                <w:rFonts w:hint="eastAsia"/>
                <w:lang w:val="en-US" w:eastAsia="zh-CN"/>
              </w:rPr>
              <w:t>/</w:t>
            </w:r>
          </w:p>
        </w:tc>
        <w:tc>
          <w:tcPr>
            <w:tcW w:w="593" w:type="pct"/>
            <w:tcBorders>
              <w:tl2br w:val="nil"/>
              <w:tr2bl w:val="nil"/>
            </w:tcBorders>
            <w:noWrap w:val="0"/>
            <w:vAlign w:val="center"/>
          </w:tcPr>
          <w:p w14:paraId="6195033C">
            <w:pPr>
              <w:pStyle w:val="31"/>
              <w:bidi w:val="0"/>
              <w:jc w:val="center"/>
              <w:rPr>
                <w:rFonts w:hint="default"/>
                <w:lang w:val="en-US" w:eastAsia="zh-CN"/>
              </w:rPr>
            </w:pPr>
            <w:r>
              <w:rPr>
                <w:rFonts w:hint="default"/>
              </w:rPr>
              <w:t>2</w:t>
            </w:r>
            <w:r>
              <w:rPr>
                <w:rFonts w:hint="eastAsia"/>
                <w:lang w:eastAsia="zh-CN"/>
              </w:rPr>
              <w:t>.</w:t>
            </w:r>
            <w:r>
              <w:rPr>
                <w:rFonts w:hint="default"/>
              </w:rPr>
              <w:t>9</w:t>
            </w:r>
          </w:p>
        </w:tc>
        <w:tc>
          <w:tcPr>
            <w:tcW w:w="888" w:type="pct"/>
            <w:tcBorders>
              <w:tl2br w:val="nil"/>
              <w:tr2bl w:val="nil"/>
            </w:tcBorders>
            <w:noWrap w:val="0"/>
            <w:vAlign w:val="center"/>
          </w:tcPr>
          <w:p w14:paraId="2074F413">
            <w:pPr>
              <w:pStyle w:val="31"/>
              <w:bidi w:val="0"/>
              <w:jc w:val="center"/>
              <w:rPr>
                <w:rFonts w:hint="default" w:eastAsia="宋体"/>
                <w:lang w:val="en-US" w:eastAsia="zh-CN"/>
              </w:rPr>
            </w:pPr>
            <w:r>
              <w:rPr>
                <w:rFonts w:hint="eastAsia"/>
                <w:lang w:val="en-US" w:eastAsia="zh-CN"/>
              </w:rPr>
              <w:t>0.5</w:t>
            </w:r>
          </w:p>
        </w:tc>
      </w:tr>
      <w:tr w14:paraId="54D81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5C423BF4">
            <w:pPr>
              <w:pStyle w:val="31"/>
              <w:bidi w:val="0"/>
              <w:jc w:val="center"/>
              <w:rPr>
                <w:rFonts w:hint="default"/>
                <w:lang w:val="en-US" w:eastAsia="zh-CN"/>
              </w:rPr>
            </w:pPr>
            <w:r>
              <w:rPr>
                <w:rFonts w:hint="eastAsia"/>
                <w:lang w:val="en-US" w:eastAsia="zh-CN"/>
              </w:rPr>
              <w:t>3</w:t>
            </w:r>
          </w:p>
        </w:tc>
        <w:tc>
          <w:tcPr>
            <w:tcW w:w="741" w:type="pct"/>
            <w:tcBorders>
              <w:tl2br w:val="nil"/>
              <w:tr2bl w:val="nil"/>
            </w:tcBorders>
            <w:noWrap w:val="0"/>
            <w:vAlign w:val="center"/>
          </w:tcPr>
          <w:p w14:paraId="0F2EE104">
            <w:pPr>
              <w:pStyle w:val="31"/>
              <w:bidi w:val="0"/>
              <w:jc w:val="center"/>
              <w:rPr>
                <w:rFonts w:hint="default"/>
                <w:lang w:val="en-US" w:eastAsia="zh-CN"/>
              </w:rPr>
            </w:pPr>
            <w:r>
              <w:rPr>
                <w:rFonts w:hint="default"/>
              </w:rPr>
              <w:t>乙炔气体</w:t>
            </w:r>
          </w:p>
        </w:tc>
        <w:tc>
          <w:tcPr>
            <w:tcW w:w="446" w:type="pct"/>
            <w:tcBorders>
              <w:tl2br w:val="nil"/>
              <w:tr2bl w:val="nil"/>
            </w:tcBorders>
            <w:noWrap w:val="0"/>
            <w:vAlign w:val="center"/>
          </w:tcPr>
          <w:p w14:paraId="6D59EB63">
            <w:pPr>
              <w:pStyle w:val="31"/>
              <w:bidi w:val="0"/>
              <w:jc w:val="center"/>
              <w:rPr>
                <w:rFonts w:hint="default"/>
                <w:lang w:val="en-US" w:eastAsia="zh-CN"/>
              </w:rPr>
            </w:pPr>
            <w:r>
              <w:rPr>
                <w:rFonts w:hint="eastAsia"/>
                <w:lang w:val="en-US" w:eastAsia="zh-CN"/>
              </w:rPr>
              <w:t>瓶</w:t>
            </w:r>
          </w:p>
        </w:tc>
        <w:tc>
          <w:tcPr>
            <w:tcW w:w="1883" w:type="pct"/>
            <w:tcBorders>
              <w:tl2br w:val="nil"/>
              <w:tr2bl w:val="nil"/>
            </w:tcBorders>
            <w:noWrap w:val="0"/>
            <w:vAlign w:val="center"/>
          </w:tcPr>
          <w:p w14:paraId="0C45FED3">
            <w:pPr>
              <w:pStyle w:val="31"/>
              <w:bidi w:val="0"/>
              <w:jc w:val="center"/>
              <w:rPr>
                <w:rFonts w:hint="eastAsia"/>
                <w:vertAlign w:val="baseline"/>
                <w:lang w:val="en-US" w:eastAsia="zh-CN"/>
              </w:rPr>
            </w:pPr>
            <w:r>
              <w:rPr>
                <w:rFonts w:hint="eastAsia"/>
                <w:lang w:val="en-US" w:eastAsia="zh-CN"/>
              </w:rPr>
              <w:t>6Nm</w:t>
            </w:r>
            <w:r>
              <w:rPr>
                <w:rFonts w:hint="eastAsia"/>
                <w:vertAlign w:val="superscript"/>
                <w:lang w:val="en-US" w:eastAsia="zh-CN"/>
              </w:rPr>
              <w:t>3</w:t>
            </w:r>
            <w:r>
              <w:rPr>
                <w:rFonts w:hint="eastAsia"/>
                <w:vertAlign w:val="baseline"/>
                <w:lang w:val="en-US" w:eastAsia="zh-CN"/>
              </w:rPr>
              <w:t>/瓶，实际容积40L/瓶</w:t>
            </w:r>
          </w:p>
          <w:p w14:paraId="32F14DEE">
            <w:pPr>
              <w:pStyle w:val="31"/>
              <w:bidi w:val="0"/>
              <w:jc w:val="center"/>
              <w:rPr>
                <w:rFonts w:hint="default" w:eastAsia="宋体"/>
                <w:vertAlign w:val="baseline"/>
                <w:lang w:val="en-US" w:eastAsia="zh-CN"/>
              </w:rPr>
            </w:pPr>
            <w:r>
              <w:rPr>
                <w:rFonts w:hint="eastAsia"/>
                <w:vertAlign w:val="baseline"/>
                <w:lang w:val="en-US" w:eastAsia="zh-CN"/>
              </w:rPr>
              <w:t>，压力1.2~1.5Mpa</w:t>
            </w:r>
          </w:p>
        </w:tc>
        <w:tc>
          <w:tcPr>
            <w:tcW w:w="593" w:type="pct"/>
            <w:tcBorders>
              <w:tl2br w:val="nil"/>
              <w:tr2bl w:val="nil"/>
            </w:tcBorders>
            <w:noWrap w:val="0"/>
            <w:vAlign w:val="center"/>
          </w:tcPr>
          <w:p w14:paraId="56CBC055">
            <w:pPr>
              <w:pStyle w:val="31"/>
              <w:bidi w:val="0"/>
              <w:jc w:val="center"/>
              <w:rPr>
                <w:rFonts w:hint="default"/>
                <w:lang w:val="en-US" w:eastAsia="zh-CN"/>
              </w:rPr>
            </w:pPr>
            <w:r>
              <w:rPr>
                <w:rFonts w:hint="default"/>
              </w:rPr>
              <w:t>30</w:t>
            </w:r>
            <w:r>
              <w:rPr>
                <w:rFonts w:hint="eastAsia"/>
                <w:lang w:val="en-US" w:eastAsia="zh-CN"/>
              </w:rPr>
              <w:t>0</w:t>
            </w:r>
          </w:p>
        </w:tc>
        <w:tc>
          <w:tcPr>
            <w:tcW w:w="888" w:type="pct"/>
            <w:tcBorders>
              <w:tl2br w:val="nil"/>
              <w:tr2bl w:val="nil"/>
            </w:tcBorders>
            <w:noWrap w:val="0"/>
            <w:vAlign w:val="center"/>
          </w:tcPr>
          <w:p w14:paraId="44C57AC7">
            <w:pPr>
              <w:pStyle w:val="31"/>
              <w:bidi w:val="0"/>
              <w:jc w:val="center"/>
              <w:rPr>
                <w:rFonts w:hint="eastAsia" w:eastAsia="宋体"/>
                <w:lang w:val="en-US" w:eastAsia="zh-CN"/>
              </w:rPr>
            </w:pPr>
            <w:r>
              <w:rPr>
                <w:rFonts w:hint="eastAsia"/>
                <w:lang w:val="en-US" w:eastAsia="zh-CN"/>
              </w:rPr>
              <w:t>5</w:t>
            </w:r>
          </w:p>
        </w:tc>
      </w:tr>
      <w:tr w14:paraId="7A4B3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0BB24405">
            <w:pPr>
              <w:pStyle w:val="31"/>
              <w:bidi w:val="0"/>
              <w:jc w:val="center"/>
              <w:rPr>
                <w:rFonts w:hint="default"/>
                <w:lang w:val="en-US" w:eastAsia="zh-CN"/>
              </w:rPr>
            </w:pPr>
            <w:r>
              <w:rPr>
                <w:rFonts w:hint="eastAsia"/>
                <w:lang w:val="en-US" w:eastAsia="zh-CN"/>
              </w:rPr>
              <w:t>4</w:t>
            </w:r>
          </w:p>
        </w:tc>
        <w:tc>
          <w:tcPr>
            <w:tcW w:w="741" w:type="pct"/>
            <w:tcBorders>
              <w:tl2br w:val="nil"/>
              <w:tr2bl w:val="nil"/>
            </w:tcBorders>
            <w:noWrap w:val="0"/>
            <w:vAlign w:val="center"/>
          </w:tcPr>
          <w:p w14:paraId="3DFA4BD4">
            <w:pPr>
              <w:pStyle w:val="31"/>
              <w:bidi w:val="0"/>
              <w:jc w:val="center"/>
              <w:rPr>
                <w:rFonts w:hint="default"/>
                <w:lang w:val="en-US" w:eastAsia="zh-CN"/>
              </w:rPr>
            </w:pPr>
            <w:r>
              <w:rPr>
                <w:rFonts w:hint="default"/>
              </w:rPr>
              <w:t>氧气气体</w:t>
            </w:r>
          </w:p>
        </w:tc>
        <w:tc>
          <w:tcPr>
            <w:tcW w:w="446" w:type="pct"/>
            <w:tcBorders>
              <w:tl2br w:val="nil"/>
              <w:tr2bl w:val="nil"/>
            </w:tcBorders>
            <w:noWrap w:val="0"/>
            <w:vAlign w:val="center"/>
          </w:tcPr>
          <w:p w14:paraId="5E3D6A85">
            <w:pPr>
              <w:pStyle w:val="31"/>
              <w:bidi w:val="0"/>
              <w:jc w:val="center"/>
              <w:rPr>
                <w:rFonts w:hint="eastAsia"/>
                <w:lang w:val="en-US" w:eastAsia="zh-CN"/>
              </w:rPr>
            </w:pPr>
            <w:r>
              <w:rPr>
                <w:rFonts w:hint="eastAsia"/>
                <w:lang w:val="en-US" w:eastAsia="zh-CN"/>
              </w:rPr>
              <w:t>瓶</w:t>
            </w:r>
          </w:p>
        </w:tc>
        <w:tc>
          <w:tcPr>
            <w:tcW w:w="1883" w:type="pct"/>
            <w:tcBorders>
              <w:tl2br w:val="nil"/>
              <w:tr2bl w:val="nil"/>
            </w:tcBorders>
            <w:noWrap w:val="0"/>
            <w:vAlign w:val="center"/>
          </w:tcPr>
          <w:p w14:paraId="4CFF4ECD">
            <w:pPr>
              <w:pStyle w:val="31"/>
              <w:bidi w:val="0"/>
              <w:jc w:val="center"/>
              <w:rPr>
                <w:rFonts w:hint="eastAsia"/>
                <w:vertAlign w:val="baseline"/>
                <w:lang w:val="en-US" w:eastAsia="zh-CN"/>
              </w:rPr>
            </w:pPr>
            <w:r>
              <w:rPr>
                <w:rFonts w:hint="eastAsia"/>
                <w:lang w:val="en-US" w:eastAsia="zh-CN"/>
              </w:rPr>
              <w:t>6Nm</w:t>
            </w:r>
            <w:r>
              <w:rPr>
                <w:rFonts w:hint="eastAsia"/>
                <w:vertAlign w:val="superscript"/>
                <w:lang w:val="en-US" w:eastAsia="zh-CN"/>
              </w:rPr>
              <w:t>3</w:t>
            </w:r>
            <w:r>
              <w:rPr>
                <w:rFonts w:hint="eastAsia"/>
                <w:vertAlign w:val="baseline"/>
                <w:lang w:val="en-US" w:eastAsia="zh-CN"/>
              </w:rPr>
              <w:t>/瓶，实际容积40L/瓶</w:t>
            </w:r>
          </w:p>
          <w:p w14:paraId="16F39D3A">
            <w:pPr>
              <w:pStyle w:val="31"/>
              <w:bidi w:val="0"/>
              <w:jc w:val="center"/>
              <w:rPr>
                <w:rFonts w:hint="default"/>
              </w:rPr>
            </w:pPr>
            <w:r>
              <w:rPr>
                <w:rFonts w:hint="eastAsia"/>
                <w:vertAlign w:val="baseline"/>
                <w:lang w:val="en-US" w:eastAsia="zh-CN"/>
              </w:rPr>
              <w:t>，压力1.2~1.5Mpa</w:t>
            </w:r>
          </w:p>
        </w:tc>
        <w:tc>
          <w:tcPr>
            <w:tcW w:w="593" w:type="pct"/>
            <w:tcBorders>
              <w:tl2br w:val="nil"/>
              <w:tr2bl w:val="nil"/>
            </w:tcBorders>
            <w:noWrap w:val="0"/>
            <w:vAlign w:val="center"/>
          </w:tcPr>
          <w:p w14:paraId="3EB8A1C7">
            <w:pPr>
              <w:pStyle w:val="31"/>
              <w:bidi w:val="0"/>
              <w:jc w:val="center"/>
              <w:rPr>
                <w:rFonts w:hint="default"/>
                <w:lang w:val="en-US" w:eastAsia="zh-CN"/>
              </w:rPr>
            </w:pPr>
            <w:r>
              <w:rPr>
                <w:rFonts w:hint="default"/>
              </w:rPr>
              <w:t>60</w:t>
            </w:r>
            <w:r>
              <w:rPr>
                <w:rFonts w:hint="eastAsia"/>
                <w:lang w:val="en-US" w:eastAsia="zh-CN"/>
              </w:rPr>
              <w:t>0</w:t>
            </w:r>
          </w:p>
        </w:tc>
        <w:tc>
          <w:tcPr>
            <w:tcW w:w="888" w:type="pct"/>
            <w:tcBorders>
              <w:tl2br w:val="nil"/>
              <w:tr2bl w:val="nil"/>
            </w:tcBorders>
            <w:noWrap w:val="0"/>
            <w:vAlign w:val="center"/>
          </w:tcPr>
          <w:p w14:paraId="1EC77E29">
            <w:pPr>
              <w:pStyle w:val="31"/>
              <w:bidi w:val="0"/>
              <w:jc w:val="center"/>
              <w:rPr>
                <w:rFonts w:hint="default" w:eastAsia="宋体"/>
                <w:lang w:val="en-US" w:eastAsia="zh-CN"/>
              </w:rPr>
            </w:pPr>
            <w:r>
              <w:rPr>
                <w:rFonts w:hint="eastAsia"/>
                <w:lang w:val="en-US" w:eastAsia="zh-CN"/>
              </w:rPr>
              <w:t>10</w:t>
            </w:r>
          </w:p>
        </w:tc>
      </w:tr>
      <w:tr w14:paraId="3A3D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7B0CC26A">
            <w:pPr>
              <w:pStyle w:val="31"/>
              <w:bidi w:val="0"/>
              <w:jc w:val="center"/>
              <w:rPr>
                <w:rFonts w:hint="default"/>
                <w:lang w:val="en-US" w:eastAsia="zh-CN"/>
              </w:rPr>
            </w:pPr>
            <w:r>
              <w:rPr>
                <w:rFonts w:hint="eastAsia"/>
                <w:lang w:val="en-US" w:eastAsia="zh-CN"/>
              </w:rPr>
              <w:t>5</w:t>
            </w:r>
          </w:p>
        </w:tc>
        <w:tc>
          <w:tcPr>
            <w:tcW w:w="741" w:type="pct"/>
            <w:tcBorders>
              <w:tl2br w:val="nil"/>
              <w:tr2bl w:val="nil"/>
            </w:tcBorders>
            <w:noWrap w:val="0"/>
            <w:vAlign w:val="center"/>
          </w:tcPr>
          <w:p w14:paraId="31974B8C">
            <w:pPr>
              <w:pStyle w:val="31"/>
              <w:bidi w:val="0"/>
              <w:jc w:val="center"/>
              <w:rPr>
                <w:rFonts w:hint="default"/>
                <w:lang w:val="en-US" w:eastAsia="zh-CN"/>
              </w:rPr>
            </w:pPr>
            <w:r>
              <w:rPr>
                <w:rFonts w:hint="default"/>
              </w:rPr>
              <w:t>沥青漆</w:t>
            </w:r>
          </w:p>
        </w:tc>
        <w:tc>
          <w:tcPr>
            <w:tcW w:w="446" w:type="pct"/>
            <w:tcBorders>
              <w:tl2br w:val="nil"/>
              <w:tr2bl w:val="nil"/>
            </w:tcBorders>
            <w:noWrap w:val="0"/>
            <w:vAlign w:val="center"/>
          </w:tcPr>
          <w:p w14:paraId="127091F1">
            <w:pPr>
              <w:pStyle w:val="31"/>
              <w:bidi w:val="0"/>
              <w:jc w:val="center"/>
              <w:rPr>
                <w:rFonts w:hint="eastAsia"/>
                <w:lang w:val="en-US" w:eastAsia="zh-CN"/>
              </w:rPr>
            </w:pPr>
            <w:r>
              <w:rPr>
                <w:rFonts w:hint="eastAsia"/>
                <w:lang w:val="en-US" w:eastAsia="zh-CN"/>
              </w:rPr>
              <w:t>t</w:t>
            </w:r>
          </w:p>
        </w:tc>
        <w:tc>
          <w:tcPr>
            <w:tcW w:w="1883" w:type="pct"/>
            <w:tcBorders>
              <w:tl2br w:val="nil"/>
              <w:tr2bl w:val="nil"/>
            </w:tcBorders>
            <w:noWrap w:val="0"/>
            <w:vAlign w:val="center"/>
          </w:tcPr>
          <w:p w14:paraId="20A72160">
            <w:pPr>
              <w:pStyle w:val="31"/>
              <w:bidi w:val="0"/>
              <w:jc w:val="center"/>
              <w:rPr>
                <w:rFonts w:hint="default" w:eastAsia="宋体"/>
                <w:lang w:val="en-US" w:eastAsia="zh-CN"/>
              </w:rPr>
            </w:pPr>
            <w:r>
              <w:rPr>
                <w:rFonts w:hint="eastAsia"/>
                <w:lang w:val="en-US" w:eastAsia="zh-CN"/>
              </w:rPr>
              <w:t>25kg/桶</w:t>
            </w:r>
          </w:p>
        </w:tc>
        <w:tc>
          <w:tcPr>
            <w:tcW w:w="593" w:type="pct"/>
            <w:tcBorders>
              <w:tl2br w:val="nil"/>
              <w:tr2bl w:val="nil"/>
            </w:tcBorders>
            <w:noWrap w:val="0"/>
            <w:vAlign w:val="center"/>
          </w:tcPr>
          <w:p w14:paraId="298E241C">
            <w:pPr>
              <w:pStyle w:val="31"/>
              <w:bidi w:val="0"/>
              <w:jc w:val="center"/>
              <w:rPr>
                <w:rFonts w:hint="default"/>
                <w:lang w:val="en-US" w:eastAsia="zh-CN"/>
              </w:rPr>
            </w:pPr>
            <w:r>
              <w:rPr>
                <w:rFonts w:hint="default"/>
              </w:rPr>
              <w:t>2</w:t>
            </w:r>
          </w:p>
        </w:tc>
        <w:tc>
          <w:tcPr>
            <w:tcW w:w="888" w:type="pct"/>
            <w:tcBorders>
              <w:tl2br w:val="nil"/>
              <w:tr2bl w:val="nil"/>
            </w:tcBorders>
            <w:noWrap w:val="0"/>
            <w:vAlign w:val="center"/>
          </w:tcPr>
          <w:p w14:paraId="7A50E9AF">
            <w:pPr>
              <w:pStyle w:val="31"/>
              <w:bidi w:val="0"/>
              <w:jc w:val="center"/>
              <w:rPr>
                <w:rFonts w:hint="default" w:eastAsia="宋体"/>
                <w:lang w:val="en-US" w:eastAsia="zh-CN"/>
              </w:rPr>
            </w:pPr>
            <w:r>
              <w:rPr>
                <w:rFonts w:hint="eastAsia"/>
                <w:lang w:val="en-US" w:eastAsia="zh-CN"/>
              </w:rPr>
              <w:t>0.1</w:t>
            </w:r>
          </w:p>
        </w:tc>
      </w:tr>
      <w:tr w14:paraId="63A51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6BBB5405">
            <w:pPr>
              <w:pStyle w:val="31"/>
              <w:bidi w:val="0"/>
              <w:jc w:val="center"/>
              <w:rPr>
                <w:rFonts w:hint="default"/>
                <w:lang w:val="en-US" w:eastAsia="zh-CN"/>
              </w:rPr>
            </w:pPr>
            <w:r>
              <w:rPr>
                <w:rFonts w:hint="eastAsia"/>
                <w:lang w:val="en-US" w:eastAsia="zh-CN"/>
              </w:rPr>
              <w:t>6</w:t>
            </w:r>
          </w:p>
        </w:tc>
        <w:tc>
          <w:tcPr>
            <w:tcW w:w="741" w:type="pct"/>
            <w:tcBorders>
              <w:tl2br w:val="nil"/>
              <w:tr2bl w:val="nil"/>
            </w:tcBorders>
            <w:noWrap w:val="0"/>
            <w:vAlign w:val="center"/>
          </w:tcPr>
          <w:p w14:paraId="19688A5D">
            <w:pPr>
              <w:pStyle w:val="31"/>
              <w:bidi w:val="0"/>
              <w:jc w:val="center"/>
              <w:rPr>
                <w:rFonts w:hint="default"/>
                <w:lang w:val="en-US" w:eastAsia="zh-CN"/>
              </w:rPr>
            </w:pPr>
            <w:r>
              <w:rPr>
                <w:rFonts w:hint="eastAsia"/>
                <w:lang w:val="en-US" w:eastAsia="zh-CN"/>
              </w:rPr>
              <w:t>调和漆</w:t>
            </w:r>
          </w:p>
        </w:tc>
        <w:tc>
          <w:tcPr>
            <w:tcW w:w="446" w:type="pct"/>
            <w:tcBorders>
              <w:tl2br w:val="nil"/>
              <w:tr2bl w:val="nil"/>
            </w:tcBorders>
            <w:noWrap w:val="0"/>
            <w:vAlign w:val="center"/>
          </w:tcPr>
          <w:p w14:paraId="7FB56D89">
            <w:pPr>
              <w:pStyle w:val="31"/>
              <w:bidi w:val="0"/>
              <w:jc w:val="center"/>
              <w:rPr>
                <w:rFonts w:hint="default"/>
                <w:lang w:val="en-US" w:eastAsia="zh-CN"/>
              </w:rPr>
            </w:pPr>
            <w:r>
              <w:rPr>
                <w:rFonts w:hint="eastAsia"/>
                <w:lang w:val="en-US" w:eastAsia="zh-CN"/>
              </w:rPr>
              <w:t>t</w:t>
            </w:r>
          </w:p>
        </w:tc>
        <w:tc>
          <w:tcPr>
            <w:tcW w:w="1883" w:type="pct"/>
            <w:tcBorders>
              <w:tl2br w:val="nil"/>
              <w:tr2bl w:val="nil"/>
            </w:tcBorders>
            <w:noWrap w:val="0"/>
            <w:vAlign w:val="center"/>
          </w:tcPr>
          <w:p w14:paraId="7ED4945B">
            <w:pPr>
              <w:pStyle w:val="31"/>
              <w:bidi w:val="0"/>
              <w:jc w:val="center"/>
              <w:rPr>
                <w:rFonts w:hint="eastAsia"/>
                <w:lang w:val="en-US" w:eastAsia="zh-CN"/>
              </w:rPr>
            </w:pPr>
            <w:r>
              <w:rPr>
                <w:rFonts w:hint="eastAsia"/>
                <w:lang w:val="en-US" w:eastAsia="zh-CN"/>
              </w:rPr>
              <w:t>25kg/桶</w:t>
            </w:r>
          </w:p>
        </w:tc>
        <w:tc>
          <w:tcPr>
            <w:tcW w:w="593" w:type="pct"/>
            <w:tcBorders>
              <w:tl2br w:val="nil"/>
              <w:tr2bl w:val="nil"/>
            </w:tcBorders>
            <w:noWrap w:val="0"/>
            <w:vAlign w:val="center"/>
          </w:tcPr>
          <w:p w14:paraId="37AA5B16">
            <w:pPr>
              <w:pStyle w:val="31"/>
              <w:bidi w:val="0"/>
              <w:jc w:val="center"/>
              <w:rPr>
                <w:rFonts w:hint="default"/>
                <w:lang w:val="en-US" w:eastAsia="zh-CN"/>
              </w:rPr>
            </w:pPr>
            <w:r>
              <w:rPr>
                <w:rFonts w:hint="eastAsia"/>
                <w:lang w:val="en-US" w:eastAsia="zh-CN"/>
              </w:rPr>
              <w:t>1</w:t>
            </w:r>
          </w:p>
        </w:tc>
        <w:tc>
          <w:tcPr>
            <w:tcW w:w="888" w:type="pct"/>
            <w:tcBorders>
              <w:tl2br w:val="nil"/>
              <w:tr2bl w:val="nil"/>
            </w:tcBorders>
            <w:noWrap w:val="0"/>
            <w:vAlign w:val="center"/>
          </w:tcPr>
          <w:p w14:paraId="62766386">
            <w:pPr>
              <w:pStyle w:val="31"/>
              <w:bidi w:val="0"/>
              <w:jc w:val="center"/>
              <w:rPr>
                <w:rFonts w:hint="default"/>
                <w:lang w:val="en-US" w:eastAsia="zh-CN"/>
              </w:rPr>
            </w:pPr>
            <w:r>
              <w:rPr>
                <w:rFonts w:hint="eastAsia"/>
                <w:lang w:val="en-US" w:eastAsia="zh-CN"/>
              </w:rPr>
              <w:t>0.1</w:t>
            </w:r>
          </w:p>
        </w:tc>
      </w:tr>
      <w:tr w14:paraId="44C6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1DF9A695">
            <w:pPr>
              <w:pStyle w:val="31"/>
              <w:bidi w:val="0"/>
              <w:jc w:val="center"/>
              <w:rPr>
                <w:rFonts w:hint="default"/>
                <w:lang w:val="en-US" w:eastAsia="zh-CN"/>
              </w:rPr>
            </w:pPr>
            <w:r>
              <w:rPr>
                <w:rFonts w:hint="eastAsia"/>
                <w:lang w:val="en-US" w:eastAsia="zh-CN"/>
              </w:rPr>
              <w:t>7</w:t>
            </w:r>
          </w:p>
        </w:tc>
        <w:tc>
          <w:tcPr>
            <w:tcW w:w="741" w:type="pct"/>
            <w:tcBorders>
              <w:tl2br w:val="nil"/>
              <w:tr2bl w:val="nil"/>
            </w:tcBorders>
            <w:noWrap w:val="0"/>
            <w:vAlign w:val="center"/>
          </w:tcPr>
          <w:p w14:paraId="47A7B5C4">
            <w:pPr>
              <w:pStyle w:val="31"/>
              <w:bidi w:val="0"/>
              <w:jc w:val="center"/>
              <w:rPr>
                <w:rFonts w:hint="default"/>
                <w:lang w:val="en-US" w:eastAsia="zh-CN"/>
              </w:rPr>
            </w:pPr>
            <w:r>
              <w:rPr>
                <w:rFonts w:hint="eastAsia"/>
                <w:lang w:val="en-US" w:eastAsia="zh-CN"/>
              </w:rPr>
              <w:t>河沙</w:t>
            </w:r>
          </w:p>
        </w:tc>
        <w:tc>
          <w:tcPr>
            <w:tcW w:w="446" w:type="pct"/>
            <w:tcBorders>
              <w:tl2br w:val="nil"/>
              <w:tr2bl w:val="nil"/>
            </w:tcBorders>
            <w:noWrap w:val="0"/>
            <w:vAlign w:val="center"/>
          </w:tcPr>
          <w:p w14:paraId="3617CEA3">
            <w:pPr>
              <w:pStyle w:val="31"/>
              <w:bidi w:val="0"/>
              <w:jc w:val="center"/>
              <w:rPr>
                <w:rFonts w:hint="default"/>
                <w:lang w:val="en-US" w:eastAsia="zh-CN"/>
              </w:rPr>
            </w:pPr>
            <w:r>
              <w:rPr>
                <w:rFonts w:hint="eastAsia"/>
                <w:lang w:val="en-US" w:eastAsia="zh-CN"/>
              </w:rPr>
              <w:t>t</w:t>
            </w:r>
          </w:p>
        </w:tc>
        <w:tc>
          <w:tcPr>
            <w:tcW w:w="1883" w:type="pct"/>
            <w:tcBorders>
              <w:tl2br w:val="nil"/>
              <w:tr2bl w:val="nil"/>
            </w:tcBorders>
            <w:noWrap w:val="0"/>
            <w:vAlign w:val="center"/>
          </w:tcPr>
          <w:p w14:paraId="3A226CB6">
            <w:pPr>
              <w:pStyle w:val="31"/>
              <w:bidi w:val="0"/>
              <w:jc w:val="center"/>
              <w:rPr>
                <w:rFonts w:hint="default"/>
                <w:lang w:val="en-US" w:eastAsia="zh-CN"/>
              </w:rPr>
            </w:pPr>
            <w:r>
              <w:rPr>
                <w:rFonts w:hint="eastAsia"/>
                <w:lang w:val="en-US" w:eastAsia="zh-CN"/>
              </w:rPr>
              <w:t>/</w:t>
            </w:r>
          </w:p>
        </w:tc>
        <w:tc>
          <w:tcPr>
            <w:tcW w:w="593" w:type="pct"/>
            <w:tcBorders>
              <w:tl2br w:val="nil"/>
              <w:tr2bl w:val="nil"/>
            </w:tcBorders>
            <w:noWrap w:val="0"/>
            <w:vAlign w:val="center"/>
          </w:tcPr>
          <w:p w14:paraId="27E7FB5A">
            <w:pPr>
              <w:pStyle w:val="31"/>
              <w:bidi w:val="0"/>
              <w:jc w:val="center"/>
              <w:rPr>
                <w:rFonts w:hint="default"/>
                <w:lang w:val="en-US" w:eastAsia="zh-CN"/>
              </w:rPr>
            </w:pPr>
            <w:r>
              <w:rPr>
                <w:rFonts w:hint="eastAsia"/>
                <w:lang w:val="en-US" w:eastAsia="zh-CN"/>
              </w:rPr>
              <w:t>5</w:t>
            </w:r>
          </w:p>
        </w:tc>
        <w:tc>
          <w:tcPr>
            <w:tcW w:w="888" w:type="pct"/>
            <w:tcBorders>
              <w:tl2br w:val="nil"/>
              <w:tr2bl w:val="nil"/>
            </w:tcBorders>
            <w:noWrap w:val="0"/>
            <w:vAlign w:val="center"/>
          </w:tcPr>
          <w:p w14:paraId="27EB25A6">
            <w:pPr>
              <w:pStyle w:val="31"/>
              <w:bidi w:val="0"/>
              <w:jc w:val="center"/>
              <w:rPr>
                <w:rFonts w:hint="default"/>
                <w:lang w:val="en-US" w:eastAsia="zh-CN"/>
              </w:rPr>
            </w:pPr>
            <w:r>
              <w:rPr>
                <w:rFonts w:hint="eastAsia"/>
                <w:lang w:val="en-US" w:eastAsia="zh-CN"/>
              </w:rPr>
              <w:t>0.1</w:t>
            </w:r>
          </w:p>
        </w:tc>
      </w:tr>
      <w:tr w14:paraId="1F0C2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4C9C5504">
            <w:pPr>
              <w:pStyle w:val="31"/>
              <w:bidi w:val="0"/>
              <w:jc w:val="center"/>
              <w:rPr>
                <w:rFonts w:hint="default"/>
                <w:lang w:val="en-US" w:eastAsia="zh-CN"/>
              </w:rPr>
            </w:pPr>
            <w:r>
              <w:rPr>
                <w:rFonts w:hint="eastAsia"/>
                <w:lang w:val="en-US" w:eastAsia="zh-CN"/>
              </w:rPr>
              <w:t>8</w:t>
            </w:r>
          </w:p>
        </w:tc>
        <w:tc>
          <w:tcPr>
            <w:tcW w:w="741" w:type="pct"/>
            <w:tcBorders>
              <w:tl2br w:val="nil"/>
              <w:tr2bl w:val="nil"/>
            </w:tcBorders>
            <w:noWrap w:val="0"/>
            <w:vAlign w:val="center"/>
          </w:tcPr>
          <w:p w14:paraId="5C7C68AE">
            <w:pPr>
              <w:pStyle w:val="31"/>
              <w:bidi w:val="0"/>
              <w:jc w:val="center"/>
              <w:rPr>
                <w:rFonts w:hint="default"/>
                <w:lang w:val="en-US" w:eastAsia="zh-CN"/>
              </w:rPr>
            </w:pPr>
            <w:r>
              <w:rPr>
                <w:rFonts w:hint="eastAsia"/>
                <w:lang w:val="en-US" w:eastAsia="zh-CN"/>
              </w:rPr>
              <w:t>电</w:t>
            </w:r>
          </w:p>
        </w:tc>
        <w:tc>
          <w:tcPr>
            <w:tcW w:w="446" w:type="pct"/>
            <w:tcBorders>
              <w:tl2br w:val="nil"/>
              <w:tr2bl w:val="nil"/>
            </w:tcBorders>
            <w:noWrap w:val="0"/>
            <w:vAlign w:val="center"/>
          </w:tcPr>
          <w:p w14:paraId="5C87F51D">
            <w:pPr>
              <w:pStyle w:val="31"/>
              <w:bidi w:val="0"/>
              <w:jc w:val="center"/>
              <w:rPr>
                <w:rFonts w:hint="default"/>
                <w:lang w:val="en-US" w:eastAsia="zh-CN"/>
              </w:rPr>
            </w:pPr>
            <w:r>
              <w:rPr>
                <w:rFonts w:hint="eastAsia"/>
                <w:lang w:val="en-US" w:eastAsia="zh-CN"/>
              </w:rPr>
              <w:t>kwh</w:t>
            </w:r>
          </w:p>
        </w:tc>
        <w:tc>
          <w:tcPr>
            <w:tcW w:w="1883" w:type="pct"/>
            <w:tcBorders>
              <w:tl2br w:val="nil"/>
              <w:tr2bl w:val="nil"/>
            </w:tcBorders>
            <w:noWrap w:val="0"/>
            <w:vAlign w:val="center"/>
          </w:tcPr>
          <w:p w14:paraId="6B963A35">
            <w:pPr>
              <w:pStyle w:val="31"/>
              <w:bidi w:val="0"/>
              <w:jc w:val="center"/>
              <w:rPr>
                <w:rFonts w:hint="default"/>
                <w:lang w:val="en-US" w:eastAsia="zh-CN"/>
              </w:rPr>
            </w:pPr>
            <w:r>
              <w:rPr>
                <w:rFonts w:hint="eastAsia"/>
                <w:lang w:val="en-US" w:eastAsia="zh-CN"/>
              </w:rPr>
              <w:t>/</w:t>
            </w:r>
          </w:p>
        </w:tc>
        <w:tc>
          <w:tcPr>
            <w:tcW w:w="593" w:type="pct"/>
            <w:tcBorders>
              <w:tl2br w:val="nil"/>
              <w:tr2bl w:val="nil"/>
            </w:tcBorders>
            <w:noWrap w:val="0"/>
            <w:vAlign w:val="center"/>
          </w:tcPr>
          <w:p w14:paraId="45644269">
            <w:pPr>
              <w:pStyle w:val="31"/>
              <w:bidi w:val="0"/>
              <w:jc w:val="center"/>
              <w:rPr>
                <w:rFonts w:hint="default"/>
                <w:lang w:val="en-US" w:eastAsia="zh-CN"/>
              </w:rPr>
            </w:pPr>
            <w:r>
              <w:rPr>
                <w:rFonts w:hint="eastAsia"/>
                <w:lang w:val="en-US" w:eastAsia="zh-CN"/>
              </w:rPr>
              <w:t>10000</w:t>
            </w:r>
          </w:p>
        </w:tc>
        <w:tc>
          <w:tcPr>
            <w:tcW w:w="888" w:type="pct"/>
            <w:tcBorders>
              <w:tl2br w:val="nil"/>
              <w:tr2bl w:val="nil"/>
            </w:tcBorders>
            <w:noWrap w:val="0"/>
            <w:vAlign w:val="center"/>
          </w:tcPr>
          <w:p w14:paraId="6F902DC4">
            <w:pPr>
              <w:pStyle w:val="31"/>
              <w:bidi w:val="0"/>
              <w:jc w:val="center"/>
              <w:rPr>
                <w:rFonts w:hint="default"/>
                <w:lang w:val="en-US" w:eastAsia="zh-CN"/>
              </w:rPr>
            </w:pPr>
            <w:r>
              <w:rPr>
                <w:rFonts w:hint="eastAsia"/>
                <w:lang w:val="en-US" w:eastAsia="zh-CN"/>
              </w:rPr>
              <w:t>/</w:t>
            </w:r>
          </w:p>
        </w:tc>
      </w:tr>
      <w:tr w14:paraId="50A9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46" w:type="pct"/>
            <w:tcBorders>
              <w:tl2br w:val="nil"/>
              <w:tr2bl w:val="nil"/>
            </w:tcBorders>
            <w:noWrap w:val="0"/>
            <w:vAlign w:val="center"/>
          </w:tcPr>
          <w:p w14:paraId="50BFFC3E">
            <w:pPr>
              <w:pStyle w:val="31"/>
              <w:bidi w:val="0"/>
              <w:jc w:val="center"/>
              <w:rPr>
                <w:rFonts w:hint="default"/>
                <w:lang w:val="en-US" w:eastAsia="zh-CN"/>
              </w:rPr>
            </w:pPr>
            <w:r>
              <w:rPr>
                <w:rFonts w:hint="eastAsia"/>
                <w:lang w:val="en-US" w:eastAsia="zh-CN"/>
              </w:rPr>
              <w:t>9</w:t>
            </w:r>
          </w:p>
        </w:tc>
        <w:tc>
          <w:tcPr>
            <w:tcW w:w="741" w:type="pct"/>
            <w:tcBorders>
              <w:tl2br w:val="nil"/>
              <w:tr2bl w:val="nil"/>
            </w:tcBorders>
            <w:noWrap w:val="0"/>
            <w:vAlign w:val="center"/>
          </w:tcPr>
          <w:p w14:paraId="754F88A9">
            <w:pPr>
              <w:pStyle w:val="31"/>
              <w:bidi w:val="0"/>
              <w:jc w:val="center"/>
              <w:rPr>
                <w:rFonts w:hint="default"/>
                <w:lang w:val="en-US" w:eastAsia="zh-CN"/>
              </w:rPr>
            </w:pPr>
            <w:r>
              <w:rPr>
                <w:rFonts w:hint="eastAsia"/>
                <w:lang w:val="en-US" w:eastAsia="zh-CN"/>
              </w:rPr>
              <w:t>水</w:t>
            </w:r>
          </w:p>
        </w:tc>
        <w:tc>
          <w:tcPr>
            <w:tcW w:w="446" w:type="pct"/>
            <w:tcBorders>
              <w:tl2br w:val="nil"/>
              <w:tr2bl w:val="nil"/>
            </w:tcBorders>
            <w:noWrap w:val="0"/>
            <w:vAlign w:val="center"/>
          </w:tcPr>
          <w:p w14:paraId="16632DDE">
            <w:pPr>
              <w:pStyle w:val="31"/>
              <w:bidi w:val="0"/>
              <w:jc w:val="center"/>
              <w:rPr>
                <w:rFonts w:hint="default"/>
                <w:lang w:val="en-US" w:eastAsia="zh-CN"/>
              </w:rPr>
            </w:pPr>
            <w:r>
              <w:rPr>
                <w:rFonts w:hint="eastAsia"/>
                <w:lang w:val="en-US" w:eastAsia="zh-CN"/>
              </w:rPr>
              <w:t>m3</w:t>
            </w:r>
          </w:p>
        </w:tc>
        <w:tc>
          <w:tcPr>
            <w:tcW w:w="1883" w:type="pct"/>
            <w:tcBorders>
              <w:tl2br w:val="nil"/>
              <w:tr2bl w:val="nil"/>
            </w:tcBorders>
            <w:noWrap w:val="0"/>
            <w:vAlign w:val="center"/>
          </w:tcPr>
          <w:p w14:paraId="40E63583">
            <w:pPr>
              <w:pStyle w:val="31"/>
              <w:bidi w:val="0"/>
              <w:jc w:val="center"/>
              <w:rPr>
                <w:rFonts w:hint="default"/>
                <w:lang w:val="en-US" w:eastAsia="zh-CN"/>
              </w:rPr>
            </w:pPr>
            <w:r>
              <w:rPr>
                <w:rFonts w:hint="eastAsia"/>
                <w:lang w:val="en-US" w:eastAsia="zh-CN"/>
              </w:rPr>
              <w:t>/</w:t>
            </w:r>
          </w:p>
        </w:tc>
        <w:tc>
          <w:tcPr>
            <w:tcW w:w="593" w:type="pct"/>
            <w:tcBorders>
              <w:tl2br w:val="nil"/>
              <w:tr2bl w:val="nil"/>
            </w:tcBorders>
            <w:noWrap w:val="0"/>
            <w:vAlign w:val="center"/>
          </w:tcPr>
          <w:p w14:paraId="3655F011">
            <w:pPr>
              <w:pStyle w:val="31"/>
              <w:bidi w:val="0"/>
              <w:jc w:val="center"/>
              <w:rPr>
                <w:rFonts w:hint="default"/>
                <w:lang w:val="en-US" w:eastAsia="zh-CN"/>
              </w:rPr>
            </w:pPr>
            <w:r>
              <w:rPr>
                <w:rFonts w:hint="eastAsia"/>
                <w:lang w:val="en-US" w:eastAsia="zh-CN"/>
              </w:rPr>
              <w:t>415</w:t>
            </w:r>
          </w:p>
        </w:tc>
        <w:tc>
          <w:tcPr>
            <w:tcW w:w="888" w:type="pct"/>
            <w:tcBorders>
              <w:tl2br w:val="nil"/>
              <w:tr2bl w:val="nil"/>
            </w:tcBorders>
            <w:noWrap w:val="0"/>
            <w:vAlign w:val="center"/>
          </w:tcPr>
          <w:p w14:paraId="3D9A98C0">
            <w:pPr>
              <w:pStyle w:val="31"/>
              <w:bidi w:val="0"/>
              <w:jc w:val="center"/>
              <w:rPr>
                <w:rFonts w:hint="default"/>
                <w:lang w:val="en-US" w:eastAsia="zh-CN"/>
              </w:rPr>
            </w:pPr>
            <w:r>
              <w:rPr>
                <w:rFonts w:hint="eastAsia"/>
                <w:lang w:val="en-US" w:eastAsia="zh-CN"/>
              </w:rPr>
              <w:t>/</w:t>
            </w:r>
          </w:p>
        </w:tc>
      </w:tr>
    </w:tbl>
    <w:p w14:paraId="23CE5B5E">
      <w:pPr>
        <w:pStyle w:val="21"/>
        <w:rPr>
          <w:rFonts w:hint="eastAsia"/>
          <w:lang w:val="en-US" w:eastAsia="zh-CN"/>
        </w:rPr>
      </w:pPr>
      <w:r>
        <w:rPr>
          <w:rFonts w:hint="eastAsia"/>
          <w:lang w:val="en-US" w:eastAsia="zh-CN"/>
        </w:rPr>
        <w:t>原辅材料主要理化性质如下：</w:t>
      </w:r>
    </w:p>
    <w:p w14:paraId="59A576C1">
      <w:pPr>
        <w:pStyle w:val="23"/>
        <w:bidi w:val="0"/>
        <w:rPr>
          <w:rFonts w:hint="eastAsia"/>
          <w:lang w:val="en-US" w:eastAsia="zh-CN"/>
        </w:rPr>
      </w:pPr>
      <w:r>
        <w:rPr>
          <w:rFonts w:hint="eastAsia"/>
          <w:lang w:val="en-US" w:eastAsia="zh-CN"/>
        </w:rPr>
        <w:t>表3.1-6  现有工程主要原辅材料理化性质</w:t>
      </w:r>
    </w:p>
    <w:tbl>
      <w:tblPr>
        <w:tblStyle w:val="16"/>
        <w:tblpPr w:leftFromText="180" w:rightFromText="180" w:vertAnchor="text" w:horzAnchor="page" w:tblpXSpec="center" w:tblpY="147"/>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622"/>
        <w:gridCol w:w="732"/>
        <w:gridCol w:w="3256"/>
        <w:gridCol w:w="3300"/>
      </w:tblGrid>
      <w:tr w14:paraId="544F9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751DC1E4">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序号</w:t>
            </w:r>
          </w:p>
        </w:tc>
        <w:tc>
          <w:tcPr>
            <w:tcW w:w="368" w:type="pct"/>
            <w:tcBorders>
              <w:tl2br w:val="nil"/>
              <w:tr2bl w:val="nil"/>
            </w:tcBorders>
            <w:noWrap w:val="0"/>
            <w:vAlign w:val="center"/>
          </w:tcPr>
          <w:p w14:paraId="4950758E">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名称</w:t>
            </w:r>
          </w:p>
        </w:tc>
        <w:tc>
          <w:tcPr>
            <w:tcW w:w="418" w:type="pct"/>
            <w:tcBorders>
              <w:tl2br w:val="nil"/>
              <w:tr2bl w:val="nil"/>
            </w:tcBorders>
            <w:noWrap w:val="0"/>
            <w:vAlign w:val="center"/>
          </w:tcPr>
          <w:p w14:paraId="2ED7ACA9">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分子式</w:t>
            </w:r>
          </w:p>
        </w:tc>
        <w:tc>
          <w:tcPr>
            <w:tcW w:w="1913" w:type="pct"/>
            <w:tcBorders>
              <w:tl2br w:val="nil"/>
              <w:tr2bl w:val="nil"/>
            </w:tcBorders>
            <w:noWrap w:val="0"/>
            <w:vAlign w:val="center"/>
          </w:tcPr>
          <w:p w14:paraId="5DD4B109">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主要理化性质</w:t>
            </w:r>
          </w:p>
        </w:tc>
        <w:tc>
          <w:tcPr>
            <w:tcW w:w="1938" w:type="pct"/>
            <w:tcBorders>
              <w:tl2br w:val="nil"/>
              <w:tr2bl w:val="nil"/>
            </w:tcBorders>
            <w:noWrap w:val="0"/>
            <w:vAlign w:val="center"/>
          </w:tcPr>
          <w:p w14:paraId="07828721">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rPr>
              <w:t>物质危险性</w:t>
            </w:r>
          </w:p>
        </w:tc>
      </w:tr>
      <w:tr w14:paraId="32AF3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7CD51FC2">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1</w:t>
            </w:r>
          </w:p>
        </w:tc>
        <w:tc>
          <w:tcPr>
            <w:tcW w:w="368" w:type="pct"/>
            <w:tcBorders>
              <w:tl2br w:val="nil"/>
              <w:tr2bl w:val="nil"/>
            </w:tcBorders>
            <w:noWrap w:val="0"/>
            <w:vAlign w:val="center"/>
          </w:tcPr>
          <w:p w14:paraId="086CA97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沥青漆</w:t>
            </w:r>
          </w:p>
        </w:tc>
        <w:tc>
          <w:tcPr>
            <w:tcW w:w="418" w:type="pct"/>
            <w:tcBorders>
              <w:tl2br w:val="nil"/>
              <w:tr2bl w:val="nil"/>
            </w:tcBorders>
            <w:noWrap w:val="0"/>
            <w:vAlign w:val="center"/>
          </w:tcPr>
          <w:p w14:paraId="09345937">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rPr>
              <w:t>/</w:t>
            </w:r>
          </w:p>
        </w:tc>
        <w:tc>
          <w:tcPr>
            <w:tcW w:w="1913" w:type="pct"/>
            <w:tcBorders>
              <w:tl2br w:val="nil"/>
              <w:tr2bl w:val="nil"/>
            </w:tcBorders>
            <w:noWrap w:val="0"/>
            <w:vAlign w:val="center"/>
          </w:tcPr>
          <w:p w14:paraId="4922E209">
            <w:pPr>
              <w:pStyle w:val="43"/>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pacing w:val="4"/>
                <w:kern w:val="2"/>
                <w:sz w:val="21"/>
                <w:szCs w:val="21"/>
                <w:u w:val="none" w:color="auto"/>
              </w:rPr>
              <w:t>铝粉沥青船</w:t>
            </w:r>
            <w:r>
              <w:rPr>
                <w:rFonts w:ascii="Times New Roman" w:hAnsi="Times New Roman" w:eastAsia="宋体" w:cs="Times New Roman"/>
                <w:color w:val="000000"/>
                <w:szCs w:val="21"/>
                <w:u w:val="none" w:color="auto"/>
              </w:rPr>
              <w:t>底漆以煤焦沥青为主要成膜物质，配以铝粉、颜料、助剂经研磨调制而成，具有良好的耐水性能和防锈性能。煤焦油沥青、煤焦油等固体份80%，添加剂甲苯3.5%，二甲苯5%、其他有机溶剂11.5%。</w:t>
            </w:r>
          </w:p>
        </w:tc>
        <w:tc>
          <w:tcPr>
            <w:tcW w:w="1938" w:type="pct"/>
            <w:tcBorders>
              <w:tl2br w:val="nil"/>
              <w:tr2bl w:val="nil"/>
            </w:tcBorders>
            <w:noWrap w:val="0"/>
            <w:vAlign w:val="center"/>
          </w:tcPr>
          <w:p w14:paraId="0C2664A3">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皮肤接触可导致皮肤刺激不适</w:t>
            </w:r>
            <w:r>
              <w:rPr>
                <w:rFonts w:hint="eastAsia" w:ascii="Times New Roman" w:hAnsi="Times New Roman" w:eastAsia="宋体" w:cs="Times New Roman"/>
                <w:color w:val="000000"/>
                <w:szCs w:val="21"/>
                <w:u w:val="none" w:color="auto"/>
                <w:lang w:val="en-US" w:eastAsia="zh-CN"/>
              </w:rPr>
              <w:t>和</w:t>
            </w:r>
            <w:r>
              <w:rPr>
                <w:rFonts w:ascii="Times New Roman" w:hAnsi="Times New Roman" w:eastAsia="宋体" w:cs="Times New Roman"/>
                <w:color w:val="000000"/>
                <w:szCs w:val="21"/>
                <w:u w:val="none" w:color="auto"/>
              </w:rPr>
              <w:t>发疹；眼睛接触可导致眼睛刺激不适、流泪或视线模糊；吸入此产品可导致上呼吸道刺激、咳嗽与不适，或不特定不舒服症状，如恶心、头痛或虚弱。</w:t>
            </w:r>
            <w:r>
              <w:rPr>
                <w:rFonts w:hint="eastAsia" w:ascii="Times New Roman" w:hAnsi="Times New Roman" w:eastAsia="宋体" w:cs="Times New Roman"/>
                <w:color w:val="000000"/>
                <w:szCs w:val="21"/>
                <w:u w:val="none" w:color="auto"/>
              </w:rPr>
              <w:t>为可燃液体。</w:t>
            </w:r>
          </w:p>
        </w:tc>
      </w:tr>
      <w:tr w14:paraId="1B7C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6C3C9F92">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2</w:t>
            </w:r>
          </w:p>
        </w:tc>
        <w:tc>
          <w:tcPr>
            <w:tcW w:w="368" w:type="pct"/>
            <w:tcBorders>
              <w:tl2br w:val="nil"/>
              <w:tr2bl w:val="nil"/>
            </w:tcBorders>
            <w:noWrap w:val="0"/>
            <w:vAlign w:val="center"/>
          </w:tcPr>
          <w:p w14:paraId="5414861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乙炔</w:t>
            </w:r>
          </w:p>
        </w:tc>
        <w:tc>
          <w:tcPr>
            <w:tcW w:w="418" w:type="pct"/>
            <w:tcBorders>
              <w:tl2br w:val="nil"/>
              <w:tr2bl w:val="nil"/>
            </w:tcBorders>
            <w:noWrap w:val="0"/>
            <w:vAlign w:val="center"/>
          </w:tcPr>
          <w:p w14:paraId="510AA3B2">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C</w:t>
            </w:r>
            <w:r>
              <w:rPr>
                <w:rFonts w:ascii="Times New Roman" w:hAnsi="Times New Roman" w:eastAsia="宋体" w:cs="Times New Roman"/>
                <w:color w:val="000000"/>
                <w:szCs w:val="21"/>
                <w:u w:val="none" w:color="auto"/>
                <w:vertAlign w:val="subscript"/>
              </w:rPr>
              <w:t>2</w:t>
            </w:r>
            <w:r>
              <w:rPr>
                <w:rFonts w:ascii="Times New Roman" w:hAnsi="Times New Roman" w:eastAsia="宋体" w:cs="Times New Roman"/>
                <w:color w:val="000000"/>
                <w:szCs w:val="21"/>
                <w:u w:val="none" w:color="auto"/>
              </w:rPr>
              <w:t>H</w:t>
            </w:r>
            <w:r>
              <w:rPr>
                <w:rFonts w:ascii="Times New Roman" w:hAnsi="Times New Roman" w:eastAsia="宋体" w:cs="Times New Roman"/>
                <w:color w:val="000000"/>
                <w:szCs w:val="21"/>
                <w:u w:val="none" w:color="auto"/>
                <w:vertAlign w:val="subscript"/>
              </w:rPr>
              <w:t>2</w:t>
            </w:r>
          </w:p>
        </w:tc>
        <w:tc>
          <w:tcPr>
            <w:tcW w:w="1913" w:type="pct"/>
            <w:tcBorders>
              <w:tl2br w:val="nil"/>
              <w:tr2bl w:val="nil"/>
            </w:tcBorders>
            <w:noWrap w:val="0"/>
            <w:vAlign w:val="center"/>
          </w:tcPr>
          <w:p w14:paraId="2343957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分子量26.04，无色无臭气体，工业品有使人不愉快的大蒜气味。微毒。</w:t>
            </w:r>
          </w:p>
        </w:tc>
        <w:tc>
          <w:tcPr>
            <w:tcW w:w="1938" w:type="pct"/>
            <w:tcBorders>
              <w:tl2br w:val="nil"/>
              <w:tr2bl w:val="nil"/>
            </w:tcBorders>
            <w:noWrap w:val="0"/>
            <w:vAlign w:val="center"/>
          </w:tcPr>
          <w:p w14:paraId="39CC79C7">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500000ppm人吸入10%，轻度中毒反应。</w:t>
            </w:r>
            <w:r>
              <w:rPr>
                <w:rFonts w:hint="eastAsia" w:ascii="Times New Roman" w:hAnsi="Times New Roman" w:eastAsia="宋体" w:cs="Times New Roman"/>
                <w:color w:val="000000"/>
                <w:szCs w:val="21"/>
                <w:u w:val="none" w:color="auto"/>
              </w:rPr>
              <w:t>为可燃气体</w:t>
            </w:r>
          </w:p>
        </w:tc>
      </w:tr>
      <w:tr w14:paraId="268F5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4CBC896B">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3</w:t>
            </w:r>
          </w:p>
        </w:tc>
        <w:tc>
          <w:tcPr>
            <w:tcW w:w="368" w:type="pct"/>
            <w:tcBorders>
              <w:tl2br w:val="nil"/>
              <w:tr2bl w:val="nil"/>
            </w:tcBorders>
            <w:noWrap w:val="0"/>
            <w:vAlign w:val="center"/>
          </w:tcPr>
          <w:p w14:paraId="13746EFD">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氧气</w:t>
            </w:r>
          </w:p>
        </w:tc>
        <w:tc>
          <w:tcPr>
            <w:tcW w:w="418" w:type="pct"/>
            <w:tcBorders>
              <w:tl2br w:val="nil"/>
              <w:tr2bl w:val="nil"/>
            </w:tcBorders>
            <w:noWrap w:val="0"/>
            <w:vAlign w:val="center"/>
          </w:tcPr>
          <w:p w14:paraId="38D7034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O</w:t>
            </w:r>
            <w:r>
              <w:rPr>
                <w:rFonts w:ascii="Times New Roman" w:hAnsi="Times New Roman" w:eastAsia="宋体" w:cs="Times New Roman"/>
                <w:color w:val="000000"/>
                <w:szCs w:val="21"/>
                <w:u w:val="none" w:color="auto"/>
                <w:vertAlign w:val="subscript"/>
              </w:rPr>
              <w:t>2</w:t>
            </w:r>
          </w:p>
        </w:tc>
        <w:tc>
          <w:tcPr>
            <w:tcW w:w="1913" w:type="pct"/>
            <w:tcBorders>
              <w:tl2br w:val="nil"/>
              <w:tr2bl w:val="nil"/>
            </w:tcBorders>
            <w:noWrap w:val="0"/>
            <w:vAlign w:val="center"/>
          </w:tcPr>
          <w:p w14:paraId="1C6CAF5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在通常状况下为无色、无臭、无味的气体，密度1.429g/L（气）熔点-218.4℃、沸点-182.962℃。液氧呈淡蓝色，固态氧为蓝色晶体。微溶于水，在水中溶解度为4.89mL/mL水（0℃）。</w:t>
            </w:r>
          </w:p>
        </w:tc>
        <w:tc>
          <w:tcPr>
            <w:tcW w:w="1938" w:type="pct"/>
            <w:tcBorders>
              <w:tl2br w:val="nil"/>
              <w:tr2bl w:val="nil"/>
            </w:tcBorders>
            <w:noWrap w:val="0"/>
            <w:vAlign w:val="center"/>
          </w:tcPr>
          <w:p w14:paraId="6CB3A2A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常压下，当氧的浓度超过40%时，有可能发生氧中毒。长期处于氧分压为60-100kPa（相当于吸入氧浓度40%左右）的条件下可发生眼损害，严重者可失明。</w:t>
            </w:r>
            <w:r>
              <w:rPr>
                <w:rFonts w:hint="eastAsia" w:ascii="Times New Roman" w:hAnsi="Times New Roman" w:eastAsia="宋体" w:cs="Times New Roman"/>
                <w:color w:val="000000"/>
                <w:szCs w:val="21"/>
                <w:u w:val="none" w:color="auto"/>
              </w:rPr>
              <w:t>无危险性</w:t>
            </w:r>
          </w:p>
        </w:tc>
      </w:tr>
      <w:tr w14:paraId="1CCFB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3A6F7D44">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4</w:t>
            </w:r>
          </w:p>
        </w:tc>
        <w:tc>
          <w:tcPr>
            <w:tcW w:w="368" w:type="pct"/>
            <w:tcBorders>
              <w:tl2br w:val="nil"/>
              <w:tr2bl w:val="nil"/>
            </w:tcBorders>
            <w:noWrap w:val="0"/>
            <w:vAlign w:val="center"/>
          </w:tcPr>
          <w:p w14:paraId="33A00DC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甲苯</w:t>
            </w:r>
          </w:p>
        </w:tc>
        <w:tc>
          <w:tcPr>
            <w:tcW w:w="418" w:type="pct"/>
            <w:tcBorders>
              <w:tl2br w:val="nil"/>
              <w:tr2bl w:val="nil"/>
            </w:tcBorders>
            <w:noWrap w:val="0"/>
            <w:vAlign w:val="center"/>
          </w:tcPr>
          <w:p w14:paraId="347F2B0F">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C</w:t>
            </w:r>
            <w:r>
              <w:rPr>
                <w:rFonts w:ascii="Times New Roman" w:hAnsi="Times New Roman" w:eastAsia="宋体" w:cs="Times New Roman"/>
                <w:color w:val="000000"/>
                <w:szCs w:val="21"/>
                <w:u w:val="none" w:color="auto"/>
                <w:vertAlign w:val="subscript"/>
              </w:rPr>
              <w:t>7</w:t>
            </w:r>
            <w:r>
              <w:rPr>
                <w:rFonts w:ascii="Times New Roman" w:hAnsi="Times New Roman" w:eastAsia="宋体" w:cs="Times New Roman"/>
                <w:color w:val="000000"/>
                <w:szCs w:val="21"/>
                <w:u w:val="none" w:color="auto"/>
              </w:rPr>
              <w:t>H</w:t>
            </w:r>
            <w:r>
              <w:rPr>
                <w:rFonts w:ascii="Times New Roman" w:hAnsi="Times New Roman" w:eastAsia="宋体" w:cs="Times New Roman"/>
                <w:color w:val="000000"/>
                <w:szCs w:val="21"/>
                <w:u w:val="none" w:color="auto"/>
                <w:vertAlign w:val="subscript"/>
              </w:rPr>
              <w:t>8</w:t>
            </w:r>
          </w:p>
        </w:tc>
        <w:tc>
          <w:tcPr>
            <w:tcW w:w="1913" w:type="pct"/>
            <w:tcBorders>
              <w:tl2br w:val="nil"/>
              <w:tr2bl w:val="nil"/>
            </w:tcBorders>
            <w:noWrap w:val="0"/>
            <w:vAlign w:val="center"/>
          </w:tcPr>
          <w:p w14:paraId="0DC39D2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易燃，有类似于苯的芳香气味，沸点（常压）110.63℃，熔点-94.99℃。甲苯不溶于水，溶于乙醇、乙醚和丙酮。</w:t>
            </w:r>
          </w:p>
        </w:tc>
        <w:tc>
          <w:tcPr>
            <w:tcW w:w="1938" w:type="pct"/>
            <w:tcBorders>
              <w:tl2br w:val="nil"/>
              <w:tr2bl w:val="nil"/>
            </w:tcBorders>
            <w:noWrap w:val="0"/>
            <w:vAlign w:val="center"/>
          </w:tcPr>
          <w:p w14:paraId="6D7EAC3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LD</w:t>
            </w:r>
            <w:r>
              <w:rPr>
                <w:rFonts w:ascii="Times New Roman" w:hAnsi="Times New Roman" w:eastAsia="宋体" w:cs="Times New Roman"/>
                <w:color w:val="000000"/>
                <w:spacing w:val="4"/>
                <w:kern w:val="2"/>
                <w:sz w:val="21"/>
                <w:szCs w:val="21"/>
                <w:u w:val="none" w:color="auto"/>
                <w:vertAlign w:val="subscript"/>
              </w:rPr>
              <w:t>50</w:t>
            </w:r>
            <w:r>
              <w:rPr>
                <w:rFonts w:ascii="Times New Roman" w:hAnsi="Times New Roman" w:eastAsia="宋体" w:cs="Times New Roman"/>
                <w:color w:val="000000"/>
                <w:szCs w:val="21"/>
                <w:u w:val="none" w:color="auto"/>
              </w:rPr>
              <w:t>5000mg/kg（大鼠经口）：LC</w:t>
            </w:r>
            <w:r>
              <w:rPr>
                <w:rFonts w:ascii="Times New Roman" w:hAnsi="Times New Roman" w:eastAsia="宋体" w:cs="Times New Roman"/>
                <w:color w:val="000000"/>
                <w:szCs w:val="21"/>
                <w:u w:val="none" w:color="auto"/>
                <w:vertAlign w:val="subscript"/>
              </w:rPr>
              <w:t>50</w:t>
            </w:r>
            <w:r>
              <w:rPr>
                <w:rFonts w:ascii="Times New Roman" w:hAnsi="Times New Roman" w:eastAsia="宋体" w:cs="Times New Roman"/>
                <w:color w:val="000000"/>
                <w:szCs w:val="21"/>
                <w:u w:val="none" w:color="auto"/>
              </w:rPr>
              <w:t>12214mg/kg（兔经皮）；人吸入71.4g/m</w:t>
            </w:r>
            <w:r>
              <w:rPr>
                <w:rFonts w:ascii="Times New Roman" w:hAnsi="Times New Roman" w:eastAsia="宋体" w:cs="Times New Roman"/>
                <w:color w:val="000000"/>
                <w:spacing w:val="4"/>
                <w:kern w:val="2"/>
                <w:sz w:val="21"/>
                <w:szCs w:val="21"/>
                <w:u w:val="none" w:color="auto"/>
                <w:vertAlign w:val="superscript"/>
              </w:rPr>
              <w:t>3</w:t>
            </w:r>
            <w:r>
              <w:rPr>
                <w:rFonts w:ascii="Times New Roman" w:hAnsi="Times New Roman" w:eastAsia="宋体" w:cs="Times New Roman"/>
                <w:color w:val="000000"/>
                <w:szCs w:val="21"/>
                <w:u w:val="none" w:color="auto"/>
              </w:rPr>
              <w:t>，短时致死；人吸入3g/m</w:t>
            </w:r>
            <w:r>
              <w:rPr>
                <w:rFonts w:ascii="Times New Roman" w:hAnsi="Times New Roman" w:eastAsia="宋体" w:cs="Times New Roman"/>
                <w:color w:val="000000"/>
                <w:szCs w:val="21"/>
                <w:u w:val="none" w:color="auto"/>
                <w:vertAlign w:val="superscript"/>
              </w:rPr>
              <w:t>3</w:t>
            </w:r>
            <w:r>
              <w:rPr>
                <w:rFonts w:ascii="Times New Roman" w:hAnsi="Times New Roman" w:eastAsia="宋体" w:cs="Times New Roman"/>
                <w:color w:val="000000"/>
                <w:szCs w:val="21"/>
                <w:u w:val="none" w:color="auto"/>
              </w:rPr>
              <w:t>×1~8小时，急性中毒；人吸入0.2~0.3g/m</w:t>
            </w:r>
            <w:r>
              <w:rPr>
                <w:rFonts w:ascii="Times New Roman" w:hAnsi="Times New Roman" w:eastAsia="宋体" w:cs="Times New Roman"/>
                <w:color w:val="000000"/>
                <w:spacing w:val="4"/>
                <w:kern w:val="2"/>
                <w:sz w:val="21"/>
                <w:szCs w:val="21"/>
                <w:u w:val="none" w:color="auto"/>
                <w:vertAlign w:val="superscript"/>
              </w:rPr>
              <w:t>3</w:t>
            </w:r>
            <w:r>
              <w:rPr>
                <w:rFonts w:ascii="Times New Roman" w:hAnsi="Times New Roman" w:eastAsia="宋体" w:cs="Times New Roman"/>
                <w:color w:val="000000"/>
                <w:szCs w:val="21"/>
                <w:u w:val="none" w:color="auto"/>
              </w:rPr>
              <w:t>×8小时，中毒症状出现。</w:t>
            </w:r>
            <w:r>
              <w:rPr>
                <w:rFonts w:hint="eastAsia" w:ascii="Times New Roman" w:hAnsi="Times New Roman" w:eastAsia="宋体" w:cs="Times New Roman"/>
                <w:color w:val="000000"/>
                <w:szCs w:val="21"/>
                <w:u w:val="none" w:color="auto"/>
              </w:rPr>
              <w:t>为有毒物质、易燃液体</w:t>
            </w:r>
          </w:p>
        </w:tc>
      </w:tr>
      <w:tr w14:paraId="30EA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18251E0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5</w:t>
            </w:r>
          </w:p>
        </w:tc>
        <w:tc>
          <w:tcPr>
            <w:tcW w:w="368" w:type="pct"/>
            <w:tcBorders>
              <w:tl2br w:val="nil"/>
              <w:tr2bl w:val="nil"/>
            </w:tcBorders>
            <w:noWrap w:val="0"/>
            <w:vAlign w:val="center"/>
          </w:tcPr>
          <w:p w14:paraId="48DE26EC">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二甲苯</w:t>
            </w:r>
          </w:p>
        </w:tc>
        <w:tc>
          <w:tcPr>
            <w:tcW w:w="418" w:type="pct"/>
            <w:tcBorders>
              <w:tl2br w:val="nil"/>
              <w:tr2bl w:val="nil"/>
            </w:tcBorders>
            <w:noWrap w:val="0"/>
            <w:vAlign w:val="center"/>
          </w:tcPr>
          <w:p w14:paraId="5E337345">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C</w:t>
            </w:r>
            <w:r>
              <w:rPr>
                <w:rFonts w:ascii="Times New Roman" w:hAnsi="Times New Roman" w:eastAsia="宋体" w:cs="Times New Roman"/>
                <w:color w:val="000000"/>
                <w:szCs w:val="21"/>
                <w:u w:val="none" w:color="auto"/>
                <w:vertAlign w:val="subscript"/>
              </w:rPr>
              <w:t>8</w:t>
            </w:r>
            <w:r>
              <w:rPr>
                <w:rFonts w:ascii="Times New Roman" w:hAnsi="Times New Roman" w:eastAsia="宋体" w:cs="Times New Roman"/>
                <w:color w:val="000000"/>
                <w:szCs w:val="21"/>
                <w:u w:val="none" w:color="auto"/>
              </w:rPr>
              <w:t>H</w:t>
            </w:r>
            <w:r>
              <w:rPr>
                <w:rFonts w:ascii="Times New Roman" w:hAnsi="Times New Roman" w:eastAsia="宋体" w:cs="Times New Roman"/>
                <w:color w:val="000000"/>
                <w:szCs w:val="21"/>
                <w:u w:val="none" w:color="auto"/>
                <w:vertAlign w:val="subscript"/>
              </w:rPr>
              <w:t>10</w:t>
            </w:r>
          </w:p>
        </w:tc>
        <w:tc>
          <w:tcPr>
            <w:tcW w:w="1913" w:type="pct"/>
            <w:tcBorders>
              <w:tl2br w:val="nil"/>
              <w:tr2bl w:val="nil"/>
            </w:tcBorders>
            <w:noWrap w:val="0"/>
            <w:vAlign w:val="center"/>
          </w:tcPr>
          <w:p w14:paraId="5FBC6312">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易燃，无色透明液体，有类似甲苯的气味。熔点13.3℃，沸点138.4℃。相对密度（水=1）3.66，饱和蒸气压1.16kPa（25℃）。不溶于水，可溶于乙醇、乙醚、氯仿等多数有机溶剂。一般为对二甲苯、间二甲苯、邻二甲苯及乙基苯的混合物。</w:t>
            </w:r>
          </w:p>
        </w:tc>
        <w:tc>
          <w:tcPr>
            <w:tcW w:w="1938" w:type="pct"/>
            <w:tcBorders>
              <w:tl2br w:val="nil"/>
              <w:tr2bl w:val="nil"/>
            </w:tcBorders>
            <w:noWrap w:val="0"/>
            <w:vAlign w:val="center"/>
          </w:tcPr>
          <w:p w14:paraId="2E91527A">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LD</w:t>
            </w:r>
            <w:r>
              <w:rPr>
                <w:rFonts w:ascii="Times New Roman" w:hAnsi="Times New Roman" w:eastAsia="宋体" w:cs="Times New Roman"/>
                <w:color w:val="000000"/>
                <w:spacing w:val="4"/>
                <w:kern w:val="2"/>
                <w:sz w:val="21"/>
                <w:szCs w:val="21"/>
                <w:u w:val="none" w:color="auto"/>
                <w:vertAlign w:val="subscript"/>
              </w:rPr>
              <w:t>50</w:t>
            </w:r>
            <w:r>
              <w:rPr>
                <w:rFonts w:ascii="Times New Roman" w:hAnsi="Times New Roman" w:eastAsia="宋体" w:cs="Times New Roman"/>
                <w:color w:val="000000"/>
                <w:szCs w:val="21"/>
                <w:u w:val="none" w:color="auto"/>
              </w:rPr>
              <w:t>：5000mg/kg（大鼠经口）；LC</w:t>
            </w:r>
            <w:r>
              <w:rPr>
                <w:rFonts w:ascii="Times New Roman" w:hAnsi="Times New Roman" w:eastAsia="宋体" w:cs="Times New Roman"/>
                <w:color w:val="000000"/>
                <w:spacing w:val="4"/>
                <w:kern w:val="2"/>
                <w:sz w:val="21"/>
                <w:szCs w:val="21"/>
                <w:u w:val="none" w:color="auto"/>
                <w:vertAlign w:val="subscript"/>
              </w:rPr>
              <w:t>50</w:t>
            </w:r>
            <w:r>
              <w:rPr>
                <w:rFonts w:ascii="Times New Roman" w:hAnsi="Times New Roman" w:eastAsia="宋体" w:cs="Times New Roman"/>
                <w:color w:val="000000"/>
                <w:szCs w:val="21"/>
                <w:u w:val="none" w:color="auto"/>
              </w:rPr>
              <w:t>：19747mg/m3，4小时（大鼠吸入）。</w:t>
            </w:r>
            <w:r>
              <w:rPr>
                <w:rFonts w:hint="eastAsia" w:ascii="Times New Roman" w:hAnsi="Times New Roman" w:eastAsia="宋体" w:cs="Times New Roman"/>
                <w:color w:val="000000"/>
                <w:szCs w:val="21"/>
                <w:u w:val="none" w:color="auto"/>
              </w:rPr>
              <w:t>为有毒物质、易燃液体</w:t>
            </w:r>
          </w:p>
        </w:tc>
      </w:tr>
      <w:tr w14:paraId="04CAA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tcBorders>
              <w:tl2br w:val="nil"/>
              <w:tr2bl w:val="nil"/>
            </w:tcBorders>
            <w:noWrap w:val="0"/>
            <w:vAlign w:val="center"/>
          </w:tcPr>
          <w:p w14:paraId="3032410B">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6</w:t>
            </w:r>
          </w:p>
        </w:tc>
        <w:tc>
          <w:tcPr>
            <w:tcW w:w="368" w:type="pct"/>
            <w:tcBorders>
              <w:tl2br w:val="nil"/>
              <w:tr2bl w:val="nil"/>
            </w:tcBorders>
            <w:noWrap w:val="0"/>
            <w:vAlign w:val="center"/>
          </w:tcPr>
          <w:p w14:paraId="600AB700">
            <w:pPr>
              <w:pStyle w:val="43"/>
              <w:rPr>
                <w:rFonts w:hint="eastAsia" w:ascii="Times New Roman" w:hAnsi="Times New Roman" w:eastAsia="宋体" w:cs="Times New Roman"/>
                <w:color w:val="000000"/>
                <w:szCs w:val="21"/>
                <w:u w:val="none" w:color="auto"/>
                <w:lang w:eastAsia="zh-CN"/>
              </w:rPr>
            </w:pPr>
            <w:r>
              <w:rPr>
                <w:rFonts w:hint="eastAsia" w:ascii="Times New Roman" w:hAnsi="Times New Roman" w:eastAsia="宋体" w:cs="Times New Roman"/>
                <w:color w:val="000000"/>
                <w:szCs w:val="21"/>
                <w:u w:val="none" w:color="auto"/>
                <w:lang w:eastAsia="zh-CN"/>
              </w:rPr>
              <w:t>柴油</w:t>
            </w:r>
          </w:p>
        </w:tc>
        <w:tc>
          <w:tcPr>
            <w:tcW w:w="418" w:type="pct"/>
            <w:tcBorders>
              <w:tl2br w:val="nil"/>
              <w:tr2bl w:val="nil"/>
            </w:tcBorders>
            <w:noWrap w:val="0"/>
            <w:vAlign w:val="center"/>
          </w:tcPr>
          <w:p w14:paraId="430A5ED3">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w:t>
            </w:r>
          </w:p>
        </w:tc>
        <w:tc>
          <w:tcPr>
            <w:tcW w:w="1913" w:type="pct"/>
            <w:tcBorders>
              <w:tl2br w:val="nil"/>
              <w:tr2bl w:val="nil"/>
            </w:tcBorders>
            <w:noWrap w:val="0"/>
            <w:vAlign w:val="center"/>
          </w:tcPr>
          <w:p w14:paraId="0A1C2311">
            <w:pPr>
              <w:pStyle w:val="43"/>
              <w:rPr>
                <w:rFonts w:hint="eastAsia" w:ascii="Times New Roman" w:hAnsi="Times New Roman" w:eastAsia="宋体" w:cs="Times New Roman"/>
                <w:color w:val="000000"/>
                <w:szCs w:val="21"/>
                <w:u w:val="none" w:color="auto"/>
                <w:lang w:eastAsia="zh-CN"/>
              </w:rPr>
            </w:pPr>
            <w:r>
              <w:rPr>
                <w:rFonts w:ascii="Times New Roman" w:hAnsi="Times New Roman" w:eastAsia="宋体" w:cs="Times New Roman"/>
                <w:color w:val="000000"/>
                <w:szCs w:val="21"/>
                <w:u w:val="none" w:color="auto"/>
              </w:rPr>
              <w:t>无色或淡黄色易挥发液体，有刺鼻的酸味。闪点 56</w:t>
            </w:r>
            <w:r>
              <w:rPr>
                <w:rFonts w:hint="eastAsia" w:ascii="Times New Roman" w:hAnsi="Times New Roman" w:eastAsia="宋体" w:cs="Times New Roman"/>
                <w:color w:val="000000"/>
                <w:szCs w:val="21"/>
                <w:u w:val="none" w:color="auto"/>
              </w:rPr>
              <w:t>℃</w:t>
            </w:r>
            <w:r>
              <w:rPr>
                <w:rFonts w:hint="eastAsia" w:ascii="Times New Roman" w:hAnsi="Times New Roman" w:eastAsia="宋体" w:cs="Times New Roman"/>
                <w:color w:val="000000"/>
                <w:szCs w:val="21"/>
                <w:u w:val="none" w:color="auto"/>
                <w:lang w:eastAsia="zh-CN"/>
              </w:rPr>
              <w:t>，引燃温度415-530℃，</w:t>
            </w:r>
            <w:r>
              <w:rPr>
                <w:rFonts w:ascii="Times New Roman" w:hAnsi="Times New Roman" w:eastAsia="宋体" w:cs="Times New Roman"/>
                <w:color w:val="000000"/>
                <w:szCs w:val="21"/>
                <w:u w:val="none" w:color="auto"/>
              </w:rPr>
              <w:t xml:space="preserve"> </w:t>
            </w:r>
            <w:r>
              <w:rPr>
                <w:rFonts w:hint="eastAsia" w:ascii="Times New Roman" w:hAnsi="Times New Roman" w:eastAsia="宋体" w:cs="Times New Roman"/>
                <w:color w:val="000000"/>
                <w:szCs w:val="21"/>
                <w:u w:val="none" w:color="auto"/>
                <w:lang w:eastAsia="zh-CN"/>
              </w:rPr>
              <w:t>熔点</w:t>
            </w:r>
            <w:r>
              <w:rPr>
                <w:rFonts w:ascii="Times New Roman" w:hAnsi="Times New Roman" w:eastAsia="宋体" w:cs="Times New Roman"/>
                <w:color w:val="000000"/>
                <w:szCs w:val="21"/>
                <w:u w:val="none" w:color="auto"/>
              </w:rPr>
              <w:t xml:space="preserve"> </w:t>
            </w:r>
            <w:r>
              <w:rPr>
                <w:rFonts w:ascii="Times New Roman" w:hAnsi="Times New Roman" w:eastAsia="宋体" w:cs="Times New Roman"/>
                <w:color w:val="000000"/>
                <w:szCs w:val="21"/>
                <w:u w:val="none" w:color="auto"/>
                <w:lang w:val="de-DE"/>
              </w:rPr>
              <w:t>＜-50</w:t>
            </w:r>
            <w:r>
              <w:rPr>
                <w:rFonts w:hint="eastAsia" w:ascii="Times New Roman" w:hAnsi="Times New Roman" w:eastAsia="宋体" w:cs="Times New Roman"/>
                <w:color w:val="000000"/>
                <w:szCs w:val="21"/>
                <w:u w:val="none" w:color="auto"/>
                <w:lang w:val="de-DE"/>
              </w:rPr>
              <w:t>℃</w:t>
            </w:r>
            <w:r>
              <w:rPr>
                <w:rFonts w:ascii="Times New Roman" w:hAnsi="Times New Roman" w:eastAsia="宋体" w:cs="Times New Roman"/>
                <w:color w:val="000000"/>
                <w:szCs w:val="21"/>
                <w:u w:val="none" w:color="auto"/>
              </w:rPr>
              <w:t>(纯)</w:t>
            </w:r>
            <w:r>
              <w:rPr>
                <w:rFonts w:hint="eastAsia" w:ascii="Times New Roman" w:hAnsi="Times New Roman" w:eastAsia="宋体" w:cs="Times New Roman"/>
                <w:color w:val="000000"/>
                <w:szCs w:val="21"/>
                <w:u w:val="none" w:color="auto"/>
                <w:lang w:eastAsia="zh-CN"/>
              </w:rPr>
              <w:t>，沸点283-338</w:t>
            </w:r>
            <w:r>
              <w:rPr>
                <w:rFonts w:hint="eastAsia" w:ascii="Times New Roman" w:hAnsi="Times New Roman" w:eastAsia="宋体" w:cs="Times New Roman"/>
                <w:color w:val="000000"/>
                <w:szCs w:val="21"/>
                <w:u w:val="none" w:color="auto"/>
                <w:lang w:val="de-DE" w:eastAsia="zh-CN"/>
              </w:rPr>
              <w:t>℃，爆炸极限（V%）1.58-6.48。不溶于水，易溶于苯、二硫化碳、醇、脂肪烃。相对密度（水=1）0.84</w:t>
            </w:r>
          </w:p>
        </w:tc>
        <w:tc>
          <w:tcPr>
            <w:tcW w:w="1938" w:type="pct"/>
            <w:tcBorders>
              <w:tl2br w:val="nil"/>
              <w:tr2bl w:val="nil"/>
            </w:tcBorders>
            <w:noWrap w:val="0"/>
            <w:vAlign w:val="center"/>
          </w:tcPr>
          <w:p w14:paraId="23E48DDD">
            <w:pPr>
              <w:pStyle w:val="43"/>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遇明火、高热或与氧化剂接触，有引起燃烧爆炸的危险。若遇高热，容器内压增大，有开裂和爆炸危险。对环境有危害，特别注意对水体的危害。</w:t>
            </w:r>
          </w:p>
        </w:tc>
      </w:tr>
    </w:tbl>
    <w:p w14:paraId="33284071">
      <w:pPr>
        <w:pStyle w:val="33"/>
        <w:bidi w:val="0"/>
        <w:rPr>
          <w:rFonts w:hint="eastAsia"/>
          <w:lang w:val="en-US" w:eastAsia="zh-CN"/>
        </w:rPr>
      </w:pPr>
      <w:bookmarkStart w:id="87" w:name="_Toc5217"/>
      <w:r>
        <w:rPr>
          <w:rFonts w:hint="eastAsia"/>
          <w:lang w:val="en-US" w:eastAsia="zh-CN"/>
        </w:rPr>
        <w:t>3.1.3现有工程生产工艺流程</w:t>
      </w:r>
      <w:bookmarkEnd w:id="87"/>
    </w:p>
    <w:p w14:paraId="298AE5FD">
      <w:pPr>
        <w:pStyle w:val="31"/>
        <w:bidi w:val="0"/>
        <w:jc w:val="center"/>
        <w:rPr>
          <w:rFonts w:ascii="Times New Roman" w:hAnsi="Times New Roman" w:eastAsia="宋体" w:cs="Times New Roman"/>
          <w:color w:val="000000"/>
          <w:sz w:val="24"/>
          <w:u w:val="none" w:color="auto"/>
        </w:rPr>
      </w:pPr>
      <w:r>
        <w:rPr>
          <w:rFonts w:ascii="Times New Roman" w:hAnsi="Times New Roman" w:eastAsia="宋体" w:cs="Times New Roman"/>
          <w:color w:val="000000"/>
          <w:sz w:val="24"/>
          <w:u w:val="none" w:color="auto"/>
        </w:rPr>
        <w:object>
          <v:shape id="_x0000_i1025" o:spt="75" type="#_x0000_t75" style="height:487.35pt;width:353.2pt;" o:ole="t" filled="f" o:preferrelative="t" stroked="f" coordsize="21600,21600">
            <v:path/>
            <v:fill on="f" focussize="0,0"/>
            <v:stroke on="f"/>
            <v:imagedata r:id="rId16" o:title=""/>
            <o:lock v:ext="edit" aspectratio="f"/>
            <w10:wrap type="none"/>
            <w10:anchorlock/>
          </v:shape>
          <o:OLEObject Type="Embed" ProgID="Visio.Drawing.15" ShapeID="_x0000_i1025" DrawAspect="Content" ObjectID="_1468075725" r:id="rId15">
            <o:LockedField>false</o:LockedField>
          </o:OLEObject>
        </w:object>
      </w:r>
    </w:p>
    <w:p w14:paraId="15E51A20">
      <w:pPr>
        <w:pStyle w:val="23"/>
        <w:bidi w:val="0"/>
        <w:rPr>
          <w:rFonts w:hint="eastAsia" w:ascii="Times New Roman" w:hAnsi="Times New Roman" w:eastAsia="宋体" w:cs="Times New Roman"/>
          <w:color w:val="000000"/>
          <w:sz w:val="24"/>
          <w:u w:val="none" w:color="auto"/>
          <w:lang w:val="en-US" w:eastAsia="zh-CN"/>
        </w:rPr>
      </w:pPr>
      <w:r>
        <w:rPr>
          <w:rFonts w:hint="eastAsia" w:ascii="Times New Roman" w:hAnsi="Times New Roman" w:eastAsia="宋体" w:cs="Times New Roman"/>
          <w:color w:val="000000"/>
          <w:sz w:val="24"/>
          <w:u w:val="none" w:color="auto"/>
          <w:lang w:val="en-US" w:eastAsia="zh-CN"/>
        </w:rPr>
        <w:t xml:space="preserve">图3.1-1  </w:t>
      </w:r>
      <w:r>
        <w:rPr>
          <w:rFonts w:hint="eastAsia" w:ascii="Times New Roman" w:hAnsi="Times New Roman" w:eastAsia="宋体" w:cs="Times New Roman"/>
          <w:b/>
          <w:bCs/>
          <w:color w:val="000000"/>
          <w:szCs w:val="21"/>
          <w:u w:val="none" w:color="auto"/>
          <w:lang w:val="en-US" w:eastAsia="zh-CN"/>
        </w:rPr>
        <w:t>船舶修理</w:t>
      </w:r>
      <w:r>
        <w:rPr>
          <w:rFonts w:ascii="Times New Roman" w:hAnsi="Times New Roman" w:eastAsia="宋体" w:cs="Times New Roman"/>
          <w:b/>
          <w:bCs/>
          <w:color w:val="000000"/>
          <w:szCs w:val="21"/>
          <w:u w:val="none" w:color="auto"/>
        </w:rPr>
        <w:t>工艺及产污环节</w:t>
      </w:r>
      <w:r>
        <w:rPr>
          <w:rFonts w:hint="eastAsia" w:ascii="Times New Roman" w:hAnsi="Times New Roman" w:eastAsia="宋体" w:cs="Times New Roman"/>
          <w:b/>
          <w:bCs/>
          <w:color w:val="000000"/>
          <w:szCs w:val="21"/>
          <w:u w:val="none" w:color="auto"/>
          <w:lang w:val="en-US" w:eastAsia="zh-CN"/>
        </w:rPr>
        <w:t>图</w:t>
      </w:r>
    </w:p>
    <w:p w14:paraId="601140E6">
      <w:pPr>
        <w:pStyle w:val="21"/>
        <w:rPr>
          <w:rFonts w:hint="eastAsia"/>
          <w:lang w:val="en-US" w:eastAsia="zh-CN"/>
        </w:rPr>
      </w:pPr>
      <w:r>
        <w:rPr>
          <w:rFonts w:hint="eastAsia"/>
          <w:lang w:val="en-US" w:eastAsia="zh-CN"/>
        </w:rPr>
        <w:t>工艺简述：</w:t>
      </w:r>
    </w:p>
    <w:p w14:paraId="1BD31F43">
      <w:pPr>
        <w:pStyle w:val="21"/>
        <w:rPr>
          <w:rFonts w:hint="default"/>
          <w:lang w:val="en-US" w:eastAsia="zh-CN"/>
        </w:rPr>
      </w:pPr>
      <w:r>
        <w:rPr>
          <w:rFonts w:hint="default"/>
          <w:lang w:val="en-US" w:eastAsia="zh-CN"/>
        </w:rPr>
        <w:t>（1）排放仓底废水</w:t>
      </w:r>
    </w:p>
    <w:p w14:paraId="3C710C1B">
      <w:pPr>
        <w:pStyle w:val="21"/>
        <w:rPr>
          <w:rFonts w:hint="default"/>
          <w:lang w:val="en-US" w:eastAsia="zh-CN"/>
        </w:rPr>
      </w:pPr>
      <w:r>
        <w:rPr>
          <w:rFonts w:hint="default"/>
          <w:lang w:val="en-US" w:eastAsia="zh-CN"/>
        </w:rPr>
        <w:t>本项目维修的船舶需经船舶业主按照《船舶水污染物排放控制标准》（GB3552-2018）的要求妥善处置完含油废水、船舶垃圾后，经检查合格后方可上岸。待修船舶靠泊岸边后，利用卷扬机和气囊将船牵引进上岸，进入作业区的船台固定，排放舱底压舱水，舱底压舱水按照《船舶水污染物排放控制标准》（GB3552-2018）的要求，由船舶业主自行收集交由有资质单位处理。本项目不进行船体清洗。</w:t>
      </w:r>
    </w:p>
    <w:p w14:paraId="0B73F705">
      <w:pPr>
        <w:pStyle w:val="21"/>
        <w:rPr>
          <w:rFonts w:hint="default"/>
          <w:lang w:val="en-US" w:eastAsia="zh-CN"/>
        </w:rPr>
      </w:pPr>
      <w:r>
        <w:rPr>
          <w:rFonts w:hint="default"/>
          <w:lang w:val="en-US" w:eastAsia="zh-CN"/>
        </w:rPr>
        <w:t>（2）船体割补焊接</w:t>
      </w:r>
    </w:p>
    <w:p w14:paraId="3FD3BD72">
      <w:pPr>
        <w:pStyle w:val="21"/>
        <w:rPr>
          <w:rFonts w:hint="default"/>
          <w:lang w:val="en-US" w:eastAsia="zh-CN"/>
        </w:rPr>
      </w:pPr>
      <w:r>
        <w:rPr>
          <w:rFonts w:hint="default"/>
          <w:lang w:val="en-US" w:eastAsia="zh-CN"/>
        </w:rPr>
        <w:t>对需要修理的地方进行焊接修补，或切割换块，主要针对船体钢板锈蚀变薄部分。本项目焊接技术采用半自动CO2保护焊、埋弧自动焊等高效焊接技术，提高焊接质量和焊接效率。焊接在室外进行。焊接过程对环境的污染主要是氧割、焊接烟尘（G1）和焊渣（S2），同时，还有更换下来的废钢铁（S1）。</w:t>
      </w:r>
    </w:p>
    <w:p w14:paraId="0D216DE0">
      <w:pPr>
        <w:pStyle w:val="21"/>
        <w:rPr>
          <w:rFonts w:hint="default"/>
          <w:lang w:val="en-US" w:eastAsia="zh-CN"/>
        </w:rPr>
      </w:pPr>
      <w:r>
        <w:rPr>
          <w:rFonts w:hint="default"/>
          <w:lang w:val="en-US" w:eastAsia="zh-CN"/>
        </w:rPr>
        <w:t>（3）人工打磨除锈</w:t>
      </w:r>
    </w:p>
    <w:p w14:paraId="0A3792BB">
      <w:pPr>
        <w:pStyle w:val="21"/>
        <w:rPr>
          <w:rFonts w:hint="default"/>
          <w:lang w:val="en-US" w:eastAsia="zh-CN"/>
        </w:rPr>
      </w:pPr>
      <w:r>
        <w:rPr>
          <w:rFonts w:hint="default"/>
          <w:lang w:val="en-US" w:eastAsia="zh-CN"/>
        </w:rPr>
        <w:t>船舶在航行时将受到潮气、强烈的紫外线和江水的腐蚀，这些不仅对钢板起到剧烈的电化学腐蚀作用，而且对油漆也起着强烈的皂化、老化等破坏作用，而且船舶水线以下部分会有各种生物如水藻、甲壳类动物等繁殖，进一步加大了船舶的锈蚀。因此，为避免船壳穿孔，船舶运行一定时间后需将船壳上铁锈、旧油漆、油污、水生生物等去除，重新涂上防锈防污漆以保证航行安全。</w:t>
      </w:r>
    </w:p>
    <w:p w14:paraId="34FF26CE">
      <w:pPr>
        <w:pStyle w:val="21"/>
        <w:rPr>
          <w:rFonts w:hint="default"/>
          <w:lang w:val="en-US" w:eastAsia="zh-CN"/>
        </w:rPr>
      </w:pPr>
      <w:r>
        <w:rPr>
          <w:rFonts w:hint="default"/>
          <w:lang w:val="en-US" w:eastAsia="zh-CN"/>
        </w:rPr>
        <w:t>本项目采用喷砂打磨除锈。打磨过程中，主要污染物是打磨粉尘（G2）。此外，还存在噪声（N1）。</w:t>
      </w:r>
    </w:p>
    <w:p w14:paraId="600B67CD">
      <w:pPr>
        <w:pStyle w:val="21"/>
        <w:rPr>
          <w:rFonts w:hint="default"/>
          <w:lang w:val="en-US" w:eastAsia="zh-CN"/>
        </w:rPr>
      </w:pPr>
      <w:r>
        <w:rPr>
          <w:rFonts w:hint="default"/>
          <w:lang w:val="en-US" w:eastAsia="zh-CN"/>
        </w:rPr>
        <w:t>（4）刷漆</w:t>
      </w:r>
    </w:p>
    <w:p w14:paraId="2F7B7A4E">
      <w:pPr>
        <w:pStyle w:val="21"/>
        <w:rPr>
          <w:rFonts w:hint="default"/>
          <w:lang w:val="en-US" w:eastAsia="zh-CN"/>
        </w:rPr>
      </w:pPr>
      <w:r>
        <w:rPr>
          <w:rFonts w:hint="default"/>
          <w:lang w:val="en-US" w:eastAsia="zh-CN"/>
        </w:rPr>
        <w:t>修船过程中需要对除锈后的船舶钢板进行涂刷防腐防锈油漆作业，由于本项目修理船舶为内河航行船舶，根据业主提供的刷漆方式为：人工涂刷。项目油漆需涂刷两次，第一次所使用的油漆为L44-81（830-1）型铝粉沥青船底防锈漆，第二次涂刷所使用的油漆为CO3-1铁红醇酸调和漆，为单组分水性漆，直接使用。涂刷采用人工滚刷，沥青漆中无需再添加稀释剂和固化剂。涂刷作业在船台进行。涂刷后涂层油漆自然晾干固化。刷漆工序中产生的废气由刷漆废气（G3）和漆渣（S3）。</w:t>
      </w:r>
    </w:p>
    <w:p w14:paraId="69FE9DC1">
      <w:pPr>
        <w:pStyle w:val="21"/>
        <w:rPr>
          <w:rFonts w:hint="default"/>
          <w:lang w:val="en-US" w:eastAsia="zh-CN"/>
        </w:rPr>
      </w:pPr>
      <w:r>
        <w:rPr>
          <w:rFonts w:hint="default"/>
          <w:lang w:val="en-US" w:eastAsia="zh-CN"/>
        </w:rPr>
        <w:t>（5）出厂</w:t>
      </w:r>
    </w:p>
    <w:p w14:paraId="76E0B740">
      <w:pPr>
        <w:pStyle w:val="21"/>
        <w:rPr>
          <w:rFonts w:hint="default"/>
          <w:lang w:val="en-US" w:eastAsia="zh-CN"/>
        </w:rPr>
      </w:pPr>
      <w:r>
        <w:rPr>
          <w:rFonts w:hint="default"/>
          <w:lang w:val="en-US" w:eastAsia="zh-CN"/>
        </w:rPr>
        <w:t>刷漆完成后，即可出厂交船。</w:t>
      </w:r>
    </w:p>
    <w:p w14:paraId="211AF9CE">
      <w:pPr>
        <w:pStyle w:val="21"/>
        <w:rPr>
          <w:rFonts w:hint="default"/>
          <w:lang w:val="en-US" w:eastAsia="zh-CN"/>
        </w:rPr>
      </w:pPr>
    </w:p>
    <w:p w14:paraId="3C371781">
      <w:pPr>
        <w:pStyle w:val="21"/>
        <w:rPr>
          <w:rFonts w:hint="default"/>
          <w:lang w:val="en-US" w:eastAsia="zh-CN"/>
        </w:rPr>
      </w:pPr>
    </w:p>
    <w:p w14:paraId="65BE0774">
      <w:pPr>
        <w:pStyle w:val="21"/>
        <w:rPr>
          <w:rFonts w:hint="default"/>
          <w:lang w:val="en-US" w:eastAsia="zh-CN"/>
        </w:rPr>
      </w:pPr>
    </w:p>
    <w:p w14:paraId="6E83D5CC">
      <w:pPr>
        <w:pStyle w:val="23"/>
        <w:bidi w:val="0"/>
        <w:rPr>
          <w:rFonts w:hint="eastAsia"/>
          <w:lang w:val="en-US" w:eastAsia="zh-CN"/>
        </w:rPr>
      </w:pPr>
      <w:r>
        <w:rPr>
          <w:rFonts w:hint="eastAsia"/>
          <w:lang w:val="en-US" w:eastAsia="zh-CN"/>
        </w:rPr>
        <w:t>表3.1-7  现有工程产污环节汇总</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731"/>
        <w:gridCol w:w="1420"/>
        <w:gridCol w:w="1108"/>
        <w:gridCol w:w="2170"/>
        <w:gridCol w:w="2400"/>
      </w:tblGrid>
      <w:tr w14:paraId="424ED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7" w:type="pct"/>
            <w:gridSpan w:val="3"/>
            <w:tcBorders>
              <w:tl2br w:val="nil"/>
              <w:tr2bl w:val="nil"/>
            </w:tcBorders>
            <w:noWrap w:val="0"/>
            <w:vAlign w:val="center"/>
          </w:tcPr>
          <w:p w14:paraId="0B88AC62">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污染类别</w:t>
            </w:r>
          </w:p>
        </w:tc>
        <w:tc>
          <w:tcPr>
            <w:tcW w:w="1923" w:type="pct"/>
            <w:gridSpan w:val="2"/>
            <w:tcBorders>
              <w:tl2br w:val="nil"/>
              <w:tr2bl w:val="nil"/>
            </w:tcBorders>
            <w:noWrap w:val="0"/>
            <w:vAlign w:val="center"/>
          </w:tcPr>
          <w:p w14:paraId="1F038AF0">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产污环节</w:t>
            </w:r>
          </w:p>
        </w:tc>
        <w:tc>
          <w:tcPr>
            <w:tcW w:w="1408" w:type="pct"/>
            <w:tcBorders>
              <w:tl2br w:val="nil"/>
              <w:tr2bl w:val="nil"/>
            </w:tcBorders>
            <w:noWrap w:val="0"/>
            <w:vAlign w:val="center"/>
          </w:tcPr>
          <w:p w14:paraId="207F47CB">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主要污染物</w:t>
            </w:r>
          </w:p>
        </w:tc>
      </w:tr>
      <w:tr w14:paraId="72ED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restart"/>
            <w:tcBorders>
              <w:tl2br w:val="nil"/>
              <w:tr2bl w:val="nil"/>
            </w:tcBorders>
            <w:noWrap w:val="0"/>
            <w:vAlign w:val="center"/>
          </w:tcPr>
          <w:p w14:paraId="1A99E41D">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船舶修理</w:t>
            </w:r>
          </w:p>
        </w:tc>
        <w:tc>
          <w:tcPr>
            <w:tcW w:w="429" w:type="pct"/>
            <w:vMerge w:val="restart"/>
            <w:tcBorders>
              <w:tl2br w:val="nil"/>
              <w:tr2bl w:val="nil"/>
            </w:tcBorders>
            <w:noWrap w:val="0"/>
            <w:vAlign w:val="center"/>
          </w:tcPr>
          <w:p w14:paraId="3346FF05">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大气污染物</w:t>
            </w:r>
          </w:p>
        </w:tc>
        <w:tc>
          <w:tcPr>
            <w:tcW w:w="832" w:type="pct"/>
            <w:vMerge w:val="restart"/>
            <w:tcBorders>
              <w:tl2br w:val="nil"/>
              <w:tr2bl w:val="nil"/>
            </w:tcBorders>
            <w:noWrap w:val="0"/>
            <w:vAlign w:val="center"/>
          </w:tcPr>
          <w:p w14:paraId="654EDCF4">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工艺废气</w:t>
            </w:r>
          </w:p>
        </w:tc>
        <w:tc>
          <w:tcPr>
            <w:tcW w:w="650" w:type="pct"/>
            <w:tcBorders>
              <w:tl2br w:val="nil"/>
              <w:tr2bl w:val="nil"/>
            </w:tcBorders>
            <w:noWrap w:val="0"/>
            <w:vAlign w:val="center"/>
          </w:tcPr>
          <w:p w14:paraId="45AF802F">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G1</w:t>
            </w:r>
          </w:p>
        </w:tc>
        <w:tc>
          <w:tcPr>
            <w:tcW w:w="1273" w:type="pct"/>
            <w:tcBorders>
              <w:tl2br w:val="nil"/>
              <w:tr2bl w:val="nil"/>
            </w:tcBorders>
            <w:noWrap w:val="0"/>
            <w:vAlign w:val="center"/>
          </w:tcPr>
          <w:p w14:paraId="670B1784">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切割换块、焊接修补</w:t>
            </w:r>
          </w:p>
        </w:tc>
        <w:tc>
          <w:tcPr>
            <w:tcW w:w="1408" w:type="pct"/>
            <w:tcBorders>
              <w:tl2br w:val="nil"/>
              <w:tr2bl w:val="nil"/>
            </w:tcBorders>
            <w:noWrap w:val="0"/>
            <w:vAlign w:val="center"/>
          </w:tcPr>
          <w:p w14:paraId="6042B286">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氧割、焊接烟尘</w:t>
            </w:r>
          </w:p>
        </w:tc>
      </w:tr>
      <w:tr w14:paraId="64A1F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355945EA">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61225ECF">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2ADF0A24">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62F9A018">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G2</w:t>
            </w:r>
          </w:p>
        </w:tc>
        <w:tc>
          <w:tcPr>
            <w:tcW w:w="1273" w:type="pct"/>
            <w:tcBorders>
              <w:tl2br w:val="nil"/>
              <w:tr2bl w:val="nil"/>
            </w:tcBorders>
            <w:noWrap w:val="0"/>
            <w:vAlign w:val="center"/>
          </w:tcPr>
          <w:p w14:paraId="6C55C021">
            <w:pPr>
              <w:jc w:val="center"/>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lang w:val="en-US" w:eastAsia="zh-CN"/>
              </w:rPr>
              <w:t>喷砂</w:t>
            </w:r>
            <w:r>
              <w:rPr>
                <w:rFonts w:ascii="Times New Roman" w:hAnsi="Times New Roman" w:eastAsia="宋体" w:cs="Times New Roman"/>
                <w:color w:val="000000"/>
                <w:szCs w:val="21"/>
                <w:u w:val="none" w:color="auto"/>
              </w:rPr>
              <w:t>除锈</w:t>
            </w:r>
          </w:p>
        </w:tc>
        <w:tc>
          <w:tcPr>
            <w:tcW w:w="1408" w:type="pct"/>
            <w:tcBorders>
              <w:tl2br w:val="nil"/>
              <w:tr2bl w:val="nil"/>
            </w:tcBorders>
            <w:noWrap w:val="0"/>
            <w:vAlign w:val="center"/>
          </w:tcPr>
          <w:p w14:paraId="7662EC62">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粉尘</w:t>
            </w:r>
          </w:p>
        </w:tc>
      </w:tr>
      <w:tr w14:paraId="484D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39F96605">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2F75DFB6">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3347774E">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3BCB81E9">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G3</w:t>
            </w:r>
          </w:p>
        </w:tc>
        <w:tc>
          <w:tcPr>
            <w:tcW w:w="1273" w:type="pct"/>
            <w:tcBorders>
              <w:tl2br w:val="nil"/>
              <w:tr2bl w:val="nil"/>
            </w:tcBorders>
            <w:noWrap w:val="0"/>
            <w:vAlign w:val="center"/>
          </w:tcPr>
          <w:p w14:paraId="2EAAC2E5">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刷漆防腐</w:t>
            </w:r>
          </w:p>
        </w:tc>
        <w:tc>
          <w:tcPr>
            <w:tcW w:w="1408" w:type="pct"/>
            <w:tcBorders>
              <w:tl2br w:val="nil"/>
              <w:tr2bl w:val="nil"/>
            </w:tcBorders>
            <w:noWrap w:val="0"/>
            <w:vAlign w:val="center"/>
          </w:tcPr>
          <w:p w14:paraId="77FC5788">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刷漆废气</w:t>
            </w:r>
          </w:p>
        </w:tc>
      </w:tr>
      <w:tr w14:paraId="2A6B2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4894AE3B">
            <w:pPr>
              <w:jc w:val="center"/>
              <w:rPr>
                <w:rFonts w:ascii="Times New Roman" w:hAnsi="Times New Roman" w:eastAsia="宋体" w:cs="Times New Roman"/>
                <w:color w:val="000000"/>
                <w:szCs w:val="21"/>
                <w:u w:val="none" w:color="auto"/>
              </w:rPr>
            </w:pPr>
          </w:p>
        </w:tc>
        <w:tc>
          <w:tcPr>
            <w:tcW w:w="429" w:type="pct"/>
            <w:tcBorders>
              <w:tl2br w:val="nil"/>
              <w:tr2bl w:val="nil"/>
            </w:tcBorders>
            <w:noWrap w:val="0"/>
            <w:vAlign w:val="center"/>
          </w:tcPr>
          <w:p w14:paraId="7D108120">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水污染物</w:t>
            </w:r>
          </w:p>
        </w:tc>
        <w:tc>
          <w:tcPr>
            <w:tcW w:w="832" w:type="pct"/>
            <w:tcBorders>
              <w:tl2br w:val="nil"/>
              <w:tr2bl w:val="nil"/>
            </w:tcBorders>
            <w:noWrap w:val="0"/>
            <w:vAlign w:val="center"/>
          </w:tcPr>
          <w:p w14:paraId="323BF924">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生产废水</w:t>
            </w:r>
          </w:p>
        </w:tc>
        <w:tc>
          <w:tcPr>
            <w:tcW w:w="650" w:type="pct"/>
            <w:tcBorders>
              <w:tl2br w:val="nil"/>
              <w:tr2bl w:val="nil"/>
            </w:tcBorders>
            <w:noWrap w:val="0"/>
            <w:vAlign w:val="center"/>
          </w:tcPr>
          <w:p w14:paraId="245BCDBB">
            <w:pPr>
              <w:jc w:val="center"/>
              <w:rPr>
                <w:rFonts w:hint="eastAsia" w:ascii="Times New Roman" w:hAnsi="Times New Roman" w:eastAsia="宋体" w:cs="Times New Roman"/>
                <w:color w:val="000000"/>
                <w:szCs w:val="21"/>
                <w:u w:val="none" w:color="auto"/>
                <w:lang w:eastAsia="zh-CN"/>
              </w:rPr>
            </w:pPr>
            <w:r>
              <w:rPr>
                <w:rFonts w:ascii="Times New Roman" w:hAnsi="Times New Roman" w:eastAsia="宋体" w:cs="Times New Roman"/>
                <w:color w:val="000000"/>
                <w:szCs w:val="21"/>
                <w:u w:val="none" w:color="auto"/>
              </w:rPr>
              <w:t>W</w:t>
            </w:r>
            <w:r>
              <w:rPr>
                <w:rFonts w:hint="eastAsia" w:ascii="Times New Roman" w:hAnsi="Times New Roman" w:eastAsia="宋体" w:cs="Times New Roman"/>
                <w:color w:val="000000"/>
                <w:szCs w:val="21"/>
                <w:u w:val="none" w:color="auto"/>
                <w:lang w:val="en-US" w:eastAsia="zh-CN"/>
              </w:rPr>
              <w:t>1</w:t>
            </w:r>
          </w:p>
        </w:tc>
        <w:tc>
          <w:tcPr>
            <w:tcW w:w="1273" w:type="pct"/>
            <w:tcBorders>
              <w:tl2br w:val="nil"/>
              <w:tr2bl w:val="nil"/>
            </w:tcBorders>
            <w:noWrap w:val="0"/>
            <w:vAlign w:val="center"/>
          </w:tcPr>
          <w:p w14:paraId="1B2BF58D">
            <w:pPr>
              <w:jc w:val="center"/>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舱底废水</w:t>
            </w:r>
          </w:p>
        </w:tc>
        <w:tc>
          <w:tcPr>
            <w:tcW w:w="1408" w:type="pct"/>
            <w:tcBorders>
              <w:tl2br w:val="nil"/>
              <w:tr2bl w:val="nil"/>
            </w:tcBorders>
            <w:noWrap w:val="0"/>
            <w:vAlign w:val="center"/>
          </w:tcPr>
          <w:p w14:paraId="726458B4">
            <w:pPr>
              <w:jc w:val="center"/>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SS</w:t>
            </w:r>
          </w:p>
        </w:tc>
      </w:tr>
      <w:tr w14:paraId="1040D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031E9439">
            <w:pPr>
              <w:jc w:val="center"/>
              <w:rPr>
                <w:rFonts w:ascii="Times New Roman" w:hAnsi="Times New Roman" w:eastAsia="宋体" w:cs="Times New Roman"/>
                <w:color w:val="000000"/>
                <w:szCs w:val="21"/>
                <w:u w:val="none" w:color="auto"/>
              </w:rPr>
            </w:pPr>
          </w:p>
        </w:tc>
        <w:tc>
          <w:tcPr>
            <w:tcW w:w="429" w:type="pct"/>
            <w:vMerge w:val="restart"/>
            <w:tcBorders>
              <w:tl2br w:val="nil"/>
              <w:tr2bl w:val="nil"/>
            </w:tcBorders>
            <w:noWrap w:val="0"/>
            <w:vAlign w:val="center"/>
          </w:tcPr>
          <w:p w14:paraId="1EBC6E7A">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固体废物</w:t>
            </w:r>
          </w:p>
        </w:tc>
        <w:tc>
          <w:tcPr>
            <w:tcW w:w="832" w:type="pct"/>
            <w:vMerge w:val="restart"/>
            <w:tcBorders>
              <w:tl2br w:val="nil"/>
              <w:tr2bl w:val="nil"/>
            </w:tcBorders>
            <w:noWrap w:val="0"/>
            <w:vAlign w:val="center"/>
          </w:tcPr>
          <w:p w14:paraId="45388BB7">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一般工业固废</w:t>
            </w:r>
          </w:p>
        </w:tc>
        <w:tc>
          <w:tcPr>
            <w:tcW w:w="650" w:type="pct"/>
            <w:tcBorders>
              <w:tl2br w:val="nil"/>
              <w:tr2bl w:val="nil"/>
            </w:tcBorders>
            <w:noWrap w:val="0"/>
            <w:vAlign w:val="center"/>
          </w:tcPr>
          <w:p w14:paraId="30B0E2E7">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S1</w:t>
            </w:r>
          </w:p>
        </w:tc>
        <w:tc>
          <w:tcPr>
            <w:tcW w:w="1273" w:type="pct"/>
            <w:tcBorders>
              <w:tl2br w:val="nil"/>
              <w:tr2bl w:val="nil"/>
            </w:tcBorders>
            <w:noWrap w:val="0"/>
            <w:vAlign w:val="center"/>
          </w:tcPr>
          <w:p w14:paraId="384E5DA3">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切割换块</w:t>
            </w:r>
          </w:p>
        </w:tc>
        <w:tc>
          <w:tcPr>
            <w:tcW w:w="1408" w:type="pct"/>
            <w:tcBorders>
              <w:tl2br w:val="nil"/>
              <w:tr2bl w:val="nil"/>
            </w:tcBorders>
            <w:noWrap w:val="0"/>
            <w:vAlign w:val="center"/>
          </w:tcPr>
          <w:p w14:paraId="15E66107">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切割工序废钢铁</w:t>
            </w:r>
          </w:p>
        </w:tc>
      </w:tr>
      <w:tr w14:paraId="5F43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24904794">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00B29D08">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1A65245F">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0AA5FB90">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S2</w:t>
            </w:r>
          </w:p>
        </w:tc>
        <w:tc>
          <w:tcPr>
            <w:tcW w:w="1273" w:type="pct"/>
            <w:tcBorders>
              <w:tl2br w:val="nil"/>
              <w:tr2bl w:val="nil"/>
            </w:tcBorders>
            <w:noWrap w:val="0"/>
            <w:vAlign w:val="center"/>
          </w:tcPr>
          <w:p w14:paraId="7B9C39C3">
            <w:pPr>
              <w:jc w:val="center"/>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rPr>
              <w:t>切割、</w:t>
            </w:r>
            <w:r>
              <w:rPr>
                <w:rFonts w:ascii="Times New Roman" w:hAnsi="Times New Roman" w:eastAsia="宋体" w:cs="Times New Roman"/>
                <w:color w:val="000000"/>
                <w:szCs w:val="21"/>
                <w:u w:val="none" w:color="auto"/>
              </w:rPr>
              <w:t>焊接修补</w:t>
            </w:r>
          </w:p>
        </w:tc>
        <w:tc>
          <w:tcPr>
            <w:tcW w:w="1408" w:type="pct"/>
            <w:tcBorders>
              <w:tl2br w:val="nil"/>
              <w:tr2bl w:val="nil"/>
            </w:tcBorders>
            <w:noWrap w:val="0"/>
            <w:vAlign w:val="center"/>
          </w:tcPr>
          <w:p w14:paraId="6376B96E">
            <w:pPr>
              <w:jc w:val="center"/>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收尘灰</w:t>
            </w:r>
          </w:p>
        </w:tc>
      </w:tr>
      <w:tr w14:paraId="1D966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03DF86C7">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1AA01D5D">
            <w:pPr>
              <w:jc w:val="center"/>
              <w:rPr>
                <w:rFonts w:ascii="Times New Roman" w:hAnsi="Times New Roman" w:eastAsia="宋体" w:cs="Times New Roman"/>
                <w:color w:val="000000"/>
                <w:szCs w:val="21"/>
                <w:u w:val="none" w:color="auto"/>
              </w:rPr>
            </w:pPr>
          </w:p>
        </w:tc>
        <w:tc>
          <w:tcPr>
            <w:tcW w:w="832" w:type="pct"/>
            <w:vMerge w:val="restart"/>
            <w:tcBorders>
              <w:tl2br w:val="nil"/>
              <w:tr2bl w:val="nil"/>
            </w:tcBorders>
            <w:noWrap w:val="0"/>
            <w:vAlign w:val="center"/>
          </w:tcPr>
          <w:p w14:paraId="41CC447C">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危险废物</w:t>
            </w:r>
          </w:p>
        </w:tc>
        <w:tc>
          <w:tcPr>
            <w:tcW w:w="650" w:type="pct"/>
            <w:tcBorders>
              <w:tl2br w:val="nil"/>
              <w:tr2bl w:val="nil"/>
            </w:tcBorders>
            <w:noWrap w:val="0"/>
            <w:vAlign w:val="center"/>
          </w:tcPr>
          <w:p w14:paraId="54D7E03B">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S3</w:t>
            </w:r>
          </w:p>
        </w:tc>
        <w:tc>
          <w:tcPr>
            <w:tcW w:w="1273" w:type="pct"/>
            <w:vMerge w:val="restart"/>
            <w:tcBorders>
              <w:tl2br w:val="nil"/>
              <w:tr2bl w:val="nil"/>
            </w:tcBorders>
            <w:noWrap w:val="0"/>
            <w:vAlign w:val="center"/>
          </w:tcPr>
          <w:p w14:paraId="0A621A9F">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刷漆</w:t>
            </w:r>
          </w:p>
        </w:tc>
        <w:tc>
          <w:tcPr>
            <w:tcW w:w="1408" w:type="pct"/>
            <w:tcBorders>
              <w:tl2br w:val="nil"/>
              <w:tr2bl w:val="nil"/>
            </w:tcBorders>
            <w:noWrap w:val="0"/>
            <w:vAlign w:val="center"/>
          </w:tcPr>
          <w:p w14:paraId="1544F8AE">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刷漆过程废漆渣</w:t>
            </w:r>
          </w:p>
        </w:tc>
      </w:tr>
      <w:tr w14:paraId="13CC6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20A1CB4E">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3443AF70">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67DD7E25">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7099B397">
            <w:pPr>
              <w:jc w:val="center"/>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rPr>
              <w:t>S4</w:t>
            </w:r>
          </w:p>
        </w:tc>
        <w:tc>
          <w:tcPr>
            <w:tcW w:w="1273" w:type="pct"/>
            <w:vMerge w:val="continue"/>
            <w:tcBorders>
              <w:tl2br w:val="nil"/>
              <w:tr2bl w:val="nil"/>
            </w:tcBorders>
            <w:noWrap w:val="0"/>
            <w:vAlign w:val="center"/>
          </w:tcPr>
          <w:p w14:paraId="3914A10C">
            <w:pPr>
              <w:jc w:val="center"/>
              <w:rPr>
                <w:rFonts w:ascii="Times New Roman" w:hAnsi="Times New Roman" w:eastAsia="宋体" w:cs="Times New Roman"/>
                <w:color w:val="000000"/>
                <w:szCs w:val="21"/>
                <w:u w:val="none" w:color="auto"/>
              </w:rPr>
            </w:pPr>
          </w:p>
        </w:tc>
        <w:tc>
          <w:tcPr>
            <w:tcW w:w="1408" w:type="pct"/>
            <w:tcBorders>
              <w:tl2br w:val="nil"/>
              <w:tr2bl w:val="nil"/>
            </w:tcBorders>
            <w:noWrap w:val="0"/>
            <w:vAlign w:val="center"/>
          </w:tcPr>
          <w:p w14:paraId="604BE64D">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油漆空桶</w:t>
            </w:r>
          </w:p>
        </w:tc>
      </w:tr>
      <w:tr w14:paraId="5E40F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4C4AFA6D">
            <w:pPr>
              <w:jc w:val="center"/>
              <w:rPr>
                <w:rFonts w:ascii="Times New Roman" w:hAnsi="Times New Roman" w:eastAsia="宋体" w:cs="Times New Roman"/>
                <w:color w:val="000000"/>
                <w:szCs w:val="21"/>
                <w:u w:val="none" w:color="auto"/>
              </w:rPr>
            </w:pPr>
          </w:p>
        </w:tc>
        <w:tc>
          <w:tcPr>
            <w:tcW w:w="429" w:type="pct"/>
            <w:vMerge w:val="restart"/>
            <w:tcBorders>
              <w:tl2br w:val="nil"/>
              <w:tr2bl w:val="nil"/>
            </w:tcBorders>
            <w:noWrap w:val="0"/>
            <w:vAlign w:val="center"/>
          </w:tcPr>
          <w:p w14:paraId="6058C5F8">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噪声</w:t>
            </w:r>
          </w:p>
        </w:tc>
        <w:tc>
          <w:tcPr>
            <w:tcW w:w="832" w:type="pct"/>
            <w:vMerge w:val="restart"/>
            <w:tcBorders>
              <w:tl2br w:val="nil"/>
              <w:tr2bl w:val="nil"/>
            </w:tcBorders>
            <w:noWrap w:val="0"/>
            <w:vAlign w:val="center"/>
          </w:tcPr>
          <w:p w14:paraId="39453960">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噪声</w:t>
            </w:r>
          </w:p>
        </w:tc>
        <w:tc>
          <w:tcPr>
            <w:tcW w:w="650" w:type="pct"/>
            <w:tcBorders>
              <w:tl2br w:val="nil"/>
              <w:tr2bl w:val="nil"/>
            </w:tcBorders>
            <w:noWrap w:val="0"/>
            <w:vAlign w:val="center"/>
          </w:tcPr>
          <w:p w14:paraId="17EA5A1C">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N1</w:t>
            </w:r>
          </w:p>
        </w:tc>
        <w:tc>
          <w:tcPr>
            <w:tcW w:w="1273" w:type="pct"/>
            <w:tcBorders>
              <w:tl2br w:val="nil"/>
              <w:tr2bl w:val="nil"/>
            </w:tcBorders>
            <w:noWrap w:val="0"/>
            <w:vAlign w:val="center"/>
          </w:tcPr>
          <w:p w14:paraId="1A9CFD89">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除锈工序</w:t>
            </w:r>
          </w:p>
        </w:tc>
        <w:tc>
          <w:tcPr>
            <w:tcW w:w="1408" w:type="pct"/>
            <w:tcBorders>
              <w:tl2br w:val="nil"/>
              <w:tr2bl w:val="nil"/>
            </w:tcBorders>
            <w:noWrap w:val="0"/>
            <w:vAlign w:val="center"/>
          </w:tcPr>
          <w:p w14:paraId="2CA64D81">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源强85~95</w:t>
            </w:r>
            <w:r>
              <w:rPr>
                <w:rFonts w:ascii="Times New Roman" w:hAnsi="Times New Roman" w:eastAsia="宋体" w:cs="Times New Roman"/>
                <w:color w:val="000000"/>
                <w:u w:val="none" w:color="auto"/>
              </w:rPr>
              <w:t>（dB（A））</w:t>
            </w:r>
          </w:p>
        </w:tc>
      </w:tr>
      <w:tr w14:paraId="1F481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674D0A1D">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7F0D96B4">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555B338B">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68D00E9E">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N2</w:t>
            </w:r>
          </w:p>
        </w:tc>
        <w:tc>
          <w:tcPr>
            <w:tcW w:w="1273" w:type="pct"/>
            <w:tcBorders>
              <w:tl2br w:val="nil"/>
              <w:tr2bl w:val="nil"/>
            </w:tcBorders>
            <w:noWrap w:val="0"/>
            <w:vAlign w:val="center"/>
          </w:tcPr>
          <w:p w14:paraId="5EDE1464">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全厂机械设备运行</w:t>
            </w:r>
          </w:p>
        </w:tc>
        <w:tc>
          <w:tcPr>
            <w:tcW w:w="1408" w:type="pct"/>
            <w:tcBorders>
              <w:tl2br w:val="nil"/>
              <w:tr2bl w:val="nil"/>
            </w:tcBorders>
            <w:noWrap w:val="0"/>
            <w:vAlign w:val="center"/>
          </w:tcPr>
          <w:p w14:paraId="33531F41">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u w:val="none" w:color="auto"/>
              </w:rPr>
              <w:t>源强90～95（dB（A））</w:t>
            </w:r>
          </w:p>
        </w:tc>
      </w:tr>
      <w:tr w14:paraId="3CCA2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restart"/>
            <w:tcBorders>
              <w:tl2br w:val="nil"/>
              <w:tr2bl w:val="nil"/>
            </w:tcBorders>
            <w:noWrap w:val="0"/>
            <w:vAlign w:val="center"/>
          </w:tcPr>
          <w:p w14:paraId="3864864B">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公用工程</w:t>
            </w:r>
          </w:p>
        </w:tc>
        <w:tc>
          <w:tcPr>
            <w:tcW w:w="429" w:type="pct"/>
            <w:vMerge w:val="restart"/>
            <w:tcBorders>
              <w:tl2br w:val="nil"/>
              <w:tr2bl w:val="nil"/>
            </w:tcBorders>
            <w:noWrap w:val="0"/>
            <w:vAlign w:val="center"/>
          </w:tcPr>
          <w:p w14:paraId="27006991">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水污染物</w:t>
            </w:r>
          </w:p>
        </w:tc>
        <w:tc>
          <w:tcPr>
            <w:tcW w:w="832" w:type="pct"/>
            <w:tcBorders>
              <w:tl2br w:val="nil"/>
              <w:tr2bl w:val="nil"/>
            </w:tcBorders>
            <w:noWrap w:val="0"/>
            <w:vAlign w:val="center"/>
          </w:tcPr>
          <w:p w14:paraId="0B41B0B2">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生活污水</w:t>
            </w:r>
          </w:p>
        </w:tc>
        <w:tc>
          <w:tcPr>
            <w:tcW w:w="650" w:type="pct"/>
            <w:tcBorders>
              <w:tl2br w:val="nil"/>
              <w:tr2bl w:val="nil"/>
            </w:tcBorders>
            <w:noWrap w:val="0"/>
            <w:vAlign w:val="center"/>
          </w:tcPr>
          <w:p w14:paraId="04AA3C87">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W</w:t>
            </w:r>
            <w:r>
              <w:rPr>
                <w:rFonts w:hint="eastAsia" w:ascii="Times New Roman" w:hAnsi="Times New Roman" w:eastAsia="宋体" w:cs="Times New Roman"/>
                <w:color w:val="000000"/>
                <w:szCs w:val="21"/>
                <w:u w:val="none" w:color="auto"/>
                <w:lang w:val="en-US" w:eastAsia="zh-CN"/>
              </w:rPr>
              <w:t>2</w:t>
            </w:r>
          </w:p>
        </w:tc>
        <w:tc>
          <w:tcPr>
            <w:tcW w:w="1273" w:type="pct"/>
            <w:tcBorders>
              <w:tl2br w:val="nil"/>
              <w:tr2bl w:val="nil"/>
            </w:tcBorders>
            <w:noWrap w:val="0"/>
            <w:vAlign w:val="center"/>
          </w:tcPr>
          <w:p w14:paraId="04B98323">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职工生活</w:t>
            </w:r>
          </w:p>
        </w:tc>
        <w:tc>
          <w:tcPr>
            <w:tcW w:w="1408" w:type="pct"/>
            <w:tcBorders>
              <w:tl2br w:val="nil"/>
              <w:tr2bl w:val="nil"/>
            </w:tcBorders>
            <w:noWrap w:val="0"/>
            <w:vAlign w:val="center"/>
          </w:tcPr>
          <w:p w14:paraId="2FB8D5F2">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COD、SS、氨氮</w:t>
            </w:r>
          </w:p>
        </w:tc>
      </w:tr>
      <w:tr w14:paraId="568D6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33021F91">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31DC5EEA">
            <w:pPr>
              <w:jc w:val="center"/>
              <w:rPr>
                <w:rFonts w:ascii="Times New Roman" w:hAnsi="Times New Roman" w:eastAsia="宋体" w:cs="Times New Roman"/>
                <w:color w:val="000000"/>
                <w:szCs w:val="21"/>
                <w:u w:val="none" w:color="auto"/>
              </w:rPr>
            </w:pPr>
          </w:p>
        </w:tc>
        <w:tc>
          <w:tcPr>
            <w:tcW w:w="832" w:type="pct"/>
            <w:tcBorders>
              <w:tl2br w:val="nil"/>
              <w:tr2bl w:val="nil"/>
            </w:tcBorders>
            <w:noWrap w:val="0"/>
            <w:vAlign w:val="center"/>
          </w:tcPr>
          <w:p w14:paraId="62A5B155">
            <w:pPr>
              <w:jc w:val="center"/>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初期雨水</w:t>
            </w:r>
          </w:p>
        </w:tc>
        <w:tc>
          <w:tcPr>
            <w:tcW w:w="650" w:type="pct"/>
            <w:tcBorders>
              <w:tl2br w:val="nil"/>
              <w:tr2bl w:val="nil"/>
            </w:tcBorders>
            <w:noWrap w:val="0"/>
            <w:vAlign w:val="center"/>
          </w:tcPr>
          <w:p w14:paraId="49677B6F">
            <w:pPr>
              <w:jc w:val="center"/>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W3</w:t>
            </w:r>
          </w:p>
        </w:tc>
        <w:tc>
          <w:tcPr>
            <w:tcW w:w="1273" w:type="pct"/>
            <w:tcBorders>
              <w:tl2br w:val="nil"/>
              <w:tr2bl w:val="nil"/>
            </w:tcBorders>
            <w:noWrap w:val="0"/>
            <w:vAlign w:val="center"/>
          </w:tcPr>
          <w:p w14:paraId="57E9C5C4">
            <w:pPr>
              <w:jc w:val="center"/>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全厂</w:t>
            </w:r>
          </w:p>
        </w:tc>
        <w:tc>
          <w:tcPr>
            <w:tcW w:w="1408" w:type="pct"/>
            <w:tcBorders>
              <w:tl2br w:val="nil"/>
              <w:tr2bl w:val="nil"/>
            </w:tcBorders>
            <w:noWrap w:val="0"/>
            <w:vAlign w:val="center"/>
          </w:tcPr>
          <w:p w14:paraId="40208B9F">
            <w:pPr>
              <w:jc w:val="center"/>
              <w:rPr>
                <w:rFonts w:hint="eastAsia" w:ascii="Times New Roman" w:hAnsi="Times New Roman" w:eastAsia="宋体" w:cs="Times New Roman"/>
                <w:color w:val="000000"/>
                <w:szCs w:val="21"/>
                <w:u w:val="none" w:color="auto"/>
                <w:lang w:val="en-US" w:eastAsia="zh-CN"/>
              </w:rPr>
            </w:pPr>
            <w:r>
              <w:rPr>
                <w:rFonts w:ascii="Times New Roman" w:hAnsi="Times New Roman" w:eastAsia="宋体" w:cs="Times New Roman"/>
                <w:color w:val="000000"/>
                <w:szCs w:val="21"/>
                <w:u w:val="none" w:color="auto"/>
              </w:rPr>
              <w:t>SS、</w:t>
            </w:r>
            <w:r>
              <w:rPr>
                <w:rFonts w:hint="eastAsia" w:ascii="Times New Roman" w:hAnsi="Times New Roman" w:eastAsia="宋体" w:cs="Times New Roman"/>
                <w:color w:val="000000"/>
                <w:szCs w:val="21"/>
                <w:u w:val="none" w:color="auto"/>
                <w:lang w:val="en-US" w:eastAsia="zh-CN"/>
              </w:rPr>
              <w:t>石油类</w:t>
            </w:r>
          </w:p>
        </w:tc>
      </w:tr>
      <w:tr w14:paraId="6F6E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437032F3">
            <w:pPr>
              <w:jc w:val="center"/>
              <w:rPr>
                <w:rFonts w:ascii="Times New Roman" w:hAnsi="Times New Roman" w:eastAsia="宋体" w:cs="Times New Roman"/>
                <w:color w:val="000000"/>
                <w:szCs w:val="21"/>
                <w:u w:val="none" w:color="auto"/>
              </w:rPr>
            </w:pPr>
          </w:p>
        </w:tc>
        <w:tc>
          <w:tcPr>
            <w:tcW w:w="429" w:type="pct"/>
            <w:vMerge w:val="restart"/>
            <w:tcBorders>
              <w:tl2br w:val="nil"/>
              <w:tr2bl w:val="nil"/>
            </w:tcBorders>
            <w:noWrap w:val="0"/>
            <w:vAlign w:val="center"/>
          </w:tcPr>
          <w:p w14:paraId="0875873B">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固体废物</w:t>
            </w:r>
          </w:p>
        </w:tc>
        <w:tc>
          <w:tcPr>
            <w:tcW w:w="832" w:type="pct"/>
            <w:vMerge w:val="restart"/>
            <w:tcBorders>
              <w:tl2br w:val="nil"/>
              <w:tr2bl w:val="nil"/>
            </w:tcBorders>
            <w:noWrap w:val="0"/>
            <w:vAlign w:val="center"/>
          </w:tcPr>
          <w:p w14:paraId="06178205">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一般固废</w:t>
            </w:r>
          </w:p>
        </w:tc>
        <w:tc>
          <w:tcPr>
            <w:tcW w:w="650" w:type="pct"/>
            <w:tcBorders>
              <w:tl2br w:val="nil"/>
              <w:tr2bl w:val="nil"/>
            </w:tcBorders>
            <w:noWrap w:val="0"/>
            <w:vAlign w:val="center"/>
          </w:tcPr>
          <w:p w14:paraId="41B5A110">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S</w:t>
            </w:r>
            <w:r>
              <w:rPr>
                <w:rFonts w:hint="eastAsia" w:ascii="Times New Roman" w:hAnsi="Times New Roman" w:eastAsia="宋体" w:cs="Times New Roman"/>
                <w:color w:val="000000"/>
                <w:szCs w:val="21"/>
                <w:u w:val="none" w:color="auto"/>
              </w:rPr>
              <w:t>5</w:t>
            </w:r>
          </w:p>
        </w:tc>
        <w:tc>
          <w:tcPr>
            <w:tcW w:w="1273" w:type="pct"/>
            <w:tcBorders>
              <w:tl2br w:val="nil"/>
              <w:tr2bl w:val="nil"/>
            </w:tcBorders>
            <w:noWrap w:val="0"/>
            <w:vAlign w:val="center"/>
          </w:tcPr>
          <w:p w14:paraId="0CC0E8EA">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职工生活</w:t>
            </w:r>
          </w:p>
        </w:tc>
        <w:tc>
          <w:tcPr>
            <w:tcW w:w="1408" w:type="pct"/>
            <w:tcBorders>
              <w:tl2br w:val="nil"/>
              <w:tr2bl w:val="nil"/>
            </w:tcBorders>
            <w:noWrap w:val="0"/>
            <w:vAlign w:val="center"/>
          </w:tcPr>
          <w:p w14:paraId="394993E9">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生活垃圾</w:t>
            </w:r>
          </w:p>
        </w:tc>
      </w:tr>
      <w:tr w14:paraId="661A8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405" w:type="pct"/>
            <w:vMerge w:val="continue"/>
            <w:tcBorders>
              <w:tl2br w:val="nil"/>
              <w:tr2bl w:val="nil"/>
            </w:tcBorders>
            <w:noWrap w:val="0"/>
            <w:vAlign w:val="center"/>
          </w:tcPr>
          <w:p w14:paraId="6C1392EB">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3F22305D">
            <w:pPr>
              <w:jc w:val="center"/>
              <w:rPr>
                <w:rFonts w:ascii="Times New Roman" w:hAnsi="Times New Roman" w:eastAsia="宋体" w:cs="Times New Roman"/>
                <w:color w:val="000000"/>
                <w:szCs w:val="21"/>
                <w:u w:val="none" w:color="auto"/>
              </w:rPr>
            </w:pPr>
          </w:p>
        </w:tc>
        <w:tc>
          <w:tcPr>
            <w:tcW w:w="832" w:type="pct"/>
            <w:vMerge w:val="continue"/>
            <w:tcBorders>
              <w:tl2br w:val="nil"/>
              <w:tr2bl w:val="nil"/>
            </w:tcBorders>
            <w:noWrap w:val="0"/>
            <w:vAlign w:val="center"/>
          </w:tcPr>
          <w:p w14:paraId="2E47924D">
            <w:pPr>
              <w:jc w:val="center"/>
              <w:rPr>
                <w:rFonts w:ascii="Times New Roman" w:hAnsi="Times New Roman" w:eastAsia="宋体" w:cs="Times New Roman"/>
                <w:color w:val="000000"/>
                <w:szCs w:val="21"/>
                <w:u w:val="none" w:color="auto"/>
              </w:rPr>
            </w:pPr>
          </w:p>
        </w:tc>
        <w:tc>
          <w:tcPr>
            <w:tcW w:w="650" w:type="pct"/>
            <w:tcBorders>
              <w:tl2br w:val="nil"/>
              <w:tr2bl w:val="nil"/>
            </w:tcBorders>
            <w:noWrap w:val="0"/>
            <w:vAlign w:val="center"/>
          </w:tcPr>
          <w:p w14:paraId="11F6C8D5">
            <w:pPr>
              <w:jc w:val="center"/>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rPr>
              <w:t>S</w:t>
            </w:r>
            <w:r>
              <w:rPr>
                <w:rFonts w:hint="eastAsia" w:ascii="Times New Roman" w:hAnsi="Times New Roman" w:eastAsia="宋体" w:cs="Times New Roman"/>
                <w:color w:val="000000"/>
                <w:szCs w:val="21"/>
                <w:u w:val="none" w:color="auto"/>
                <w:lang w:val="en-US" w:eastAsia="zh-CN"/>
              </w:rPr>
              <w:t>6</w:t>
            </w:r>
          </w:p>
        </w:tc>
        <w:tc>
          <w:tcPr>
            <w:tcW w:w="1273" w:type="pct"/>
            <w:tcBorders>
              <w:tl2br w:val="nil"/>
              <w:tr2bl w:val="nil"/>
            </w:tcBorders>
            <w:noWrap w:val="0"/>
            <w:vAlign w:val="center"/>
          </w:tcPr>
          <w:p w14:paraId="48D30EBD">
            <w:pPr>
              <w:jc w:val="center"/>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地面清洁</w:t>
            </w:r>
          </w:p>
        </w:tc>
        <w:tc>
          <w:tcPr>
            <w:tcW w:w="1408" w:type="pct"/>
            <w:tcBorders>
              <w:tl2br w:val="nil"/>
              <w:tr2bl w:val="nil"/>
            </w:tcBorders>
            <w:noWrap w:val="0"/>
            <w:vAlign w:val="center"/>
          </w:tcPr>
          <w:p w14:paraId="7CA16F6B">
            <w:pPr>
              <w:jc w:val="center"/>
              <w:rPr>
                <w:rFonts w:ascii="Times New Roman" w:hAnsi="Times New Roman" w:eastAsia="宋体" w:cs="Times New Roman"/>
                <w:color w:val="000000"/>
                <w:szCs w:val="21"/>
                <w:u w:val="none" w:color="auto"/>
              </w:rPr>
            </w:pPr>
            <w:r>
              <w:rPr>
                <w:rFonts w:hint="eastAsia" w:ascii="Times New Roman" w:hAnsi="Times New Roman" w:eastAsia="宋体" w:cs="Times New Roman"/>
                <w:color w:val="000000"/>
                <w:szCs w:val="21"/>
                <w:u w:val="none" w:color="auto"/>
                <w:lang w:val="en-US" w:eastAsia="zh-CN"/>
              </w:rPr>
              <w:t>地面收尘灰</w:t>
            </w:r>
          </w:p>
        </w:tc>
      </w:tr>
      <w:tr w14:paraId="28AAF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5" w:type="pct"/>
            <w:vMerge w:val="continue"/>
            <w:tcBorders>
              <w:tl2br w:val="nil"/>
              <w:tr2bl w:val="nil"/>
            </w:tcBorders>
            <w:noWrap w:val="0"/>
            <w:vAlign w:val="center"/>
          </w:tcPr>
          <w:p w14:paraId="2C617F65">
            <w:pPr>
              <w:jc w:val="center"/>
              <w:rPr>
                <w:rFonts w:ascii="Times New Roman" w:hAnsi="Times New Roman" w:eastAsia="宋体" w:cs="Times New Roman"/>
                <w:color w:val="000000"/>
                <w:szCs w:val="21"/>
                <w:u w:val="none" w:color="auto"/>
              </w:rPr>
            </w:pPr>
          </w:p>
        </w:tc>
        <w:tc>
          <w:tcPr>
            <w:tcW w:w="429" w:type="pct"/>
            <w:vMerge w:val="continue"/>
            <w:tcBorders>
              <w:tl2br w:val="nil"/>
              <w:tr2bl w:val="nil"/>
            </w:tcBorders>
            <w:noWrap w:val="0"/>
            <w:vAlign w:val="center"/>
          </w:tcPr>
          <w:p w14:paraId="0F12F2C8">
            <w:pPr>
              <w:jc w:val="center"/>
              <w:rPr>
                <w:rFonts w:ascii="Times New Roman" w:hAnsi="Times New Roman" w:eastAsia="宋体" w:cs="Times New Roman"/>
                <w:color w:val="000000"/>
                <w:szCs w:val="21"/>
                <w:u w:val="none" w:color="auto"/>
              </w:rPr>
            </w:pPr>
          </w:p>
        </w:tc>
        <w:tc>
          <w:tcPr>
            <w:tcW w:w="832" w:type="pct"/>
            <w:tcBorders>
              <w:tl2br w:val="nil"/>
              <w:tr2bl w:val="nil"/>
            </w:tcBorders>
            <w:noWrap w:val="0"/>
            <w:vAlign w:val="center"/>
          </w:tcPr>
          <w:p w14:paraId="2E4A022C">
            <w:pPr>
              <w:jc w:val="center"/>
              <w:rPr>
                <w:rFonts w:ascii="Times New Roman" w:hAnsi="Times New Roman" w:eastAsia="宋体" w:cs="Times New Roman"/>
                <w:color w:val="000000"/>
                <w:szCs w:val="21"/>
                <w:u w:val="none" w:color="auto"/>
              </w:rPr>
            </w:pPr>
            <w:r>
              <w:rPr>
                <w:rFonts w:ascii="Times New Roman" w:hAnsi="Times New Roman" w:eastAsia="宋体" w:cs="Times New Roman"/>
                <w:color w:val="000000"/>
                <w:szCs w:val="21"/>
                <w:u w:val="none" w:color="auto"/>
              </w:rPr>
              <w:t>危险废物</w:t>
            </w:r>
          </w:p>
        </w:tc>
        <w:tc>
          <w:tcPr>
            <w:tcW w:w="650" w:type="pct"/>
            <w:tcBorders>
              <w:tl2br w:val="nil"/>
              <w:tr2bl w:val="nil"/>
            </w:tcBorders>
            <w:noWrap w:val="0"/>
            <w:vAlign w:val="center"/>
          </w:tcPr>
          <w:p w14:paraId="47F0F3F2">
            <w:pPr>
              <w:jc w:val="center"/>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rPr>
              <w:t>S</w:t>
            </w:r>
            <w:r>
              <w:rPr>
                <w:rFonts w:hint="eastAsia" w:ascii="Times New Roman" w:hAnsi="Times New Roman" w:eastAsia="宋体" w:cs="Times New Roman"/>
                <w:color w:val="000000"/>
                <w:szCs w:val="21"/>
                <w:u w:val="none" w:color="auto"/>
                <w:lang w:val="en-US" w:eastAsia="zh-CN"/>
              </w:rPr>
              <w:t>7</w:t>
            </w:r>
          </w:p>
        </w:tc>
        <w:tc>
          <w:tcPr>
            <w:tcW w:w="1273" w:type="pct"/>
            <w:tcBorders>
              <w:tl2br w:val="nil"/>
              <w:tr2bl w:val="nil"/>
            </w:tcBorders>
            <w:noWrap w:val="0"/>
            <w:vAlign w:val="center"/>
          </w:tcPr>
          <w:p w14:paraId="63ED552A">
            <w:pPr>
              <w:jc w:val="center"/>
              <w:rPr>
                <w:rFonts w:ascii="Times New Roman" w:hAnsi="Times New Roman" w:eastAsia="宋体" w:cs="Times New Roman"/>
                <w:color w:val="FF0000"/>
                <w:szCs w:val="21"/>
                <w:u w:val="none" w:color="auto"/>
              </w:rPr>
            </w:pPr>
            <w:r>
              <w:rPr>
                <w:rFonts w:hint="eastAsia" w:ascii="Times New Roman" w:hAnsi="Times New Roman" w:eastAsia="宋体" w:cs="Times New Roman"/>
                <w:color w:val="000000"/>
                <w:szCs w:val="21"/>
                <w:u w:val="none" w:color="auto"/>
              </w:rPr>
              <w:t>厂内生产活动</w:t>
            </w:r>
          </w:p>
        </w:tc>
        <w:tc>
          <w:tcPr>
            <w:tcW w:w="1408" w:type="pct"/>
            <w:tcBorders>
              <w:tl2br w:val="nil"/>
              <w:tr2bl w:val="nil"/>
            </w:tcBorders>
            <w:noWrap w:val="0"/>
            <w:vAlign w:val="center"/>
          </w:tcPr>
          <w:p w14:paraId="60F22363">
            <w:pPr>
              <w:jc w:val="center"/>
              <w:rPr>
                <w:rFonts w:ascii="Times New Roman" w:hAnsi="Times New Roman" w:eastAsia="宋体" w:cs="Times New Roman"/>
                <w:color w:val="FF0000"/>
                <w:szCs w:val="21"/>
                <w:u w:val="none" w:color="auto"/>
              </w:rPr>
            </w:pPr>
            <w:r>
              <w:rPr>
                <w:rFonts w:ascii="Times New Roman" w:hAnsi="Times New Roman" w:eastAsia="宋体" w:cs="Times New Roman"/>
                <w:color w:val="000000"/>
                <w:szCs w:val="21"/>
                <w:u w:val="none" w:color="auto"/>
              </w:rPr>
              <w:t>废旧个体防护装备</w:t>
            </w:r>
          </w:p>
        </w:tc>
      </w:tr>
    </w:tbl>
    <w:p w14:paraId="6130BE87">
      <w:pPr>
        <w:pStyle w:val="33"/>
        <w:bidi w:val="0"/>
        <w:rPr>
          <w:rFonts w:hint="eastAsia"/>
          <w:lang w:val="en-US" w:eastAsia="zh-CN"/>
        </w:rPr>
      </w:pPr>
      <w:bookmarkStart w:id="88" w:name="_Toc11714"/>
      <w:r>
        <w:rPr>
          <w:rFonts w:hint="eastAsia"/>
          <w:lang w:val="en-US" w:eastAsia="zh-CN"/>
        </w:rPr>
        <w:t>3.1.4现有工程主要污染防治措施</w:t>
      </w:r>
      <w:bookmarkEnd w:id="88"/>
    </w:p>
    <w:p w14:paraId="44DD9376">
      <w:pPr>
        <w:pStyle w:val="23"/>
        <w:bidi w:val="0"/>
        <w:rPr>
          <w:rFonts w:hint="eastAsia"/>
          <w:lang w:val="en-US" w:eastAsia="zh-CN"/>
        </w:rPr>
      </w:pPr>
      <w:r>
        <w:rPr>
          <w:rFonts w:hint="eastAsia"/>
          <w:lang w:val="en-US" w:eastAsia="zh-CN"/>
        </w:rPr>
        <w:t>表3.1-8  现有工程主要污染防治措施表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70F6A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21D66097">
            <w:pPr>
              <w:pStyle w:val="31"/>
              <w:bidi w:val="0"/>
              <w:jc w:val="center"/>
              <w:rPr>
                <w:rFonts w:hint="default"/>
                <w:lang w:val="en-US" w:eastAsia="zh-CN"/>
              </w:rPr>
            </w:pPr>
            <w:r>
              <w:rPr>
                <w:rFonts w:hint="eastAsia"/>
                <w:lang w:val="en-US" w:eastAsia="zh-CN"/>
              </w:rPr>
              <w:t>要素</w:t>
            </w:r>
          </w:p>
        </w:tc>
        <w:tc>
          <w:tcPr>
            <w:tcW w:w="1704" w:type="dxa"/>
            <w:vAlign w:val="center"/>
          </w:tcPr>
          <w:p w14:paraId="62A40387">
            <w:pPr>
              <w:pStyle w:val="31"/>
              <w:bidi w:val="0"/>
              <w:jc w:val="center"/>
              <w:rPr>
                <w:rFonts w:hint="default"/>
                <w:lang w:val="en-US" w:eastAsia="zh-CN"/>
              </w:rPr>
            </w:pPr>
            <w:r>
              <w:rPr>
                <w:rFonts w:hint="eastAsia"/>
                <w:lang w:val="en-US" w:eastAsia="zh-CN"/>
              </w:rPr>
              <w:t>污染源</w:t>
            </w:r>
          </w:p>
        </w:tc>
        <w:tc>
          <w:tcPr>
            <w:tcW w:w="1704" w:type="dxa"/>
            <w:vAlign w:val="center"/>
          </w:tcPr>
          <w:p w14:paraId="32B203C4">
            <w:pPr>
              <w:pStyle w:val="31"/>
              <w:bidi w:val="0"/>
              <w:jc w:val="center"/>
              <w:rPr>
                <w:rFonts w:hint="default"/>
                <w:lang w:val="en-US" w:eastAsia="zh-CN"/>
              </w:rPr>
            </w:pPr>
            <w:r>
              <w:rPr>
                <w:rFonts w:hint="eastAsia"/>
                <w:lang w:val="en-US" w:eastAsia="zh-CN"/>
              </w:rPr>
              <w:t>主要污染物</w:t>
            </w:r>
          </w:p>
        </w:tc>
        <w:tc>
          <w:tcPr>
            <w:tcW w:w="1705" w:type="dxa"/>
            <w:vAlign w:val="center"/>
          </w:tcPr>
          <w:p w14:paraId="582713BD">
            <w:pPr>
              <w:pStyle w:val="31"/>
              <w:bidi w:val="0"/>
              <w:jc w:val="center"/>
              <w:rPr>
                <w:rFonts w:hint="default"/>
                <w:lang w:val="en-US" w:eastAsia="zh-CN"/>
              </w:rPr>
            </w:pPr>
            <w:r>
              <w:rPr>
                <w:rFonts w:hint="eastAsia"/>
                <w:lang w:val="en-US" w:eastAsia="zh-CN"/>
              </w:rPr>
              <w:t>污染防治措施</w:t>
            </w:r>
          </w:p>
        </w:tc>
        <w:tc>
          <w:tcPr>
            <w:tcW w:w="1705" w:type="dxa"/>
            <w:vAlign w:val="center"/>
          </w:tcPr>
          <w:p w14:paraId="1CE6B36C">
            <w:pPr>
              <w:pStyle w:val="31"/>
              <w:bidi w:val="0"/>
              <w:jc w:val="center"/>
              <w:rPr>
                <w:rFonts w:hint="default"/>
                <w:lang w:val="en-US" w:eastAsia="zh-CN"/>
              </w:rPr>
            </w:pPr>
            <w:r>
              <w:rPr>
                <w:rFonts w:hint="eastAsia"/>
                <w:lang w:val="en-US" w:eastAsia="zh-CN"/>
              </w:rPr>
              <w:t>排放方式及去向</w:t>
            </w:r>
          </w:p>
        </w:tc>
      </w:tr>
      <w:tr w14:paraId="12E66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14:paraId="48EFC002">
            <w:pPr>
              <w:pStyle w:val="31"/>
              <w:bidi w:val="0"/>
              <w:jc w:val="center"/>
              <w:rPr>
                <w:rFonts w:hint="default"/>
                <w:lang w:val="en-US" w:eastAsia="zh-CN"/>
              </w:rPr>
            </w:pPr>
            <w:r>
              <w:rPr>
                <w:rFonts w:hint="eastAsia"/>
                <w:lang w:val="en-US" w:eastAsia="zh-CN"/>
              </w:rPr>
              <w:t>废气</w:t>
            </w:r>
          </w:p>
        </w:tc>
        <w:tc>
          <w:tcPr>
            <w:tcW w:w="1704" w:type="dxa"/>
            <w:vAlign w:val="center"/>
          </w:tcPr>
          <w:p w14:paraId="789F9F70">
            <w:pPr>
              <w:pStyle w:val="31"/>
              <w:bidi w:val="0"/>
              <w:jc w:val="center"/>
              <w:rPr>
                <w:rFonts w:hint="default"/>
                <w:lang w:val="en-US" w:eastAsia="zh-CN"/>
              </w:rPr>
            </w:pPr>
            <w:r>
              <w:rPr>
                <w:rFonts w:hint="eastAsia"/>
                <w:lang w:val="en-US" w:eastAsia="zh-CN"/>
              </w:rPr>
              <w:t>氧割、焊接</w:t>
            </w:r>
          </w:p>
        </w:tc>
        <w:tc>
          <w:tcPr>
            <w:tcW w:w="1704" w:type="dxa"/>
            <w:vAlign w:val="center"/>
          </w:tcPr>
          <w:p w14:paraId="6B96EF65">
            <w:pPr>
              <w:pStyle w:val="31"/>
              <w:bidi w:val="0"/>
              <w:jc w:val="center"/>
              <w:rPr>
                <w:rFonts w:hint="default"/>
                <w:lang w:val="en-US" w:eastAsia="zh-CN"/>
              </w:rPr>
            </w:pPr>
            <w:r>
              <w:rPr>
                <w:rFonts w:hint="eastAsia"/>
                <w:lang w:val="en-US" w:eastAsia="zh-CN"/>
              </w:rPr>
              <w:t>烟尘（颗粒物）</w:t>
            </w:r>
          </w:p>
        </w:tc>
        <w:tc>
          <w:tcPr>
            <w:tcW w:w="1705" w:type="dxa"/>
            <w:vAlign w:val="center"/>
          </w:tcPr>
          <w:p w14:paraId="57EF4803">
            <w:pPr>
              <w:pStyle w:val="31"/>
              <w:bidi w:val="0"/>
              <w:jc w:val="center"/>
              <w:rPr>
                <w:rFonts w:hint="default"/>
                <w:lang w:val="en-US" w:eastAsia="zh-CN"/>
              </w:rPr>
            </w:pPr>
            <w:r>
              <w:rPr>
                <w:rFonts w:hint="eastAsia"/>
                <w:lang w:val="en-US" w:eastAsia="zh-CN"/>
              </w:rPr>
              <w:t>自然沉降扩散</w:t>
            </w:r>
          </w:p>
        </w:tc>
        <w:tc>
          <w:tcPr>
            <w:tcW w:w="1705" w:type="dxa"/>
            <w:vAlign w:val="center"/>
          </w:tcPr>
          <w:p w14:paraId="0F195DCC">
            <w:pPr>
              <w:pStyle w:val="31"/>
              <w:bidi w:val="0"/>
              <w:jc w:val="center"/>
              <w:rPr>
                <w:rFonts w:hint="default"/>
                <w:lang w:val="en-US" w:eastAsia="zh-CN"/>
              </w:rPr>
            </w:pPr>
            <w:r>
              <w:rPr>
                <w:rFonts w:hint="eastAsia"/>
                <w:lang w:val="en-US" w:eastAsia="zh-CN"/>
              </w:rPr>
              <w:t>无组织排放</w:t>
            </w:r>
          </w:p>
        </w:tc>
      </w:tr>
      <w:tr w14:paraId="6ACE4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279A044D">
            <w:pPr>
              <w:pStyle w:val="31"/>
              <w:bidi w:val="0"/>
              <w:jc w:val="center"/>
              <w:rPr>
                <w:rFonts w:hint="eastAsia"/>
                <w:lang w:val="en-US" w:eastAsia="zh-CN"/>
              </w:rPr>
            </w:pPr>
          </w:p>
        </w:tc>
        <w:tc>
          <w:tcPr>
            <w:tcW w:w="1704" w:type="dxa"/>
            <w:vAlign w:val="center"/>
          </w:tcPr>
          <w:p w14:paraId="3CB76970">
            <w:pPr>
              <w:pStyle w:val="31"/>
              <w:bidi w:val="0"/>
              <w:jc w:val="center"/>
              <w:rPr>
                <w:rFonts w:hint="default"/>
                <w:lang w:val="en-US" w:eastAsia="zh-CN"/>
              </w:rPr>
            </w:pPr>
            <w:r>
              <w:rPr>
                <w:rFonts w:hint="eastAsia"/>
                <w:lang w:val="en-US" w:eastAsia="zh-CN"/>
              </w:rPr>
              <w:t>喷砂打磨除锈</w:t>
            </w:r>
          </w:p>
        </w:tc>
        <w:tc>
          <w:tcPr>
            <w:tcW w:w="1704" w:type="dxa"/>
            <w:vAlign w:val="center"/>
          </w:tcPr>
          <w:p w14:paraId="1645201E">
            <w:pPr>
              <w:pStyle w:val="31"/>
              <w:bidi w:val="0"/>
              <w:jc w:val="center"/>
              <w:rPr>
                <w:rFonts w:hint="default"/>
                <w:lang w:val="en-US" w:eastAsia="zh-CN"/>
              </w:rPr>
            </w:pPr>
            <w:r>
              <w:rPr>
                <w:rFonts w:hint="eastAsia"/>
                <w:lang w:val="en-US" w:eastAsia="zh-CN"/>
              </w:rPr>
              <w:t>颗粒物</w:t>
            </w:r>
          </w:p>
        </w:tc>
        <w:tc>
          <w:tcPr>
            <w:tcW w:w="1705" w:type="dxa"/>
            <w:vAlign w:val="center"/>
          </w:tcPr>
          <w:p w14:paraId="482E2C46">
            <w:pPr>
              <w:pStyle w:val="31"/>
              <w:bidi w:val="0"/>
              <w:jc w:val="center"/>
              <w:rPr>
                <w:rFonts w:hint="eastAsia"/>
                <w:lang w:val="en-US" w:eastAsia="zh-CN"/>
              </w:rPr>
            </w:pPr>
            <w:r>
              <w:rPr>
                <w:rFonts w:hint="eastAsia"/>
                <w:lang w:val="en-US" w:eastAsia="zh-CN"/>
              </w:rPr>
              <w:t>遮蔽罩</w:t>
            </w:r>
          </w:p>
        </w:tc>
        <w:tc>
          <w:tcPr>
            <w:tcW w:w="1705" w:type="dxa"/>
            <w:vAlign w:val="center"/>
          </w:tcPr>
          <w:p w14:paraId="630E96A2">
            <w:pPr>
              <w:pStyle w:val="31"/>
              <w:bidi w:val="0"/>
              <w:jc w:val="center"/>
              <w:rPr>
                <w:rFonts w:hint="default"/>
                <w:lang w:val="en-US" w:eastAsia="zh-CN"/>
              </w:rPr>
            </w:pPr>
            <w:r>
              <w:rPr>
                <w:rFonts w:hint="eastAsia"/>
                <w:lang w:val="en-US" w:eastAsia="zh-CN"/>
              </w:rPr>
              <w:t>无组织排放</w:t>
            </w:r>
          </w:p>
        </w:tc>
      </w:tr>
      <w:tr w14:paraId="3728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1A786885">
            <w:pPr>
              <w:pStyle w:val="31"/>
              <w:bidi w:val="0"/>
              <w:jc w:val="center"/>
              <w:rPr>
                <w:rFonts w:hint="eastAsia"/>
                <w:lang w:val="en-US" w:eastAsia="zh-CN"/>
              </w:rPr>
            </w:pPr>
          </w:p>
        </w:tc>
        <w:tc>
          <w:tcPr>
            <w:tcW w:w="1704" w:type="dxa"/>
            <w:vAlign w:val="center"/>
          </w:tcPr>
          <w:p w14:paraId="144D8799">
            <w:pPr>
              <w:pStyle w:val="31"/>
              <w:bidi w:val="0"/>
              <w:jc w:val="center"/>
              <w:rPr>
                <w:rFonts w:hint="default"/>
                <w:lang w:val="en-US" w:eastAsia="zh-CN"/>
              </w:rPr>
            </w:pPr>
            <w:r>
              <w:rPr>
                <w:rFonts w:hint="eastAsia"/>
                <w:lang w:val="en-US" w:eastAsia="zh-CN"/>
              </w:rPr>
              <w:t>刷漆</w:t>
            </w:r>
          </w:p>
        </w:tc>
        <w:tc>
          <w:tcPr>
            <w:tcW w:w="1704" w:type="dxa"/>
            <w:vAlign w:val="center"/>
          </w:tcPr>
          <w:p w14:paraId="165BAB8F">
            <w:pPr>
              <w:pStyle w:val="31"/>
              <w:bidi w:val="0"/>
              <w:jc w:val="center"/>
              <w:rPr>
                <w:rFonts w:hint="default"/>
                <w:lang w:val="en-US" w:eastAsia="zh-CN"/>
              </w:rPr>
            </w:pPr>
            <w:r>
              <w:rPr>
                <w:rFonts w:hint="eastAsia"/>
                <w:lang w:val="en-US" w:eastAsia="zh-CN"/>
              </w:rPr>
              <w:t>VOCs、甲苯、二甲苯、沥青烟</w:t>
            </w:r>
          </w:p>
        </w:tc>
        <w:tc>
          <w:tcPr>
            <w:tcW w:w="1705" w:type="dxa"/>
            <w:vAlign w:val="center"/>
          </w:tcPr>
          <w:p w14:paraId="56F6012D">
            <w:pPr>
              <w:pStyle w:val="31"/>
              <w:bidi w:val="0"/>
              <w:jc w:val="center"/>
              <w:rPr>
                <w:rFonts w:hint="default"/>
                <w:lang w:val="en-US" w:eastAsia="zh-CN"/>
              </w:rPr>
            </w:pPr>
            <w:r>
              <w:rPr>
                <w:rFonts w:hint="eastAsia"/>
                <w:lang w:val="en-US" w:eastAsia="zh-CN"/>
              </w:rPr>
              <w:t>/</w:t>
            </w:r>
          </w:p>
        </w:tc>
        <w:tc>
          <w:tcPr>
            <w:tcW w:w="1705" w:type="dxa"/>
            <w:vAlign w:val="center"/>
          </w:tcPr>
          <w:p w14:paraId="6A5B157A">
            <w:pPr>
              <w:pStyle w:val="31"/>
              <w:bidi w:val="0"/>
              <w:jc w:val="center"/>
              <w:rPr>
                <w:rFonts w:hint="default"/>
                <w:lang w:val="en-US" w:eastAsia="zh-CN"/>
              </w:rPr>
            </w:pPr>
            <w:r>
              <w:rPr>
                <w:rFonts w:hint="eastAsia"/>
                <w:lang w:val="en-US" w:eastAsia="zh-CN"/>
              </w:rPr>
              <w:t>无组织排放</w:t>
            </w:r>
          </w:p>
        </w:tc>
      </w:tr>
      <w:tr w14:paraId="196E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09832D59">
            <w:pPr>
              <w:pStyle w:val="31"/>
              <w:bidi w:val="0"/>
              <w:jc w:val="center"/>
              <w:rPr>
                <w:rFonts w:hint="default"/>
                <w:lang w:val="en-US" w:eastAsia="zh-CN"/>
              </w:rPr>
            </w:pPr>
            <w:r>
              <w:rPr>
                <w:rFonts w:hint="eastAsia"/>
                <w:lang w:val="en-US" w:eastAsia="zh-CN"/>
              </w:rPr>
              <w:t>废水</w:t>
            </w:r>
          </w:p>
        </w:tc>
        <w:tc>
          <w:tcPr>
            <w:tcW w:w="1704" w:type="dxa"/>
            <w:vAlign w:val="center"/>
          </w:tcPr>
          <w:p w14:paraId="475478A7">
            <w:pPr>
              <w:pStyle w:val="31"/>
              <w:bidi w:val="0"/>
              <w:jc w:val="center"/>
              <w:rPr>
                <w:rFonts w:hint="default"/>
                <w:lang w:val="en-US" w:eastAsia="zh-CN"/>
              </w:rPr>
            </w:pPr>
            <w:r>
              <w:rPr>
                <w:rFonts w:hint="eastAsia"/>
                <w:lang w:val="en-US" w:eastAsia="zh-CN"/>
              </w:rPr>
              <w:t>员工生活污水</w:t>
            </w:r>
          </w:p>
        </w:tc>
        <w:tc>
          <w:tcPr>
            <w:tcW w:w="1704" w:type="dxa"/>
            <w:vAlign w:val="center"/>
          </w:tcPr>
          <w:p w14:paraId="22E51EE3">
            <w:pPr>
              <w:pStyle w:val="31"/>
              <w:bidi w:val="0"/>
              <w:jc w:val="center"/>
              <w:rPr>
                <w:rFonts w:hint="default"/>
                <w:lang w:val="en-US" w:eastAsia="zh-CN"/>
              </w:rPr>
            </w:pPr>
            <w:r>
              <w:rPr>
                <w:rFonts w:hint="eastAsia"/>
                <w:lang w:val="en-US" w:eastAsia="zh-CN"/>
              </w:rPr>
              <w:t>COD、氨氮等</w:t>
            </w:r>
          </w:p>
        </w:tc>
        <w:tc>
          <w:tcPr>
            <w:tcW w:w="1705" w:type="dxa"/>
            <w:vAlign w:val="center"/>
          </w:tcPr>
          <w:p w14:paraId="717B50D8">
            <w:pPr>
              <w:pStyle w:val="31"/>
              <w:bidi w:val="0"/>
              <w:jc w:val="center"/>
              <w:rPr>
                <w:rFonts w:hint="default"/>
                <w:lang w:val="en-US" w:eastAsia="zh-CN"/>
              </w:rPr>
            </w:pPr>
            <w:r>
              <w:rPr>
                <w:rFonts w:hint="eastAsia"/>
                <w:lang w:val="en-US" w:eastAsia="zh-CN"/>
              </w:rPr>
              <w:t>化粪池</w:t>
            </w:r>
          </w:p>
        </w:tc>
        <w:tc>
          <w:tcPr>
            <w:tcW w:w="1705" w:type="dxa"/>
            <w:vAlign w:val="center"/>
          </w:tcPr>
          <w:p w14:paraId="6EB34DC5">
            <w:pPr>
              <w:pStyle w:val="31"/>
              <w:bidi w:val="0"/>
              <w:jc w:val="center"/>
              <w:rPr>
                <w:rFonts w:hint="default"/>
                <w:lang w:val="en-US" w:eastAsia="zh-CN"/>
              </w:rPr>
            </w:pPr>
            <w:r>
              <w:rPr>
                <w:rFonts w:hint="eastAsia"/>
                <w:lang w:val="en-US" w:eastAsia="zh-CN"/>
              </w:rPr>
              <w:t>定期清掏用于周边农田施肥</w:t>
            </w:r>
          </w:p>
        </w:tc>
      </w:tr>
      <w:tr w14:paraId="7B12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768E7D5F">
            <w:pPr>
              <w:pStyle w:val="31"/>
              <w:bidi w:val="0"/>
              <w:jc w:val="center"/>
              <w:rPr>
                <w:rFonts w:hint="default"/>
                <w:lang w:val="en-US" w:eastAsia="zh-CN"/>
              </w:rPr>
            </w:pPr>
            <w:r>
              <w:rPr>
                <w:rFonts w:hint="eastAsia"/>
                <w:lang w:val="en-US" w:eastAsia="zh-CN"/>
              </w:rPr>
              <w:t>噪声</w:t>
            </w:r>
          </w:p>
        </w:tc>
        <w:tc>
          <w:tcPr>
            <w:tcW w:w="1704" w:type="dxa"/>
            <w:vAlign w:val="center"/>
          </w:tcPr>
          <w:p w14:paraId="77386DBA">
            <w:pPr>
              <w:pStyle w:val="31"/>
              <w:bidi w:val="0"/>
              <w:jc w:val="center"/>
              <w:rPr>
                <w:rFonts w:hint="default"/>
                <w:lang w:val="en-US" w:eastAsia="zh-CN"/>
              </w:rPr>
            </w:pPr>
            <w:r>
              <w:rPr>
                <w:rFonts w:hint="eastAsia"/>
                <w:lang w:val="en-US" w:eastAsia="zh-CN"/>
              </w:rPr>
              <w:t>设备噪声</w:t>
            </w:r>
          </w:p>
        </w:tc>
        <w:tc>
          <w:tcPr>
            <w:tcW w:w="1704" w:type="dxa"/>
            <w:vAlign w:val="center"/>
          </w:tcPr>
          <w:p w14:paraId="1C9F001C">
            <w:pPr>
              <w:pStyle w:val="31"/>
              <w:bidi w:val="0"/>
              <w:jc w:val="center"/>
              <w:rPr>
                <w:rFonts w:hint="default"/>
                <w:lang w:val="en-US" w:eastAsia="zh-CN"/>
              </w:rPr>
            </w:pPr>
            <w:r>
              <w:rPr>
                <w:rFonts w:hint="eastAsia"/>
                <w:lang w:val="en-US" w:eastAsia="zh-CN"/>
              </w:rPr>
              <w:t>设备噪声</w:t>
            </w:r>
          </w:p>
        </w:tc>
        <w:tc>
          <w:tcPr>
            <w:tcW w:w="1705" w:type="dxa"/>
            <w:vAlign w:val="center"/>
          </w:tcPr>
          <w:p w14:paraId="21217EE4">
            <w:pPr>
              <w:pStyle w:val="31"/>
              <w:bidi w:val="0"/>
              <w:jc w:val="center"/>
              <w:rPr>
                <w:rFonts w:hint="default"/>
                <w:lang w:val="en-US" w:eastAsia="zh-CN"/>
              </w:rPr>
            </w:pPr>
            <w:r>
              <w:rPr>
                <w:rFonts w:hint="eastAsia"/>
                <w:lang w:val="en-US" w:eastAsia="zh-CN"/>
              </w:rPr>
              <w:t>基础减振、距离衰减</w:t>
            </w:r>
          </w:p>
        </w:tc>
        <w:tc>
          <w:tcPr>
            <w:tcW w:w="1705" w:type="dxa"/>
            <w:vAlign w:val="center"/>
          </w:tcPr>
          <w:p w14:paraId="4157D7B8">
            <w:pPr>
              <w:pStyle w:val="31"/>
              <w:bidi w:val="0"/>
              <w:jc w:val="center"/>
              <w:rPr>
                <w:rFonts w:hint="default"/>
                <w:lang w:val="en-US" w:eastAsia="zh-CN"/>
              </w:rPr>
            </w:pPr>
            <w:r>
              <w:rPr>
                <w:rFonts w:hint="eastAsia"/>
                <w:lang w:val="en-US" w:eastAsia="zh-CN"/>
              </w:rPr>
              <w:t>/</w:t>
            </w:r>
          </w:p>
        </w:tc>
      </w:tr>
      <w:tr w14:paraId="7DA14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14:paraId="0651B283">
            <w:pPr>
              <w:pStyle w:val="31"/>
              <w:bidi w:val="0"/>
              <w:jc w:val="center"/>
              <w:rPr>
                <w:rFonts w:hint="default"/>
                <w:lang w:val="en-US" w:eastAsia="zh-CN"/>
              </w:rPr>
            </w:pPr>
            <w:r>
              <w:rPr>
                <w:rFonts w:hint="eastAsia"/>
                <w:lang w:val="en-US" w:eastAsia="zh-CN"/>
              </w:rPr>
              <w:t>固废</w:t>
            </w:r>
          </w:p>
        </w:tc>
        <w:tc>
          <w:tcPr>
            <w:tcW w:w="1704" w:type="dxa"/>
            <w:vMerge w:val="restart"/>
            <w:vAlign w:val="center"/>
          </w:tcPr>
          <w:p w14:paraId="68004619">
            <w:pPr>
              <w:pStyle w:val="31"/>
              <w:bidi w:val="0"/>
              <w:jc w:val="center"/>
              <w:rPr>
                <w:rFonts w:hint="default"/>
                <w:lang w:val="en-US" w:eastAsia="zh-CN"/>
              </w:rPr>
            </w:pPr>
            <w:r>
              <w:rPr>
                <w:rFonts w:hint="eastAsia"/>
                <w:lang w:val="en-US" w:eastAsia="zh-CN"/>
              </w:rPr>
              <w:t>一般固废</w:t>
            </w:r>
          </w:p>
        </w:tc>
        <w:tc>
          <w:tcPr>
            <w:tcW w:w="1704" w:type="dxa"/>
            <w:vAlign w:val="center"/>
          </w:tcPr>
          <w:p w14:paraId="598D1BEA">
            <w:pPr>
              <w:pStyle w:val="31"/>
              <w:bidi w:val="0"/>
              <w:jc w:val="center"/>
              <w:rPr>
                <w:rFonts w:hint="default"/>
                <w:lang w:val="en-US" w:eastAsia="zh-CN"/>
              </w:rPr>
            </w:pPr>
            <w:r>
              <w:rPr>
                <w:rFonts w:hint="eastAsia"/>
                <w:lang w:val="en-US" w:eastAsia="zh-CN"/>
              </w:rPr>
              <w:t>废钢铁</w:t>
            </w:r>
          </w:p>
        </w:tc>
        <w:tc>
          <w:tcPr>
            <w:tcW w:w="1705" w:type="dxa"/>
            <w:vMerge w:val="restart"/>
            <w:vAlign w:val="center"/>
          </w:tcPr>
          <w:p w14:paraId="31AF7EEB">
            <w:pPr>
              <w:pStyle w:val="31"/>
              <w:bidi w:val="0"/>
              <w:jc w:val="center"/>
              <w:rPr>
                <w:rFonts w:hint="default"/>
                <w:lang w:val="en-US" w:eastAsia="zh-CN"/>
              </w:rPr>
            </w:pPr>
            <w:r>
              <w:rPr>
                <w:rFonts w:hint="eastAsia"/>
                <w:lang w:val="en-US" w:eastAsia="zh-CN"/>
              </w:rPr>
              <w:t>一般固废暂存间暂存</w:t>
            </w:r>
          </w:p>
        </w:tc>
        <w:tc>
          <w:tcPr>
            <w:tcW w:w="1705" w:type="dxa"/>
            <w:vAlign w:val="center"/>
          </w:tcPr>
          <w:p w14:paraId="4F0EF6A7">
            <w:pPr>
              <w:pStyle w:val="31"/>
              <w:bidi w:val="0"/>
              <w:jc w:val="center"/>
              <w:rPr>
                <w:rFonts w:hint="default"/>
                <w:lang w:val="en-US" w:eastAsia="zh-CN"/>
              </w:rPr>
            </w:pPr>
            <w:r>
              <w:rPr>
                <w:rFonts w:hint="eastAsia"/>
                <w:lang w:val="en-US" w:eastAsia="zh-CN"/>
              </w:rPr>
              <w:t>外售</w:t>
            </w:r>
          </w:p>
        </w:tc>
      </w:tr>
      <w:tr w14:paraId="069DB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23C7CE0C">
            <w:pPr>
              <w:pStyle w:val="31"/>
              <w:bidi w:val="0"/>
              <w:jc w:val="center"/>
              <w:rPr>
                <w:rFonts w:hint="eastAsia"/>
                <w:lang w:val="en-US" w:eastAsia="zh-CN"/>
              </w:rPr>
            </w:pPr>
          </w:p>
        </w:tc>
        <w:tc>
          <w:tcPr>
            <w:tcW w:w="1704" w:type="dxa"/>
            <w:vMerge w:val="continue"/>
            <w:vAlign w:val="center"/>
          </w:tcPr>
          <w:p w14:paraId="71674377">
            <w:pPr>
              <w:pStyle w:val="31"/>
              <w:bidi w:val="0"/>
              <w:jc w:val="center"/>
              <w:rPr>
                <w:rFonts w:hint="eastAsia"/>
                <w:lang w:val="en-US" w:eastAsia="zh-CN"/>
              </w:rPr>
            </w:pPr>
          </w:p>
        </w:tc>
        <w:tc>
          <w:tcPr>
            <w:tcW w:w="1704" w:type="dxa"/>
            <w:vAlign w:val="center"/>
          </w:tcPr>
          <w:p w14:paraId="1BE79856">
            <w:pPr>
              <w:pStyle w:val="31"/>
              <w:bidi w:val="0"/>
              <w:jc w:val="center"/>
              <w:rPr>
                <w:rFonts w:hint="default"/>
                <w:lang w:val="en-US" w:eastAsia="zh-CN"/>
              </w:rPr>
            </w:pPr>
            <w:r>
              <w:rPr>
                <w:rFonts w:hint="eastAsia"/>
                <w:lang w:val="en-US" w:eastAsia="zh-CN"/>
              </w:rPr>
              <w:t>地面收集尘</w:t>
            </w:r>
          </w:p>
        </w:tc>
        <w:tc>
          <w:tcPr>
            <w:tcW w:w="1705" w:type="dxa"/>
            <w:vMerge w:val="continue"/>
            <w:vAlign w:val="center"/>
          </w:tcPr>
          <w:p w14:paraId="675FF9C1">
            <w:pPr>
              <w:pStyle w:val="31"/>
              <w:bidi w:val="0"/>
              <w:jc w:val="center"/>
              <w:rPr>
                <w:rFonts w:hint="eastAsia"/>
                <w:lang w:val="en-US" w:eastAsia="zh-CN"/>
              </w:rPr>
            </w:pPr>
          </w:p>
        </w:tc>
        <w:tc>
          <w:tcPr>
            <w:tcW w:w="1705" w:type="dxa"/>
            <w:vAlign w:val="center"/>
          </w:tcPr>
          <w:p w14:paraId="224488EB">
            <w:pPr>
              <w:pStyle w:val="31"/>
              <w:bidi w:val="0"/>
              <w:jc w:val="center"/>
              <w:rPr>
                <w:rFonts w:hint="default"/>
                <w:lang w:val="en-US" w:eastAsia="zh-CN"/>
              </w:rPr>
            </w:pPr>
            <w:r>
              <w:rPr>
                <w:rFonts w:hint="eastAsia"/>
                <w:lang w:val="en-US" w:eastAsia="zh-CN"/>
              </w:rPr>
              <w:t>外售</w:t>
            </w:r>
          </w:p>
        </w:tc>
      </w:tr>
      <w:tr w14:paraId="08853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77CA712D">
            <w:pPr>
              <w:pStyle w:val="31"/>
              <w:bidi w:val="0"/>
              <w:jc w:val="center"/>
              <w:rPr>
                <w:rFonts w:hint="eastAsia"/>
                <w:lang w:val="en-US" w:eastAsia="zh-CN"/>
              </w:rPr>
            </w:pPr>
          </w:p>
        </w:tc>
        <w:tc>
          <w:tcPr>
            <w:tcW w:w="1704" w:type="dxa"/>
            <w:vMerge w:val="restart"/>
            <w:vAlign w:val="center"/>
          </w:tcPr>
          <w:p w14:paraId="7A259E02">
            <w:pPr>
              <w:pStyle w:val="31"/>
              <w:bidi w:val="0"/>
              <w:jc w:val="center"/>
              <w:rPr>
                <w:rFonts w:hint="default"/>
                <w:lang w:val="en-US" w:eastAsia="zh-CN"/>
              </w:rPr>
            </w:pPr>
            <w:r>
              <w:rPr>
                <w:rFonts w:hint="eastAsia"/>
                <w:lang w:val="en-US" w:eastAsia="zh-CN"/>
              </w:rPr>
              <w:t>危险废物</w:t>
            </w:r>
          </w:p>
        </w:tc>
        <w:tc>
          <w:tcPr>
            <w:tcW w:w="1704" w:type="dxa"/>
            <w:vAlign w:val="center"/>
          </w:tcPr>
          <w:p w14:paraId="748E4E1C">
            <w:pPr>
              <w:pStyle w:val="31"/>
              <w:bidi w:val="0"/>
              <w:jc w:val="center"/>
              <w:rPr>
                <w:rFonts w:hint="default"/>
                <w:lang w:val="en-US" w:eastAsia="zh-CN"/>
              </w:rPr>
            </w:pPr>
            <w:r>
              <w:rPr>
                <w:rFonts w:hint="eastAsia"/>
                <w:lang w:val="en-US" w:eastAsia="zh-CN"/>
              </w:rPr>
              <w:t>废漆渣</w:t>
            </w:r>
          </w:p>
        </w:tc>
        <w:tc>
          <w:tcPr>
            <w:tcW w:w="1705" w:type="dxa"/>
            <w:vMerge w:val="restart"/>
            <w:vAlign w:val="center"/>
          </w:tcPr>
          <w:p w14:paraId="51086484">
            <w:pPr>
              <w:pStyle w:val="31"/>
              <w:bidi w:val="0"/>
              <w:jc w:val="center"/>
              <w:rPr>
                <w:rFonts w:hint="default"/>
                <w:lang w:val="en-US" w:eastAsia="zh-CN"/>
              </w:rPr>
            </w:pPr>
            <w:r>
              <w:rPr>
                <w:rFonts w:hint="eastAsia"/>
                <w:lang w:val="en-US" w:eastAsia="zh-CN"/>
              </w:rPr>
              <w:t>危废暂存间暂存</w:t>
            </w:r>
          </w:p>
        </w:tc>
        <w:tc>
          <w:tcPr>
            <w:tcW w:w="1705" w:type="dxa"/>
            <w:vMerge w:val="restart"/>
            <w:vAlign w:val="center"/>
          </w:tcPr>
          <w:p w14:paraId="39322AF1">
            <w:pPr>
              <w:pStyle w:val="31"/>
              <w:bidi w:val="0"/>
              <w:jc w:val="center"/>
              <w:rPr>
                <w:rFonts w:hint="default"/>
                <w:lang w:val="en-US" w:eastAsia="zh-CN"/>
              </w:rPr>
            </w:pPr>
            <w:r>
              <w:rPr>
                <w:rFonts w:hint="eastAsia"/>
                <w:lang w:val="en-US" w:eastAsia="zh-CN"/>
              </w:rPr>
              <w:t>委托湖南保蓝环境科技有限公司收集处置</w:t>
            </w:r>
          </w:p>
        </w:tc>
      </w:tr>
      <w:tr w14:paraId="40DF3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0022558E">
            <w:pPr>
              <w:pStyle w:val="31"/>
              <w:bidi w:val="0"/>
              <w:jc w:val="center"/>
              <w:rPr>
                <w:rFonts w:hint="eastAsia"/>
                <w:lang w:val="en-US" w:eastAsia="zh-CN"/>
              </w:rPr>
            </w:pPr>
          </w:p>
        </w:tc>
        <w:tc>
          <w:tcPr>
            <w:tcW w:w="1704" w:type="dxa"/>
            <w:vMerge w:val="continue"/>
            <w:vAlign w:val="center"/>
          </w:tcPr>
          <w:p w14:paraId="42E088AF">
            <w:pPr>
              <w:pStyle w:val="31"/>
              <w:bidi w:val="0"/>
              <w:jc w:val="center"/>
              <w:rPr>
                <w:rFonts w:hint="eastAsia"/>
                <w:lang w:val="en-US" w:eastAsia="zh-CN"/>
              </w:rPr>
            </w:pPr>
          </w:p>
        </w:tc>
        <w:tc>
          <w:tcPr>
            <w:tcW w:w="1704" w:type="dxa"/>
            <w:vAlign w:val="center"/>
          </w:tcPr>
          <w:p w14:paraId="51D8D567">
            <w:pPr>
              <w:pStyle w:val="31"/>
              <w:bidi w:val="0"/>
              <w:jc w:val="center"/>
              <w:rPr>
                <w:rFonts w:hint="default"/>
                <w:lang w:val="en-US" w:eastAsia="zh-CN"/>
              </w:rPr>
            </w:pPr>
            <w:r>
              <w:rPr>
                <w:rFonts w:hint="eastAsia"/>
                <w:lang w:val="en-US" w:eastAsia="zh-CN"/>
              </w:rPr>
              <w:t>废油漆桶</w:t>
            </w:r>
          </w:p>
        </w:tc>
        <w:tc>
          <w:tcPr>
            <w:tcW w:w="1705" w:type="dxa"/>
            <w:vMerge w:val="continue"/>
            <w:vAlign w:val="center"/>
          </w:tcPr>
          <w:p w14:paraId="4DD3822A">
            <w:pPr>
              <w:pStyle w:val="31"/>
              <w:bidi w:val="0"/>
              <w:jc w:val="center"/>
              <w:rPr>
                <w:rFonts w:hint="eastAsia"/>
                <w:lang w:val="en-US" w:eastAsia="zh-CN"/>
              </w:rPr>
            </w:pPr>
          </w:p>
        </w:tc>
        <w:tc>
          <w:tcPr>
            <w:tcW w:w="1705" w:type="dxa"/>
            <w:vMerge w:val="continue"/>
            <w:vAlign w:val="center"/>
          </w:tcPr>
          <w:p w14:paraId="7FE9649F">
            <w:pPr>
              <w:pStyle w:val="31"/>
              <w:bidi w:val="0"/>
              <w:jc w:val="center"/>
              <w:rPr>
                <w:rFonts w:hint="eastAsia"/>
                <w:lang w:val="en-US" w:eastAsia="zh-CN"/>
              </w:rPr>
            </w:pPr>
          </w:p>
        </w:tc>
      </w:tr>
      <w:tr w14:paraId="2FDBA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0621A635">
            <w:pPr>
              <w:pStyle w:val="31"/>
              <w:bidi w:val="0"/>
              <w:jc w:val="center"/>
              <w:rPr>
                <w:rFonts w:hint="eastAsia"/>
                <w:lang w:val="en-US" w:eastAsia="zh-CN"/>
              </w:rPr>
            </w:pPr>
          </w:p>
        </w:tc>
        <w:tc>
          <w:tcPr>
            <w:tcW w:w="1704" w:type="dxa"/>
            <w:vMerge w:val="continue"/>
            <w:vAlign w:val="center"/>
          </w:tcPr>
          <w:p w14:paraId="4A1C7139">
            <w:pPr>
              <w:pStyle w:val="31"/>
              <w:bidi w:val="0"/>
              <w:jc w:val="center"/>
              <w:rPr>
                <w:rFonts w:hint="eastAsia"/>
                <w:lang w:val="en-US" w:eastAsia="zh-CN"/>
              </w:rPr>
            </w:pPr>
          </w:p>
        </w:tc>
        <w:tc>
          <w:tcPr>
            <w:tcW w:w="1704" w:type="dxa"/>
            <w:vAlign w:val="center"/>
          </w:tcPr>
          <w:p w14:paraId="541F69D6">
            <w:pPr>
              <w:pStyle w:val="31"/>
              <w:bidi w:val="0"/>
              <w:jc w:val="center"/>
              <w:rPr>
                <w:rFonts w:hint="default"/>
                <w:lang w:val="en-US" w:eastAsia="zh-CN"/>
              </w:rPr>
            </w:pPr>
            <w:r>
              <w:rPr>
                <w:rFonts w:hint="eastAsia"/>
                <w:lang w:val="en-US" w:eastAsia="zh-CN"/>
              </w:rPr>
              <w:t>废漆渣回收毯</w:t>
            </w:r>
          </w:p>
        </w:tc>
        <w:tc>
          <w:tcPr>
            <w:tcW w:w="1705" w:type="dxa"/>
            <w:vMerge w:val="continue"/>
            <w:vAlign w:val="center"/>
          </w:tcPr>
          <w:p w14:paraId="6F922270">
            <w:pPr>
              <w:pStyle w:val="31"/>
              <w:bidi w:val="0"/>
              <w:jc w:val="center"/>
              <w:rPr>
                <w:rFonts w:hint="eastAsia"/>
                <w:lang w:val="en-US" w:eastAsia="zh-CN"/>
              </w:rPr>
            </w:pPr>
          </w:p>
        </w:tc>
        <w:tc>
          <w:tcPr>
            <w:tcW w:w="1705" w:type="dxa"/>
            <w:vMerge w:val="continue"/>
            <w:vAlign w:val="center"/>
          </w:tcPr>
          <w:p w14:paraId="57F00DCB">
            <w:pPr>
              <w:pStyle w:val="31"/>
              <w:bidi w:val="0"/>
              <w:jc w:val="center"/>
              <w:rPr>
                <w:rFonts w:hint="eastAsia"/>
                <w:lang w:val="en-US" w:eastAsia="zh-CN"/>
              </w:rPr>
            </w:pPr>
          </w:p>
        </w:tc>
      </w:tr>
      <w:tr w14:paraId="17F0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00C9A27C">
            <w:pPr>
              <w:pStyle w:val="31"/>
              <w:bidi w:val="0"/>
              <w:jc w:val="center"/>
              <w:rPr>
                <w:rFonts w:hint="eastAsia"/>
                <w:lang w:val="en-US" w:eastAsia="zh-CN"/>
              </w:rPr>
            </w:pPr>
          </w:p>
        </w:tc>
        <w:tc>
          <w:tcPr>
            <w:tcW w:w="1704" w:type="dxa"/>
            <w:vMerge w:val="continue"/>
            <w:vAlign w:val="center"/>
          </w:tcPr>
          <w:p w14:paraId="00E94325">
            <w:pPr>
              <w:pStyle w:val="31"/>
              <w:bidi w:val="0"/>
              <w:jc w:val="center"/>
              <w:rPr>
                <w:rFonts w:hint="eastAsia"/>
                <w:lang w:val="en-US" w:eastAsia="zh-CN"/>
              </w:rPr>
            </w:pPr>
          </w:p>
        </w:tc>
        <w:tc>
          <w:tcPr>
            <w:tcW w:w="1704" w:type="dxa"/>
            <w:vAlign w:val="center"/>
          </w:tcPr>
          <w:p w14:paraId="6D3EA5D0">
            <w:pPr>
              <w:pStyle w:val="31"/>
              <w:bidi w:val="0"/>
              <w:jc w:val="center"/>
              <w:rPr>
                <w:rFonts w:hint="default"/>
                <w:lang w:val="en-US" w:eastAsia="zh-CN"/>
              </w:rPr>
            </w:pPr>
            <w:r>
              <w:rPr>
                <w:rFonts w:hint="eastAsia"/>
                <w:lang w:val="en-US" w:eastAsia="zh-CN"/>
              </w:rPr>
              <w:t>废抹布</w:t>
            </w:r>
          </w:p>
        </w:tc>
        <w:tc>
          <w:tcPr>
            <w:tcW w:w="1705" w:type="dxa"/>
            <w:vMerge w:val="continue"/>
            <w:vAlign w:val="center"/>
          </w:tcPr>
          <w:p w14:paraId="0E1AB2A5">
            <w:pPr>
              <w:pStyle w:val="31"/>
              <w:bidi w:val="0"/>
              <w:jc w:val="center"/>
              <w:rPr>
                <w:rFonts w:hint="eastAsia"/>
                <w:lang w:val="en-US" w:eastAsia="zh-CN"/>
              </w:rPr>
            </w:pPr>
          </w:p>
        </w:tc>
        <w:tc>
          <w:tcPr>
            <w:tcW w:w="1705" w:type="dxa"/>
            <w:vMerge w:val="continue"/>
            <w:vAlign w:val="center"/>
          </w:tcPr>
          <w:p w14:paraId="1353D443">
            <w:pPr>
              <w:pStyle w:val="31"/>
              <w:bidi w:val="0"/>
              <w:jc w:val="center"/>
              <w:rPr>
                <w:rFonts w:hint="eastAsia"/>
                <w:lang w:val="en-US" w:eastAsia="zh-CN"/>
              </w:rPr>
            </w:pPr>
          </w:p>
        </w:tc>
      </w:tr>
      <w:tr w14:paraId="12A01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14:paraId="7CBBC3EA">
            <w:pPr>
              <w:pStyle w:val="31"/>
              <w:bidi w:val="0"/>
              <w:jc w:val="center"/>
              <w:rPr>
                <w:rFonts w:hint="eastAsia"/>
                <w:lang w:val="en-US" w:eastAsia="zh-CN"/>
              </w:rPr>
            </w:pPr>
          </w:p>
        </w:tc>
        <w:tc>
          <w:tcPr>
            <w:tcW w:w="1704" w:type="dxa"/>
            <w:vAlign w:val="center"/>
          </w:tcPr>
          <w:p w14:paraId="5582B262">
            <w:pPr>
              <w:pStyle w:val="31"/>
              <w:bidi w:val="0"/>
              <w:jc w:val="center"/>
              <w:rPr>
                <w:rFonts w:hint="default"/>
                <w:lang w:val="en-US" w:eastAsia="zh-CN"/>
              </w:rPr>
            </w:pPr>
            <w:r>
              <w:rPr>
                <w:rFonts w:hint="eastAsia"/>
                <w:lang w:val="en-US" w:eastAsia="zh-CN"/>
              </w:rPr>
              <w:t>员工生活垃圾</w:t>
            </w:r>
          </w:p>
        </w:tc>
        <w:tc>
          <w:tcPr>
            <w:tcW w:w="1704" w:type="dxa"/>
            <w:vAlign w:val="center"/>
          </w:tcPr>
          <w:p w14:paraId="0E5514AA">
            <w:pPr>
              <w:pStyle w:val="31"/>
              <w:bidi w:val="0"/>
              <w:jc w:val="center"/>
              <w:rPr>
                <w:rFonts w:hint="default"/>
                <w:lang w:val="en-US" w:eastAsia="zh-CN"/>
              </w:rPr>
            </w:pPr>
            <w:r>
              <w:rPr>
                <w:rFonts w:hint="eastAsia"/>
                <w:lang w:val="en-US" w:eastAsia="zh-CN"/>
              </w:rPr>
              <w:t>生活垃圾</w:t>
            </w:r>
          </w:p>
        </w:tc>
        <w:tc>
          <w:tcPr>
            <w:tcW w:w="1705" w:type="dxa"/>
            <w:vAlign w:val="center"/>
          </w:tcPr>
          <w:p w14:paraId="6CC9D05E">
            <w:pPr>
              <w:pStyle w:val="31"/>
              <w:bidi w:val="0"/>
              <w:jc w:val="center"/>
              <w:rPr>
                <w:rFonts w:hint="default"/>
                <w:lang w:val="en-US" w:eastAsia="zh-CN"/>
              </w:rPr>
            </w:pPr>
            <w:r>
              <w:rPr>
                <w:rFonts w:hint="eastAsia"/>
                <w:lang w:val="en-US" w:eastAsia="zh-CN"/>
              </w:rPr>
              <w:t>分类垃圾桶收集</w:t>
            </w:r>
          </w:p>
        </w:tc>
        <w:tc>
          <w:tcPr>
            <w:tcW w:w="1705" w:type="dxa"/>
            <w:vAlign w:val="center"/>
          </w:tcPr>
          <w:p w14:paraId="68E11DCD">
            <w:pPr>
              <w:pStyle w:val="31"/>
              <w:bidi w:val="0"/>
              <w:jc w:val="center"/>
              <w:rPr>
                <w:rFonts w:hint="default"/>
                <w:lang w:val="en-US" w:eastAsia="zh-CN"/>
              </w:rPr>
            </w:pPr>
            <w:r>
              <w:rPr>
                <w:rFonts w:hint="eastAsia"/>
                <w:lang w:val="en-US" w:eastAsia="zh-CN"/>
              </w:rPr>
              <w:t>委托环卫部门处置</w:t>
            </w:r>
          </w:p>
        </w:tc>
      </w:tr>
    </w:tbl>
    <w:p w14:paraId="30D89C75">
      <w:pPr>
        <w:pStyle w:val="21"/>
        <w:rPr>
          <w:rFonts w:hint="eastAsia"/>
          <w:lang w:val="en-US" w:eastAsia="zh-CN"/>
        </w:rPr>
      </w:pPr>
    </w:p>
    <w:p w14:paraId="5F257496">
      <w:pPr>
        <w:pStyle w:val="21"/>
        <w:rPr>
          <w:rFonts w:hint="default"/>
          <w:lang w:val="en-US" w:eastAsia="zh-CN"/>
        </w:rPr>
      </w:pPr>
    </w:p>
    <w:p w14:paraId="14D5A3E5">
      <w:pPr>
        <w:pStyle w:val="33"/>
        <w:bidi w:val="0"/>
        <w:rPr>
          <w:rFonts w:hint="eastAsia"/>
          <w:lang w:val="en-US" w:eastAsia="zh-CN"/>
        </w:rPr>
      </w:pPr>
      <w:bookmarkStart w:id="89" w:name="_Toc19766"/>
      <w:r>
        <w:rPr>
          <w:rFonts w:hint="eastAsia"/>
          <w:lang w:val="en-US" w:eastAsia="zh-CN"/>
        </w:rPr>
        <w:t>3.1.5现有工程“三废”达标排放情况</w:t>
      </w:r>
      <w:bookmarkEnd w:id="89"/>
    </w:p>
    <w:p w14:paraId="185AB399">
      <w:pPr>
        <w:pStyle w:val="21"/>
        <w:rPr>
          <w:rFonts w:hint="eastAsia"/>
          <w:lang w:val="en-US" w:eastAsia="zh-CN"/>
        </w:rPr>
      </w:pPr>
      <w:r>
        <w:rPr>
          <w:rFonts w:hint="eastAsia"/>
          <w:lang w:val="en-US" w:eastAsia="zh-CN"/>
        </w:rPr>
        <w:t>本次引用现有工程竣工环境保护验收监测报告中检测数据进行评价：</w:t>
      </w:r>
    </w:p>
    <w:p w14:paraId="5AF58BDC">
      <w:pPr>
        <w:pStyle w:val="21"/>
        <w:rPr>
          <w:rFonts w:hint="eastAsia"/>
          <w:lang w:val="en-US" w:eastAsia="zh-CN"/>
        </w:rPr>
      </w:pPr>
      <w:r>
        <w:rPr>
          <w:rFonts w:hint="eastAsia"/>
          <w:lang w:val="en-US" w:eastAsia="zh-CN"/>
        </w:rPr>
        <w:t>1、废气</w:t>
      </w:r>
    </w:p>
    <w:p w14:paraId="2A8A2E3D">
      <w:pPr>
        <w:pStyle w:val="21"/>
        <w:rPr>
          <w:rFonts w:hint="eastAsia"/>
          <w:lang w:val="en-US" w:eastAsia="zh-CN"/>
        </w:rPr>
      </w:pPr>
      <w:r>
        <w:rPr>
          <w:rFonts w:hint="eastAsia"/>
          <w:lang w:val="en-US" w:eastAsia="zh-CN"/>
        </w:rPr>
        <w:t>现有工程所有废气均为无组织排放，主要污染物包括甲苯、二甲苯、颗粒物、VOCs，验收监测期间，厂界东、南、西、北侧的4个监测因子颗粒物、甲苯、二甲苯的监测结果最大值分别为0.446mg/m</w:t>
      </w:r>
      <w:r>
        <w:rPr>
          <w:rFonts w:hint="eastAsia"/>
          <w:vertAlign w:val="superscript"/>
          <w:lang w:val="en-US" w:eastAsia="zh-CN"/>
        </w:rPr>
        <w:t>3</w:t>
      </w:r>
      <w:r>
        <w:rPr>
          <w:rFonts w:hint="eastAsia"/>
          <w:lang w:val="en-US" w:eastAsia="zh-CN"/>
        </w:rPr>
        <w:t>、未检出、未检出，监测结果的最大值符合《大气污染物综合排放标准》（GB16297-1996）表2的无组织排放的标准要求。挥发性有机物的监测结果最大值为0.56mg/m</w:t>
      </w:r>
      <w:r>
        <w:rPr>
          <w:rFonts w:hint="eastAsia"/>
          <w:vertAlign w:val="superscript"/>
          <w:lang w:val="en-US" w:eastAsia="zh-CN"/>
        </w:rPr>
        <w:t>3</w:t>
      </w:r>
      <w:r>
        <w:rPr>
          <w:rFonts w:hint="eastAsia"/>
          <w:lang w:val="en-US" w:eastAsia="zh-CN"/>
        </w:rPr>
        <w:t>，监测结果的最大值符合《表面涂装（汽车制造及维修）挥发性有机物、镍排放标准》（DB43/1356-2017）表 3 标准限值要求。</w:t>
      </w:r>
    </w:p>
    <w:p w14:paraId="704939C3">
      <w:pPr>
        <w:pStyle w:val="23"/>
        <w:bidi w:val="0"/>
        <w:rPr>
          <w:rFonts w:hint="default"/>
          <w:lang w:val="en-US" w:eastAsia="zh-CN"/>
        </w:rPr>
      </w:pPr>
      <w:r>
        <w:rPr>
          <w:rFonts w:hint="eastAsia"/>
          <w:lang w:val="en-US" w:eastAsia="zh-CN"/>
        </w:rPr>
        <w:t>表3.1-9  现有工程厂界无组织废气监测结果表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3"/>
        <w:gridCol w:w="1480"/>
        <w:gridCol w:w="1408"/>
        <w:gridCol w:w="1556"/>
        <w:gridCol w:w="1412"/>
        <w:gridCol w:w="1400"/>
      </w:tblGrid>
      <w:tr w14:paraId="232F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41" w:type="pct"/>
            <w:tcBorders>
              <w:tl2br w:val="nil"/>
              <w:tr2bl w:val="nil"/>
            </w:tcBorders>
            <w:noWrap w:val="0"/>
            <w:vAlign w:val="center"/>
          </w:tcPr>
          <w:p w14:paraId="294AC4CD">
            <w:pPr>
              <w:pStyle w:val="31"/>
              <w:bidi w:val="0"/>
              <w:rPr>
                <w:rFonts w:hint="default"/>
              </w:rPr>
            </w:pPr>
            <w:r>
              <w:rPr>
                <w:rFonts w:hint="default"/>
              </w:rPr>
              <w:t>采样日期</w:t>
            </w:r>
          </w:p>
        </w:tc>
        <w:tc>
          <w:tcPr>
            <w:tcW w:w="868" w:type="pct"/>
            <w:tcBorders>
              <w:tl2br w:val="nil"/>
              <w:tr2bl w:val="nil"/>
            </w:tcBorders>
            <w:noWrap w:val="0"/>
            <w:vAlign w:val="center"/>
          </w:tcPr>
          <w:p w14:paraId="31B7033C">
            <w:pPr>
              <w:pStyle w:val="31"/>
              <w:bidi w:val="0"/>
              <w:rPr>
                <w:rFonts w:hint="default"/>
              </w:rPr>
            </w:pPr>
            <w:r>
              <w:rPr>
                <w:rFonts w:hint="default"/>
              </w:rPr>
              <w:t>点位名称</w:t>
            </w:r>
          </w:p>
        </w:tc>
        <w:tc>
          <w:tcPr>
            <w:tcW w:w="826" w:type="pct"/>
            <w:tcBorders>
              <w:tl2br w:val="nil"/>
              <w:tr2bl w:val="nil"/>
            </w:tcBorders>
            <w:noWrap w:val="0"/>
            <w:vAlign w:val="center"/>
          </w:tcPr>
          <w:p w14:paraId="1B4FD949">
            <w:pPr>
              <w:pStyle w:val="31"/>
              <w:bidi w:val="0"/>
              <w:rPr>
                <w:rFonts w:hint="default"/>
              </w:rPr>
            </w:pPr>
            <w:r>
              <w:rPr>
                <w:rFonts w:hint="default"/>
              </w:rPr>
              <w:t>检测项目</w:t>
            </w:r>
          </w:p>
        </w:tc>
        <w:tc>
          <w:tcPr>
            <w:tcW w:w="1741" w:type="pct"/>
            <w:gridSpan w:val="2"/>
            <w:tcBorders>
              <w:tl2br w:val="nil"/>
              <w:tr2bl w:val="nil"/>
            </w:tcBorders>
            <w:noWrap w:val="0"/>
            <w:vAlign w:val="center"/>
          </w:tcPr>
          <w:p w14:paraId="350ECAE1">
            <w:pPr>
              <w:pStyle w:val="31"/>
              <w:bidi w:val="0"/>
              <w:rPr>
                <w:rFonts w:hint="default"/>
              </w:rPr>
            </w:pPr>
            <w:r>
              <w:rPr>
                <w:rFonts w:hint="default"/>
              </w:rPr>
              <w:t>检测结果（mg/m</w:t>
            </w:r>
            <w:r>
              <w:rPr>
                <w:rFonts w:hint="default"/>
                <w:vertAlign w:val="superscript"/>
              </w:rPr>
              <w:t>3</w:t>
            </w:r>
            <w:r>
              <w:rPr>
                <w:rFonts w:hint="default"/>
              </w:rPr>
              <w:t>）</w:t>
            </w:r>
          </w:p>
        </w:tc>
        <w:tc>
          <w:tcPr>
            <w:tcW w:w="821" w:type="pct"/>
            <w:tcBorders>
              <w:tl2br w:val="nil"/>
              <w:tr2bl w:val="nil"/>
            </w:tcBorders>
            <w:noWrap w:val="0"/>
            <w:vAlign w:val="center"/>
          </w:tcPr>
          <w:p w14:paraId="37127A7D">
            <w:pPr>
              <w:pStyle w:val="31"/>
              <w:bidi w:val="0"/>
              <w:rPr>
                <w:rFonts w:hint="default"/>
                <w:lang w:val="en-US" w:eastAsia="zh-CN"/>
              </w:rPr>
            </w:pPr>
            <w:r>
              <w:rPr>
                <w:rFonts w:hint="default"/>
                <w:lang w:val="en-US" w:eastAsia="zh-CN"/>
              </w:rPr>
              <w:t>标准限值</w:t>
            </w:r>
          </w:p>
          <w:p w14:paraId="2975F3B3">
            <w:pPr>
              <w:pStyle w:val="31"/>
              <w:bidi w:val="0"/>
              <w:rPr>
                <w:rFonts w:hint="default"/>
                <w:lang w:val="en-US" w:eastAsia="zh-CN"/>
              </w:rPr>
            </w:pPr>
            <w:r>
              <w:rPr>
                <w:rFonts w:hint="default"/>
              </w:rPr>
              <w:t>（mg/m</w:t>
            </w:r>
            <w:r>
              <w:rPr>
                <w:rFonts w:hint="default"/>
                <w:vertAlign w:val="superscript"/>
              </w:rPr>
              <w:t>3</w:t>
            </w:r>
            <w:r>
              <w:rPr>
                <w:rFonts w:hint="default"/>
              </w:rPr>
              <w:t>）</w:t>
            </w:r>
          </w:p>
        </w:tc>
      </w:tr>
      <w:tr w14:paraId="1E32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restart"/>
            <w:tcBorders>
              <w:tl2br w:val="nil"/>
              <w:tr2bl w:val="nil"/>
            </w:tcBorders>
            <w:noWrap w:val="0"/>
            <w:vAlign w:val="center"/>
          </w:tcPr>
          <w:p w14:paraId="3436DC55">
            <w:pPr>
              <w:pStyle w:val="31"/>
              <w:bidi w:val="0"/>
              <w:rPr>
                <w:rFonts w:hint="default"/>
                <w:lang w:val="en-US" w:eastAsia="zh-CN"/>
              </w:rPr>
            </w:pPr>
            <w:r>
              <w:rPr>
                <w:rFonts w:hint="default"/>
                <w:lang w:val="en-US" w:eastAsia="zh-CN"/>
              </w:rPr>
              <w:t>2020.11.23</w:t>
            </w:r>
          </w:p>
        </w:tc>
        <w:tc>
          <w:tcPr>
            <w:tcW w:w="868" w:type="pct"/>
            <w:vMerge w:val="restart"/>
            <w:tcBorders>
              <w:tl2br w:val="nil"/>
              <w:tr2bl w:val="nil"/>
            </w:tcBorders>
            <w:noWrap w:val="0"/>
            <w:vAlign w:val="center"/>
          </w:tcPr>
          <w:p w14:paraId="706F68F4">
            <w:pPr>
              <w:pStyle w:val="31"/>
              <w:bidi w:val="0"/>
              <w:rPr>
                <w:rFonts w:hint="default"/>
                <w:lang w:val="en-US" w:eastAsia="zh-CN"/>
              </w:rPr>
            </w:pPr>
            <w:r>
              <w:rPr>
                <w:rFonts w:hint="default"/>
                <w:lang w:val="en-US" w:eastAsia="zh-CN"/>
              </w:rPr>
              <w:t>厂界东侧10m处○1#</w:t>
            </w:r>
          </w:p>
        </w:tc>
        <w:tc>
          <w:tcPr>
            <w:tcW w:w="826" w:type="pct"/>
            <w:vMerge w:val="restart"/>
            <w:tcBorders>
              <w:tl2br w:val="nil"/>
              <w:tr2bl w:val="nil"/>
            </w:tcBorders>
            <w:noWrap w:val="0"/>
            <w:vAlign w:val="center"/>
          </w:tcPr>
          <w:p w14:paraId="0E35D2AB">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4B5AB187">
            <w:pPr>
              <w:pStyle w:val="31"/>
              <w:bidi w:val="0"/>
              <w:rPr>
                <w:rFonts w:hint="default"/>
              </w:rPr>
            </w:pPr>
            <w:r>
              <w:rPr>
                <w:rFonts w:hint="default"/>
              </w:rPr>
              <w:t>第一时段</w:t>
            </w:r>
          </w:p>
        </w:tc>
        <w:tc>
          <w:tcPr>
            <w:tcW w:w="828" w:type="pct"/>
            <w:tcBorders>
              <w:tl2br w:val="nil"/>
              <w:tr2bl w:val="nil"/>
            </w:tcBorders>
            <w:noWrap w:val="0"/>
            <w:vAlign w:val="center"/>
          </w:tcPr>
          <w:p w14:paraId="3D59361A">
            <w:pPr>
              <w:pStyle w:val="31"/>
              <w:bidi w:val="0"/>
              <w:rPr>
                <w:rFonts w:hint="default"/>
                <w:lang w:val="en-US" w:eastAsia="zh-CN"/>
              </w:rPr>
            </w:pPr>
            <w:r>
              <w:rPr>
                <w:rFonts w:hint="default"/>
                <w:lang w:val="en-US" w:eastAsia="zh-CN"/>
              </w:rPr>
              <w:t>ND</w:t>
            </w:r>
          </w:p>
        </w:tc>
        <w:tc>
          <w:tcPr>
            <w:tcW w:w="821" w:type="pct"/>
            <w:vMerge w:val="restart"/>
            <w:tcBorders>
              <w:tl2br w:val="nil"/>
              <w:tr2bl w:val="nil"/>
            </w:tcBorders>
            <w:noWrap w:val="0"/>
            <w:vAlign w:val="center"/>
          </w:tcPr>
          <w:p w14:paraId="51A0FD57">
            <w:pPr>
              <w:pStyle w:val="31"/>
              <w:bidi w:val="0"/>
              <w:rPr>
                <w:rFonts w:hint="default"/>
                <w:lang w:val="en-US" w:eastAsia="zh-CN"/>
              </w:rPr>
            </w:pPr>
            <w:r>
              <w:rPr>
                <w:rFonts w:hint="default"/>
                <w:lang w:val="en-US" w:eastAsia="zh-CN"/>
              </w:rPr>
              <w:t>2.4</w:t>
            </w:r>
          </w:p>
        </w:tc>
      </w:tr>
      <w:tr w14:paraId="6ACF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D9B2C22">
            <w:pPr>
              <w:pStyle w:val="31"/>
              <w:bidi w:val="0"/>
              <w:rPr>
                <w:rFonts w:hint="default"/>
              </w:rPr>
            </w:pPr>
          </w:p>
        </w:tc>
        <w:tc>
          <w:tcPr>
            <w:tcW w:w="868" w:type="pct"/>
            <w:vMerge w:val="continue"/>
            <w:tcBorders>
              <w:tl2br w:val="nil"/>
              <w:tr2bl w:val="nil"/>
            </w:tcBorders>
            <w:noWrap w:val="0"/>
            <w:vAlign w:val="center"/>
          </w:tcPr>
          <w:p w14:paraId="43DB6BEE">
            <w:pPr>
              <w:pStyle w:val="31"/>
              <w:bidi w:val="0"/>
              <w:rPr>
                <w:rFonts w:hint="default"/>
              </w:rPr>
            </w:pPr>
          </w:p>
        </w:tc>
        <w:tc>
          <w:tcPr>
            <w:tcW w:w="826" w:type="pct"/>
            <w:vMerge w:val="continue"/>
            <w:tcBorders>
              <w:tl2br w:val="nil"/>
              <w:tr2bl w:val="nil"/>
            </w:tcBorders>
            <w:noWrap w:val="0"/>
            <w:vAlign w:val="center"/>
          </w:tcPr>
          <w:p w14:paraId="7C6091DB">
            <w:pPr>
              <w:pStyle w:val="31"/>
              <w:bidi w:val="0"/>
              <w:rPr>
                <w:rFonts w:hint="default"/>
              </w:rPr>
            </w:pPr>
          </w:p>
        </w:tc>
        <w:tc>
          <w:tcPr>
            <w:tcW w:w="913" w:type="pct"/>
            <w:tcBorders>
              <w:tl2br w:val="nil"/>
              <w:tr2bl w:val="nil"/>
            </w:tcBorders>
            <w:noWrap w:val="0"/>
            <w:vAlign w:val="center"/>
          </w:tcPr>
          <w:p w14:paraId="165AFFF6">
            <w:pPr>
              <w:pStyle w:val="31"/>
              <w:bidi w:val="0"/>
              <w:rPr>
                <w:rFonts w:hint="default"/>
              </w:rPr>
            </w:pPr>
            <w:r>
              <w:rPr>
                <w:rFonts w:hint="default"/>
              </w:rPr>
              <w:t>第二时段</w:t>
            </w:r>
          </w:p>
        </w:tc>
        <w:tc>
          <w:tcPr>
            <w:tcW w:w="828" w:type="pct"/>
            <w:tcBorders>
              <w:tl2br w:val="nil"/>
              <w:tr2bl w:val="nil"/>
            </w:tcBorders>
            <w:noWrap w:val="0"/>
            <w:vAlign w:val="center"/>
          </w:tcPr>
          <w:p w14:paraId="3EE68BAF">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021A06D5">
            <w:pPr>
              <w:pStyle w:val="31"/>
              <w:bidi w:val="0"/>
              <w:rPr>
                <w:rFonts w:hint="default"/>
              </w:rPr>
            </w:pPr>
          </w:p>
        </w:tc>
      </w:tr>
      <w:tr w14:paraId="739AF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1845196">
            <w:pPr>
              <w:pStyle w:val="31"/>
              <w:bidi w:val="0"/>
              <w:rPr>
                <w:rFonts w:hint="default"/>
              </w:rPr>
            </w:pPr>
          </w:p>
        </w:tc>
        <w:tc>
          <w:tcPr>
            <w:tcW w:w="868" w:type="pct"/>
            <w:vMerge w:val="continue"/>
            <w:tcBorders>
              <w:tl2br w:val="nil"/>
              <w:tr2bl w:val="nil"/>
            </w:tcBorders>
            <w:noWrap w:val="0"/>
            <w:vAlign w:val="center"/>
          </w:tcPr>
          <w:p w14:paraId="24D9BAF7">
            <w:pPr>
              <w:pStyle w:val="31"/>
              <w:bidi w:val="0"/>
              <w:rPr>
                <w:rFonts w:hint="default"/>
              </w:rPr>
            </w:pPr>
          </w:p>
        </w:tc>
        <w:tc>
          <w:tcPr>
            <w:tcW w:w="826" w:type="pct"/>
            <w:vMerge w:val="continue"/>
            <w:tcBorders>
              <w:tl2br w:val="nil"/>
              <w:tr2bl w:val="nil"/>
            </w:tcBorders>
            <w:noWrap w:val="0"/>
            <w:vAlign w:val="center"/>
          </w:tcPr>
          <w:p w14:paraId="79374234">
            <w:pPr>
              <w:pStyle w:val="31"/>
              <w:bidi w:val="0"/>
              <w:rPr>
                <w:rFonts w:hint="default"/>
              </w:rPr>
            </w:pPr>
          </w:p>
        </w:tc>
        <w:tc>
          <w:tcPr>
            <w:tcW w:w="913" w:type="pct"/>
            <w:tcBorders>
              <w:tl2br w:val="nil"/>
              <w:tr2bl w:val="nil"/>
            </w:tcBorders>
            <w:noWrap w:val="0"/>
            <w:vAlign w:val="center"/>
          </w:tcPr>
          <w:p w14:paraId="5B511F1A">
            <w:pPr>
              <w:pStyle w:val="31"/>
              <w:bidi w:val="0"/>
              <w:rPr>
                <w:rFonts w:hint="default"/>
              </w:rPr>
            </w:pPr>
            <w:r>
              <w:rPr>
                <w:rFonts w:hint="default"/>
              </w:rPr>
              <w:t>第三时段</w:t>
            </w:r>
          </w:p>
        </w:tc>
        <w:tc>
          <w:tcPr>
            <w:tcW w:w="828" w:type="pct"/>
            <w:tcBorders>
              <w:tl2br w:val="nil"/>
              <w:tr2bl w:val="nil"/>
            </w:tcBorders>
            <w:noWrap w:val="0"/>
            <w:vAlign w:val="center"/>
          </w:tcPr>
          <w:p w14:paraId="2B190516">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6A4060BC">
            <w:pPr>
              <w:pStyle w:val="31"/>
              <w:bidi w:val="0"/>
              <w:rPr>
                <w:rFonts w:hint="default"/>
              </w:rPr>
            </w:pPr>
          </w:p>
        </w:tc>
      </w:tr>
      <w:tr w14:paraId="2020F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1D9BAB4">
            <w:pPr>
              <w:pStyle w:val="31"/>
              <w:bidi w:val="0"/>
              <w:rPr>
                <w:rFonts w:hint="default"/>
              </w:rPr>
            </w:pPr>
          </w:p>
        </w:tc>
        <w:tc>
          <w:tcPr>
            <w:tcW w:w="868" w:type="pct"/>
            <w:vMerge w:val="continue"/>
            <w:tcBorders>
              <w:tl2br w:val="nil"/>
              <w:tr2bl w:val="nil"/>
            </w:tcBorders>
            <w:noWrap w:val="0"/>
            <w:vAlign w:val="center"/>
          </w:tcPr>
          <w:p w14:paraId="6BD41C0C">
            <w:pPr>
              <w:pStyle w:val="31"/>
              <w:bidi w:val="0"/>
              <w:rPr>
                <w:rFonts w:hint="default"/>
              </w:rPr>
            </w:pPr>
          </w:p>
        </w:tc>
        <w:tc>
          <w:tcPr>
            <w:tcW w:w="826" w:type="pct"/>
            <w:vMerge w:val="restart"/>
            <w:tcBorders>
              <w:tl2br w:val="nil"/>
              <w:tr2bl w:val="nil"/>
            </w:tcBorders>
            <w:noWrap w:val="0"/>
            <w:vAlign w:val="center"/>
          </w:tcPr>
          <w:p w14:paraId="746DE0DE">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2E26A94E">
            <w:pPr>
              <w:pStyle w:val="31"/>
              <w:bidi w:val="0"/>
              <w:rPr>
                <w:rFonts w:hint="default"/>
              </w:rPr>
            </w:pPr>
            <w:r>
              <w:rPr>
                <w:rFonts w:hint="default"/>
              </w:rPr>
              <w:t>第一时段</w:t>
            </w:r>
          </w:p>
        </w:tc>
        <w:tc>
          <w:tcPr>
            <w:tcW w:w="828" w:type="pct"/>
            <w:tcBorders>
              <w:tl2br w:val="nil"/>
              <w:tr2bl w:val="nil"/>
            </w:tcBorders>
            <w:noWrap w:val="0"/>
            <w:vAlign w:val="center"/>
          </w:tcPr>
          <w:p w14:paraId="5663C731">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239D5AA7">
            <w:pPr>
              <w:pStyle w:val="31"/>
              <w:bidi w:val="0"/>
              <w:rPr>
                <w:rFonts w:hint="default"/>
                <w:lang w:val="en-US" w:eastAsia="zh-CN"/>
              </w:rPr>
            </w:pPr>
            <w:r>
              <w:rPr>
                <w:rFonts w:hint="default"/>
                <w:lang w:val="en-US" w:eastAsia="zh-CN"/>
              </w:rPr>
              <w:t>1.2</w:t>
            </w:r>
          </w:p>
        </w:tc>
      </w:tr>
      <w:tr w14:paraId="01394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4C58066">
            <w:pPr>
              <w:pStyle w:val="31"/>
              <w:bidi w:val="0"/>
              <w:rPr>
                <w:rFonts w:hint="default"/>
              </w:rPr>
            </w:pPr>
          </w:p>
        </w:tc>
        <w:tc>
          <w:tcPr>
            <w:tcW w:w="868" w:type="pct"/>
            <w:vMerge w:val="continue"/>
            <w:tcBorders>
              <w:tl2br w:val="nil"/>
              <w:tr2bl w:val="nil"/>
            </w:tcBorders>
            <w:noWrap w:val="0"/>
            <w:vAlign w:val="center"/>
          </w:tcPr>
          <w:p w14:paraId="78471316">
            <w:pPr>
              <w:pStyle w:val="31"/>
              <w:bidi w:val="0"/>
              <w:rPr>
                <w:rFonts w:hint="default"/>
              </w:rPr>
            </w:pPr>
          </w:p>
        </w:tc>
        <w:tc>
          <w:tcPr>
            <w:tcW w:w="826" w:type="pct"/>
            <w:vMerge w:val="continue"/>
            <w:tcBorders>
              <w:tl2br w:val="nil"/>
              <w:tr2bl w:val="nil"/>
            </w:tcBorders>
            <w:noWrap w:val="0"/>
            <w:vAlign w:val="center"/>
          </w:tcPr>
          <w:p w14:paraId="149A50CB">
            <w:pPr>
              <w:pStyle w:val="31"/>
              <w:bidi w:val="0"/>
              <w:rPr>
                <w:rFonts w:hint="default"/>
              </w:rPr>
            </w:pPr>
          </w:p>
        </w:tc>
        <w:tc>
          <w:tcPr>
            <w:tcW w:w="913" w:type="pct"/>
            <w:tcBorders>
              <w:tl2br w:val="nil"/>
              <w:tr2bl w:val="nil"/>
            </w:tcBorders>
            <w:noWrap w:val="0"/>
            <w:vAlign w:val="center"/>
          </w:tcPr>
          <w:p w14:paraId="285A1B3D">
            <w:pPr>
              <w:pStyle w:val="31"/>
              <w:bidi w:val="0"/>
              <w:rPr>
                <w:rFonts w:hint="default"/>
              </w:rPr>
            </w:pPr>
            <w:r>
              <w:rPr>
                <w:rFonts w:hint="default"/>
              </w:rPr>
              <w:t>第二时段</w:t>
            </w:r>
          </w:p>
        </w:tc>
        <w:tc>
          <w:tcPr>
            <w:tcW w:w="828" w:type="pct"/>
            <w:tcBorders>
              <w:tl2br w:val="nil"/>
              <w:tr2bl w:val="nil"/>
            </w:tcBorders>
            <w:noWrap w:val="0"/>
            <w:vAlign w:val="center"/>
          </w:tcPr>
          <w:p w14:paraId="2825792E">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1A2C2D41">
            <w:pPr>
              <w:pStyle w:val="31"/>
              <w:bidi w:val="0"/>
              <w:rPr>
                <w:rFonts w:hint="default"/>
              </w:rPr>
            </w:pPr>
          </w:p>
        </w:tc>
      </w:tr>
      <w:tr w14:paraId="33AB6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3DC9CF3">
            <w:pPr>
              <w:pStyle w:val="31"/>
              <w:bidi w:val="0"/>
              <w:rPr>
                <w:rFonts w:hint="default"/>
              </w:rPr>
            </w:pPr>
          </w:p>
        </w:tc>
        <w:tc>
          <w:tcPr>
            <w:tcW w:w="868" w:type="pct"/>
            <w:vMerge w:val="continue"/>
            <w:tcBorders>
              <w:tl2br w:val="nil"/>
              <w:tr2bl w:val="nil"/>
            </w:tcBorders>
            <w:noWrap w:val="0"/>
            <w:vAlign w:val="center"/>
          </w:tcPr>
          <w:p w14:paraId="52BE4A19">
            <w:pPr>
              <w:pStyle w:val="31"/>
              <w:bidi w:val="0"/>
              <w:rPr>
                <w:rFonts w:hint="default"/>
              </w:rPr>
            </w:pPr>
          </w:p>
        </w:tc>
        <w:tc>
          <w:tcPr>
            <w:tcW w:w="826" w:type="pct"/>
            <w:vMerge w:val="continue"/>
            <w:tcBorders>
              <w:tl2br w:val="nil"/>
              <w:tr2bl w:val="nil"/>
            </w:tcBorders>
            <w:noWrap w:val="0"/>
            <w:vAlign w:val="center"/>
          </w:tcPr>
          <w:p w14:paraId="149DF51C">
            <w:pPr>
              <w:pStyle w:val="31"/>
              <w:bidi w:val="0"/>
              <w:rPr>
                <w:rFonts w:hint="default"/>
              </w:rPr>
            </w:pPr>
          </w:p>
        </w:tc>
        <w:tc>
          <w:tcPr>
            <w:tcW w:w="913" w:type="pct"/>
            <w:tcBorders>
              <w:tl2br w:val="nil"/>
              <w:tr2bl w:val="nil"/>
            </w:tcBorders>
            <w:noWrap w:val="0"/>
            <w:vAlign w:val="center"/>
          </w:tcPr>
          <w:p w14:paraId="7827B396">
            <w:pPr>
              <w:pStyle w:val="31"/>
              <w:bidi w:val="0"/>
              <w:rPr>
                <w:rFonts w:hint="default"/>
              </w:rPr>
            </w:pPr>
            <w:r>
              <w:rPr>
                <w:rFonts w:hint="default"/>
              </w:rPr>
              <w:t>第三时段</w:t>
            </w:r>
          </w:p>
        </w:tc>
        <w:tc>
          <w:tcPr>
            <w:tcW w:w="828" w:type="pct"/>
            <w:tcBorders>
              <w:tl2br w:val="nil"/>
              <w:tr2bl w:val="nil"/>
            </w:tcBorders>
            <w:noWrap w:val="0"/>
            <w:vAlign w:val="center"/>
          </w:tcPr>
          <w:p w14:paraId="30B9B57F">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1B6BB463">
            <w:pPr>
              <w:pStyle w:val="31"/>
              <w:bidi w:val="0"/>
              <w:rPr>
                <w:rFonts w:hint="default"/>
              </w:rPr>
            </w:pPr>
          </w:p>
        </w:tc>
      </w:tr>
      <w:tr w14:paraId="03C7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D557106">
            <w:pPr>
              <w:pStyle w:val="31"/>
              <w:bidi w:val="0"/>
              <w:rPr>
                <w:rFonts w:hint="default"/>
              </w:rPr>
            </w:pPr>
          </w:p>
        </w:tc>
        <w:tc>
          <w:tcPr>
            <w:tcW w:w="868" w:type="pct"/>
            <w:vMerge w:val="continue"/>
            <w:tcBorders>
              <w:tl2br w:val="nil"/>
              <w:tr2bl w:val="nil"/>
            </w:tcBorders>
            <w:noWrap w:val="0"/>
            <w:vAlign w:val="center"/>
          </w:tcPr>
          <w:p w14:paraId="5F46CB57">
            <w:pPr>
              <w:pStyle w:val="31"/>
              <w:bidi w:val="0"/>
              <w:rPr>
                <w:rFonts w:hint="default"/>
              </w:rPr>
            </w:pPr>
          </w:p>
        </w:tc>
        <w:tc>
          <w:tcPr>
            <w:tcW w:w="826" w:type="pct"/>
            <w:vMerge w:val="restart"/>
            <w:tcBorders>
              <w:tl2br w:val="nil"/>
              <w:tr2bl w:val="nil"/>
            </w:tcBorders>
            <w:noWrap w:val="0"/>
            <w:vAlign w:val="center"/>
          </w:tcPr>
          <w:p w14:paraId="54D6C461">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2401BDAF">
            <w:pPr>
              <w:pStyle w:val="31"/>
              <w:bidi w:val="0"/>
              <w:rPr>
                <w:rFonts w:hint="default"/>
              </w:rPr>
            </w:pPr>
            <w:r>
              <w:rPr>
                <w:rFonts w:hint="default"/>
              </w:rPr>
              <w:t>第一时段</w:t>
            </w:r>
          </w:p>
        </w:tc>
        <w:tc>
          <w:tcPr>
            <w:tcW w:w="828" w:type="pct"/>
            <w:tcBorders>
              <w:tl2br w:val="nil"/>
              <w:tr2bl w:val="nil"/>
            </w:tcBorders>
            <w:noWrap w:val="0"/>
            <w:vAlign w:val="center"/>
          </w:tcPr>
          <w:p w14:paraId="592B7AF0">
            <w:pPr>
              <w:pStyle w:val="31"/>
              <w:bidi w:val="0"/>
              <w:rPr>
                <w:rFonts w:hint="default"/>
                <w:lang w:val="en-US" w:eastAsia="zh-CN"/>
              </w:rPr>
            </w:pPr>
            <w:r>
              <w:rPr>
                <w:rFonts w:hint="default"/>
                <w:lang w:val="en-US" w:eastAsia="zh-CN"/>
              </w:rPr>
              <w:t>0.342</w:t>
            </w:r>
          </w:p>
        </w:tc>
        <w:tc>
          <w:tcPr>
            <w:tcW w:w="821" w:type="pct"/>
            <w:vMerge w:val="restart"/>
            <w:tcBorders>
              <w:tl2br w:val="nil"/>
              <w:tr2bl w:val="nil"/>
            </w:tcBorders>
            <w:noWrap w:val="0"/>
            <w:vAlign w:val="center"/>
          </w:tcPr>
          <w:p w14:paraId="41CCFEA1">
            <w:pPr>
              <w:pStyle w:val="31"/>
              <w:bidi w:val="0"/>
              <w:rPr>
                <w:rFonts w:hint="default"/>
                <w:lang w:val="en-US" w:eastAsia="zh-CN"/>
              </w:rPr>
            </w:pPr>
            <w:r>
              <w:rPr>
                <w:rFonts w:hint="default"/>
                <w:lang w:val="en-US" w:eastAsia="zh-CN"/>
              </w:rPr>
              <w:t>1.0</w:t>
            </w:r>
          </w:p>
        </w:tc>
      </w:tr>
      <w:tr w14:paraId="30BE6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5ABB55C">
            <w:pPr>
              <w:pStyle w:val="31"/>
              <w:bidi w:val="0"/>
              <w:rPr>
                <w:rFonts w:hint="default"/>
              </w:rPr>
            </w:pPr>
          </w:p>
        </w:tc>
        <w:tc>
          <w:tcPr>
            <w:tcW w:w="868" w:type="pct"/>
            <w:vMerge w:val="continue"/>
            <w:tcBorders>
              <w:tl2br w:val="nil"/>
              <w:tr2bl w:val="nil"/>
            </w:tcBorders>
            <w:noWrap w:val="0"/>
            <w:vAlign w:val="center"/>
          </w:tcPr>
          <w:p w14:paraId="4D3CD3CD">
            <w:pPr>
              <w:pStyle w:val="31"/>
              <w:bidi w:val="0"/>
              <w:rPr>
                <w:rFonts w:hint="default"/>
              </w:rPr>
            </w:pPr>
          </w:p>
        </w:tc>
        <w:tc>
          <w:tcPr>
            <w:tcW w:w="826" w:type="pct"/>
            <w:vMerge w:val="continue"/>
            <w:tcBorders>
              <w:tl2br w:val="nil"/>
              <w:tr2bl w:val="nil"/>
            </w:tcBorders>
            <w:noWrap w:val="0"/>
            <w:vAlign w:val="center"/>
          </w:tcPr>
          <w:p w14:paraId="4F551FE4">
            <w:pPr>
              <w:pStyle w:val="31"/>
              <w:bidi w:val="0"/>
              <w:rPr>
                <w:rFonts w:hint="default"/>
              </w:rPr>
            </w:pPr>
          </w:p>
        </w:tc>
        <w:tc>
          <w:tcPr>
            <w:tcW w:w="913" w:type="pct"/>
            <w:tcBorders>
              <w:tl2br w:val="nil"/>
              <w:tr2bl w:val="nil"/>
            </w:tcBorders>
            <w:noWrap w:val="0"/>
            <w:vAlign w:val="center"/>
          </w:tcPr>
          <w:p w14:paraId="437D5CF5">
            <w:pPr>
              <w:pStyle w:val="31"/>
              <w:bidi w:val="0"/>
              <w:rPr>
                <w:rFonts w:hint="default"/>
              </w:rPr>
            </w:pPr>
            <w:r>
              <w:rPr>
                <w:rFonts w:hint="default"/>
              </w:rPr>
              <w:t>第二时段</w:t>
            </w:r>
          </w:p>
        </w:tc>
        <w:tc>
          <w:tcPr>
            <w:tcW w:w="828" w:type="pct"/>
            <w:tcBorders>
              <w:tl2br w:val="nil"/>
              <w:tr2bl w:val="nil"/>
            </w:tcBorders>
            <w:noWrap w:val="0"/>
            <w:vAlign w:val="center"/>
          </w:tcPr>
          <w:p w14:paraId="658D1F98">
            <w:pPr>
              <w:pStyle w:val="31"/>
              <w:bidi w:val="0"/>
              <w:rPr>
                <w:rFonts w:hint="default"/>
                <w:lang w:val="en-US" w:eastAsia="zh-CN"/>
              </w:rPr>
            </w:pPr>
            <w:r>
              <w:rPr>
                <w:rFonts w:hint="default"/>
                <w:lang w:val="en-US" w:eastAsia="zh-CN"/>
              </w:rPr>
              <w:t>0.328</w:t>
            </w:r>
          </w:p>
        </w:tc>
        <w:tc>
          <w:tcPr>
            <w:tcW w:w="821" w:type="pct"/>
            <w:vMerge w:val="continue"/>
            <w:tcBorders>
              <w:tl2br w:val="nil"/>
              <w:tr2bl w:val="nil"/>
            </w:tcBorders>
            <w:noWrap w:val="0"/>
            <w:vAlign w:val="center"/>
          </w:tcPr>
          <w:p w14:paraId="65C6A60F">
            <w:pPr>
              <w:pStyle w:val="31"/>
              <w:bidi w:val="0"/>
              <w:rPr>
                <w:rFonts w:hint="default"/>
                <w:lang w:val="en-US" w:eastAsia="zh-CN"/>
              </w:rPr>
            </w:pPr>
          </w:p>
        </w:tc>
      </w:tr>
      <w:tr w14:paraId="66215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FEDB1CC">
            <w:pPr>
              <w:pStyle w:val="31"/>
              <w:bidi w:val="0"/>
              <w:rPr>
                <w:rFonts w:hint="default"/>
              </w:rPr>
            </w:pPr>
          </w:p>
        </w:tc>
        <w:tc>
          <w:tcPr>
            <w:tcW w:w="868" w:type="pct"/>
            <w:vMerge w:val="continue"/>
            <w:tcBorders>
              <w:tl2br w:val="nil"/>
              <w:tr2bl w:val="nil"/>
            </w:tcBorders>
            <w:noWrap w:val="0"/>
            <w:vAlign w:val="center"/>
          </w:tcPr>
          <w:p w14:paraId="2FDDCE9A">
            <w:pPr>
              <w:pStyle w:val="31"/>
              <w:bidi w:val="0"/>
              <w:rPr>
                <w:rFonts w:hint="default"/>
              </w:rPr>
            </w:pPr>
          </w:p>
        </w:tc>
        <w:tc>
          <w:tcPr>
            <w:tcW w:w="826" w:type="pct"/>
            <w:vMerge w:val="continue"/>
            <w:tcBorders>
              <w:tl2br w:val="nil"/>
              <w:tr2bl w:val="nil"/>
            </w:tcBorders>
            <w:noWrap w:val="0"/>
            <w:vAlign w:val="center"/>
          </w:tcPr>
          <w:p w14:paraId="56C9F27D">
            <w:pPr>
              <w:pStyle w:val="31"/>
              <w:bidi w:val="0"/>
              <w:rPr>
                <w:rFonts w:hint="default"/>
              </w:rPr>
            </w:pPr>
          </w:p>
        </w:tc>
        <w:tc>
          <w:tcPr>
            <w:tcW w:w="913" w:type="pct"/>
            <w:tcBorders>
              <w:tl2br w:val="nil"/>
              <w:tr2bl w:val="nil"/>
            </w:tcBorders>
            <w:noWrap w:val="0"/>
            <w:vAlign w:val="center"/>
          </w:tcPr>
          <w:p w14:paraId="14469100">
            <w:pPr>
              <w:pStyle w:val="31"/>
              <w:bidi w:val="0"/>
              <w:rPr>
                <w:rFonts w:hint="default"/>
              </w:rPr>
            </w:pPr>
            <w:r>
              <w:rPr>
                <w:rFonts w:hint="default"/>
              </w:rPr>
              <w:t>第三时段</w:t>
            </w:r>
          </w:p>
        </w:tc>
        <w:tc>
          <w:tcPr>
            <w:tcW w:w="828" w:type="pct"/>
            <w:tcBorders>
              <w:tl2br w:val="nil"/>
              <w:tr2bl w:val="nil"/>
            </w:tcBorders>
            <w:noWrap w:val="0"/>
            <w:vAlign w:val="center"/>
          </w:tcPr>
          <w:p w14:paraId="02342AD5">
            <w:pPr>
              <w:pStyle w:val="31"/>
              <w:bidi w:val="0"/>
              <w:rPr>
                <w:rFonts w:hint="default"/>
                <w:lang w:val="en-US" w:eastAsia="zh-CN"/>
              </w:rPr>
            </w:pPr>
            <w:r>
              <w:rPr>
                <w:rFonts w:hint="default"/>
                <w:lang w:val="en-US" w:eastAsia="zh-CN"/>
              </w:rPr>
              <w:t>0.360</w:t>
            </w:r>
          </w:p>
        </w:tc>
        <w:tc>
          <w:tcPr>
            <w:tcW w:w="821" w:type="pct"/>
            <w:vMerge w:val="continue"/>
            <w:tcBorders>
              <w:tl2br w:val="nil"/>
              <w:tr2bl w:val="nil"/>
            </w:tcBorders>
            <w:noWrap w:val="0"/>
            <w:vAlign w:val="center"/>
          </w:tcPr>
          <w:p w14:paraId="0D0995DF">
            <w:pPr>
              <w:pStyle w:val="31"/>
              <w:bidi w:val="0"/>
              <w:rPr>
                <w:rFonts w:hint="default"/>
                <w:lang w:val="en-US" w:eastAsia="zh-CN"/>
              </w:rPr>
            </w:pPr>
          </w:p>
        </w:tc>
      </w:tr>
      <w:tr w14:paraId="25FF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E6ED7C2">
            <w:pPr>
              <w:pStyle w:val="31"/>
              <w:bidi w:val="0"/>
              <w:rPr>
                <w:rFonts w:hint="default"/>
              </w:rPr>
            </w:pPr>
          </w:p>
        </w:tc>
        <w:tc>
          <w:tcPr>
            <w:tcW w:w="868" w:type="pct"/>
            <w:vMerge w:val="continue"/>
            <w:tcBorders>
              <w:tl2br w:val="nil"/>
              <w:tr2bl w:val="nil"/>
            </w:tcBorders>
            <w:noWrap w:val="0"/>
            <w:vAlign w:val="center"/>
          </w:tcPr>
          <w:p w14:paraId="1A97F997">
            <w:pPr>
              <w:pStyle w:val="31"/>
              <w:bidi w:val="0"/>
              <w:rPr>
                <w:rFonts w:hint="default"/>
              </w:rPr>
            </w:pPr>
          </w:p>
        </w:tc>
        <w:tc>
          <w:tcPr>
            <w:tcW w:w="826" w:type="pct"/>
            <w:vMerge w:val="restart"/>
            <w:tcBorders>
              <w:tl2br w:val="nil"/>
              <w:tr2bl w:val="nil"/>
            </w:tcBorders>
            <w:noWrap w:val="0"/>
            <w:vAlign w:val="center"/>
          </w:tcPr>
          <w:p w14:paraId="788FF711">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42757936">
            <w:pPr>
              <w:pStyle w:val="31"/>
              <w:bidi w:val="0"/>
              <w:rPr>
                <w:rFonts w:hint="default"/>
              </w:rPr>
            </w:pPr>
            <w:r>
              <w:rPr>
                <w:rFonts w:hint="default"/>
              </w:rPr>
              <w:t>第一时段</w:t>
            </w:r>
          </w:p>
        </w:tc>
        <w:tc>
          <w:tcPr>
            <w:tcW w:w="828" w:type="pct"/>
            <w:tcBorders>
              <w:tl2br w:val="nil"/>
              <w:tr2bl w:val="nil"/>
            </w:tcBorders>
            <w:noWrap w:val="0"/>
            <w:vAlign w:val="center"/>
          </w:tcPr>
          <w:p w14:paraId="218732C3">
            <w:pPr>
              <w:pStyle w:val="31"/>
              <w:bidi w:val="0"/>
              <w:rPr>
                <w:rFonts w:hint="default"/>
                <w:lang w:val="en-US" w:eastAsia="zh-CN"/>
              </w:rPr>
            </w:pPr>
            <w:r>
              <w:rPr>
                <w:rFonts w:hint="default"/>
                <w:lang w:val="en-US" w:eastAsia="zh-CN"/>
              </w:rPr>
              <w:t>0.45</w:t>
            </w:r>
          </w:p>
        </w:tc>
        <w:tc>
          <w:tcPr>
            <w:tcW w:w="821" w:type="pct"/>
            <w:vMerge w:val="restart"/>
            <w:tcBorders>
              <w:tl2br w:val="nil"/>
              <w:tr2bl w:val="nil"/>
            </w:tcBorders>
            <w:noWrap w:val="0"/>
            <w:vAlign w:val="center"/>
          </w:tcPr>
          <w:p w14:paraId="49A332DD">
            <w:pPr>
              <w:pStyle w:val="31"/>
              <w:bidi w:val="0"/>
              <w:rPr>
                <w:rFonts w:hint="default"/>
                <w:lang w:val="en-US" w:eastAsia="zh-CN"/>
              </w:rPr>
            </w:pPr>
            <w:r>
              <w:rPr>
                <w:rFonts w:hint="default"/>
                <w:lang w:val="en-US" w:eastAsia="zh-CN"/>
              </w:rPr>
              <w:t>2.0</w:t>
            </w:r>
          </w:p>
        </w:tc>
      </w:tr>
      <w:tr w14:paraId="2B7FF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F3EB4B6">
            <w:pPr>
              <w:pStyle w:val="31"/>
              <w:bidi w:val="0"/>
              <w:rPr>
                <w:rFonts w:hint="default"/>
              </w:rPr>
            </w:pPr>
          </w:p>
        </w:tc>
        <w:tc>
          <w:tcPr>
            <w:tcW w:w="868" w:type="pct"/>
            <w:vMerge w:val="continue"/>
            <w:tcBorders>
              <w:tl2br w:val="nil"/>
              <w:tr2bl w:val="nil"/>
            </w:tcBorders>
            <w:noWrap w:val="0"/>
            <w:vAlign w:val="center"/>
          </w:tcPr>
          <w:p w14:paraId="54ACD235">
            <w:pPr>
              <w:pStyle w:val="31"/>
              <w:bidi w:val="0"/>
              <w:rPr>
                <w:rFonts w:hint="default"/>
              </w:rPr>
            </w:pPr>
          </w:p>
        </w:tc>
        <w:tc>
          <w:tcPr>
            <w:tcW w:w="826" w:type="pct"/>
            <w:vMerge w:val="continue"/>
            <w:tcBorders>
              <w:tl2br w:val="nil"/>
              <w:tr2bl w:val="nil"/>
            </w:tcBorders>
            <w:noWrap w:val="0"/>
            <w:vAlign w:val="center"/>
          </w:tcPr>
          <w:p w14:paraId="67C3D1DC">
            <w:pPr>
              <w:pStyle w:val="31"/>
              <w:bidi w:val="0"/>
              <w:rPr>
                <w:rFonts w:hint="default"/>
              </w:rPr>
            </w:pPr>
          </w:p>
        </w:tc>
        <w:tc>
          <w:tcPr>
            <w:tcW w:w="913" w:type="pct"/>
            <w:tcBorders>
              <w:tl2br w:val="nil"/>
              <w:tr2bl w:val="nil"/>
            </w:tcBorders>
            <w:noWrap w:val="0"/>
            <w:vAlign w:val="center"/>
          </w:tcPr>
          <w:p w14:paraId="0ED50216">
            <w:pPr>
              <w:pStyle w:val="31"/>
              <w:bidi w:val="0"/>
              <w:rPr>
                <w:rFonts w:hint="default"/>
              </w:rPr>
            </w:pPr>
            <w:r>
              <w:rPr>
                <w:rFonts w:hint="default"/>
              </w:rPr>
              <w:t>第二时段</w:t>
            </w:r>
          </w:p>
        </w:tc>
        <w:tc>
          <w:tcPr>
            <w:tcW w:w="828" w:type="pct"/>
            <w:tcBorders>
              <w:tl2br w:val="nil"/>
              <w:tr2bl w:val="nil"/>
            </w:tcBorders>
            <w:noWrap w:val="0"/>
            <w:vAlign w:val="center"/>
          </w:tcPr>
          <w:p w14:paraId="6C545ECC">
            <w:pPr>
              <w:pStyle w:val="31"/>
              <w:bidi w:val="0"/>
              <w:rPr>
                <w:rFonts w:hint="default"/>
                <w:lang w:val="en-US" w:eastAsia="zh-CN"/>
              </w:rPr>
            </w:pPr>
            <w:r>
              <w:rPr>
                <w:rFonts w:hint="default"/>
                <w:lang w:val="en-US" w:eastAsia="zh-CN"/>
              </w:rPr>
              <w:t>0.44</w:t>
            </w:r>
          </w:p>
        </w:tc>
        <w:tc>
          <w:tcPr>
            <w:tcW w:w="821" w:type="pct"/>
            <w:vMerge w:val="continue"/>
            <w:tcBorders>
              <w:tl2br w:val="nil"/>
              <w:tr2bl w:val="nil"/>
            </w:tcBorders>
            <w:noWrap w:val="0"/>
            <w:vAlign w:val="center"/>
          </w:tcPr>
          <w:p w14:paraId="1AF39F23">
            <w:pPr>
              <w:pStyle w:val="31"/>
              <w:bidi w:val="0"/>
              <w:rPr>
                <w:rFonts w:hint="default"/>
                <w:lang w:val="en-US" w:eastAsia="zh-CN"/>
              </w:rPr>
            </w:pPr>
          </w:p>
        </w:tc>
      </w:tr>
      <w:tr w14:paraId="57AC1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E7741A7">
            <w:pPr>
              <w:pStyle w:val="31"/>
              <w:bidi w:val="0"/>
              <w:rPr>
                <w:rFonts w:hint="default"/>
              </w:rPr>
            </w:pPr>
          </w:p>
        </w:tc>
        <w:tc>
          <w:tcPr>
            <w:tcW w:w="868" w:type="pct"/>
            <w:vMerge w:val="continue"/>
            <w:tcBorders>
              <w:tl2br w:val="nil"/>
              <w:tr2bl w:val="nil"/>
            </w:tcBorders>
            <w:noWrap w:val="0"/>
            <w:vAlign w:val="center"/>
          </w:tcPr>
          <w:p w14:paraId="756DF61A">
            <w:pPr>
              <w:pStyle w:val="31"/>
              <w:bidi w:val="0"/>
              <w:rPr>
                <w:rFonts w:hint="default"/>
              </w:rPr>
            </w:pPr>
          </w:p>
        </w:tc>
        <w:tc>
          <w:tcPr>
            <w:tcW w:w="826" w:type="pct"/>
            <w:vMerge w:val="continue"/>
            <w:tcBorders>
              <w:tl2br w:val="nil"/>
              <w:tr2bl w:val="nil"/>
            </w:tcBorders>
            <w:noWrap w:val="0"/>
            <w:vAlign w:val="center"/>
          </w:tcPr>
          <w:p w14:paraId="350B2241">
            <w:pPr>
              <w:pStyle w:val="31"/>
              <w:bidi w:val="0"/>
              <w:rPr>
                <w:rFonts w:hint="default"/>
              </w:rPr>
            </w:pPr>
          </w:p>
        </w:tc>
        <w:tc>
          <w:tcPr>
            <w:tcW w:w="913" w:type="pct"/>
            <w:tcBorders>
              <w:tl2br w:val="nil"/>
              <w:tr2bl w:val="nil"/>
            </w:tcBorders>
            <w:noWrap w:val="0"/>
            <w:vAlign w:val="center"/>
          </w:tcPr>
          <w:p w14:paraId="0E15114D">
            <w:pPr>
              <w:pStyle w:val="31"/>
              <w:bidi w:val="0"/>
              <w:rPr>
                <w:rFonts w:hint="default"/>
              </w:rPr>
            </w:pPr>
            <w:r>
              <w:rPr>
                <w:rFonts w:hint="default"/>
              </w:rPr>
              <w:t>第三时段</w:t>
            </w:r>
          </w:p>
        </w:tc>
        <w:tc>
          <w:tcPr>
            <w:tcW w:w="828" w:type="pct"/>
            <w:tcBorders>
              <w:tl2br w:val="nil"/>
              <w:tr2bl w:val="nil"/>
            </w:tcBorders>
            <w:noWrap w:val="0"/>
            <w:vAlign w:val="center"/>
          </w:tcPr>
          <w:p w14:paraId="01600CC9">
            <w:pPr>
              <w:pStyle w:val="31"/>
              <w:bidi w:val="0"/>
              <w:rPr>
                <w:rFonts w:hint="default"/>
                <w:lang w:val="en-US" w:eastAsia="zh-CN"/>
              </w:rPr>
            </w:pPr>
            <w:r>
              <w:rPr>
                <w:rFonts w:hint="default"/>
                <w:lang w:val="en-US" w:eastAsia="zh-CN"/>
              </w:rPr>
              <w:t>0.42</w:t>
            </w:r>
          </w:p>
        </w:tc>
        <w:tc>
          <w:tcPr>
            <w:tcW w:w="821" w:type="pct"/>
            <w:vMerge w:val="continue"/>
            <w:tcBorders>
              <w:tl2br w:val="nil"/>
              <w:tr2bl w:val="nil"/>
            </w:tcBorders>
            <w:noWrap w:val="0"/>
            <w:vAlign w:val="center"/>
          </w:tcPr>
          <w:p w14:paraId="1BBFBAF4">
            <w:pPr>
              <w:pStyle w:val="31"/>
              <w:bidi w:val="0"/>
              <w:rPr>
                <w:rFonts w:hint="default"/>
                <w:lang w:val="en-US" w:eastAsia="zh-CN"/>
              </w:rPr>
            </w:pPr>
          </w:p>
        </w:tc>
      </w:tr>
      <w:tr w14:paraId="53235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DE5A7AD">
            <w:pPr>
              <w:pStyle w:val="31"/>
              <w:bidi w:val="0"/>
              <w:rPr>
                <w:rFonts w:hint="default"/>
                <w:lang w:val="en-US" w:eastAsia="zh-CN"/>
              </w:rPr>
            </w:pPr>
          </w:p>
        </w:tc>
        <w:tc>
          <w:tcPr>
            <w:tcW w:w="868" w:type="pct"/>
            <w:vMerge w:val="restart"/>
            <w:tcBorders>
              <w:tl2br w:val="nil"/>
              <w:tr2bl w:val="nil"/>
            </w:tcBorders>
            <w:noWrap w:val="0"/>
            <w:vAlign w:val="center"/>
          </w:tcPr>
          <w:p w14:paraId="6433AFF8">
            <w:pPr>
              <w:pStyle w:val="31"/>
              <w:bidi w:val="0"/>
              <w:rPr>
                <w:rFonts w:hint="default"/>
                <w:lang w:val="en-US" w:eastAsia="zh-CN"/>
              </w:rPr>
            </w:pPr>
            <w:r>
              <w:rPr>
                <w:rFonts w:hint="default"/>
                <w:lang w:val="en-US" w:eastAsia="zh-CN"/>
              </w:rPr>
              <w:t>厂界南侧10m处○2#</w:t>
            </w:r>
          </w:p>
        </w:tc>
        <w:tc>
          <w:tcPr>
            <w:tcW w:w="826" w:type="pct"/>
            <w:vMerge w:val="restart"/>
            <w:tcBorders>
              <w:tl2br w:val="nil"/>
              <w:tr2bl w:val="nil"/>
            </w:tcBorders>
            <w:noWrap w:val="0"/>
            <w:vAlign w:val="center"/>
          </w:tcPr>
          <w:p w14:paraId="573190CA">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606BF94F">
            <w:pPr>
              <w:pStyle w:val="31"/>
              <w:bidi w:val="0"/>
              <w:rPr>
                <w:rFonts w:hint="default"/>
              </w:rPr>
            </w:pPr>
            <w:r>
              <w:rPr>
                <w:rFonts w:hint="default"/>
              </w:rPr>
              <w:t>第一时段</w:t>
            </w:r>
          </w:p>
        </w:tc>
        <w:tc>
          <w:tcPr>
            <w:tcW w:w="828" w:type="pct"/>
            <w:tcBorders>
              <w:tl2br w:val="nil"/>
              <w:tr2bl w:val="nil"/>
            </w:tcBorders>
            <w:noWrap w:val="0"/>
            <w:vAlign w:val="center"/>
          </w:tcPr>
          <w:p w14:paraId="6D8A3206">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4D018587">
            <w:pPr>
              <w:pStyle w:val="31"/>
              <w:bidi w:val="0"/>
              <w:rPr>
                <w:rFonts w:hint="default"/>
                <w:lang w:val="en-US" w:eastAsia="zh-CN"/>
              </w:rPr>
            </w:pPr>
            <w:r>
              <w:rPr>
                <w:rFonts w:hint="default"/>
                <w:lang w:val="en-US" w:eastAsia="zh-CN"/>
              </w:rPr>
              <w:t>2.4</w:t>
            </w:r>
          </w:p>
        </w:tc>
      </w:tr>
      <w:tr w14:paraId="2B54A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563AE68">
            <w:pPr>
              <w:pStyle w:val="31"/>
              <w:bidi w:val="0"/>
              <w:rPr>
                <w:rFonts w:hint="default"/>
              </w:rPr>
            </w:pPr>
          </w:p>
        </w:tc>
        <w:tc>
          <w:tcPr>
            <w:tcW w:w="868" w:type="pct"/>
            <w:vMerge w:val="continue"/>
            <w:tcBorders>
              <w:tl2br w:val="nil"/>
              <w:tr2bl w:val="nil"/>
            </w:tcBorders>
            <w:noWrap w:val="0"/>
            <w:vAlign w:val="center"/>
          </w:tcPr>
          <w:p w14:paraId="41F2BE2D">
            <w:pPr>
              <w:pStyle w:val="31"/>
              <w:bidi w:val="0"/>
              <w:rPr>
                <w:rFonts w:hint="default"/>
              </w:rPr>
            </w:pPr>
          </w:p>
        </w:tc>
        <w:tc>
          <w:tcPr>
            <w:tcW w:w="826" w:type="pct"/>
            <w:vMerge w:val="continue"/>
            <w:tcBorders>
              <w:tl2br w:val="nil"/>
              <w:tr2bl w:val="nil"/>
            </w:tcBorders>
            <w:noWrap w:val="0"/>
            <w:vAlign w:val="center"/>
          </w:tcPr>
          <w:p w14:paraId="10A924AC">
            <w:pPr>
              <w:pStyle w:val="31"/>
              <w:bidi w:val="0"/>
              <w:rPr>
                <w:rFonts w:hint="default"/>
              </w:rPr>
            </w:pPr>
          </w:p>
        </w:tc>
        <w:tc>
          <w:tcPr>
            <w:tcW w:w="913" w:type="pct"/>
            <w:tcBorders>
              <w:tl2br w:val="nil"/>
              <w:tr2bl w:val="nil"/>
            </w:tcBorders>
            <w:noWrap w:val="0"/>
            <w:vAlign w:val="center"/>
          </w:tcPr>
          <w:p w14:paraId="10D8A53B">
            <w:pPr>
              <w:pStyle w:val="31"/>
              <w:bidi w:val="0"/>
              <w:rPr>
                <w:rFonts w:hint="default"/>
              </w:rPr>
            </w:pPr>
            <w:r>
              <w:rPr>
                <w:rFonts w:hint="default"/>
              </w:rPr>
              <w:t>第二时段</w:t>
            </w:r>
          </w:p>
        </w:tc>
        <w:tc>
          <w:tcPr>
            <w:tcW w:w="828" w:type="pct"/>
            <w:tcBorders>
              <w:tl2br w:val="nil"/>
              <w:tr2bl w:val="nil"/>
            </w:tcBorders>
            <w:noWrap w:val="0"/>
            <w:vAlign w:val="center"/>
          </w:tcPr>
          <w:p w14:paraId="1F8F3900">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601E47AD">
            <w:pPr>
              <w:pStyle w:val="31"/>
              <w:bidi w:val="0"/>
              <w:rPr>
                <w:rFonts w:hint="default"/>
              </w:rPr>
            </w:pPr>
          </w:p>
        </w:tc>
      </w:tr>
      <w:tr w14:paraId="72108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DBB24AA">
            <w:pPr>
              <w:pStyle w:val="31"/>
              <w:bidi w:val="0"/>
              <w:rPr>
                <w:rFonts w:hint="default"/>
              </w:rPr>
            </w:pPr>
          </w:p>
        </w:tc>
        <w:tc>
          <w:tcPr>
            <w:tcW w:w="868" w:type="pct"/>
            <w:vMerge w:val="continue"/>
            <w:tcBorders>
              <w:tl2br w:val="nil"/>
              <w:tr2bl w:val="nil"/>
            </w:tcBorders>
            <w:noWrap w:val="0"/>
            <w:vAlign w:val="center"/>
          </w:tcPr>
          <w:p w14:paraId="769DB757">
            <w:pPr>
              <w:pStyle w:val="31"/>
              <w:bidi w:val="0"/>
              <w:rPr>
                <w:rFonts w:hint="default"/>
              </w:rPr>
            </w:pPr>
          </w:p>
        </w:tc>
        <w:tc>
          <w:tcPr>
            <w:tcW w:w="826" w:type="pct"/>
            <w:vMerge w:val="continue"/>
            <w:tcBorders>
              <w:tl2br w:val="nil"/>
              <w:tr2bl w:val="nil"/>
            </w:tcBorders>
            <w:noWrap w:val="0"/>
            <w:vAlign w:val="center"/>
          </w:tcPr>
          <w:p w14:paraId="455A245F">
            <w:pPr>
              <w:pStyle w:val="31"/>
              <w:bidi w:val="0"/>
              <w:rPr>
                <w:rFonts w:hint="default"/>
              </w:rPr>
            </w:pPr>
          </w:p>
        </w:tc>
        <w:tc>
          <w:tcPr>
            <w:tcW w:w="913" w:type="pct"/>
            <w:tcBorders>
              <w:tl2br w:val="nil"/>
              <w:tr2bl w:val="nil"/>
            </w:tcBorders>
            <w:noWrap w:val="0"/>
            <w:vAlign w:val="center"/>
          </w:tcPr>
          <w:p w14:paraId="0F0B223B">
            <w:pPr>
              <w:pStyle w:val="31"/>
              <w:bidi w:val="0"/>
              <w:rPr>
                <w:rFonts w:hint="default"/>
              </w:rPr>
            </w:pPr>
            <w:r>
              <w:rPr>
                <w:rFonts w:hint="default"/>
              </w:rPr>
              <w:t>第三时段</w:t>
            </w:r>
          </w:p>
        </w:tc>
        <w:tc>
          <w:tcPr>
            <w:tcW w:w="828" w:type="pct"/>
            <w:tcBorders>
              <w:tl2br w:val="nil"/>
              <w:tr2bl w:val="nil"/>
            </w:tcBorders>
            <w:noWrap w:val="0"/>
            <w:vAlign w:val="center"/>
          </w:tcPr>
          <w:p w14:paraId="395C4956">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469A6369">
            <w:pPr>
              <w:pStyle w:val="31"/>
              <w:bidi w:val="0"/>
              <w:rPr>
                <w:rFonts w:hint="default"/>
              </w:rPr>
            </w:pPr>
          </w:p>
        </w:tc>
      </w:tr>
      <w:tr w14:paraId="1A18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1893E12">
            <w:pPr>
              <w:pStyle w:val="31"/>
              <w:bidi w:val="0"/>
              <w:rPr>
                <w:rFonts w:hint="default"/>
              </w:rPr>
            </w:pPr>
          </w:p>
        </w:tc>
        <w:tc>
          <w:tcPr>
            <w:tcW w:w="868" w:type="pct"/>
            <w:vMerge w:val="continue"/>
            <w:tcBorders>
              <w:tl2br w:val="nil"/>
              <w:tr2bl w:val="nil"/>
            </w:tcBorders>
            <w:noWrap w:val="0"/>
            <w:vAlign w:val="center"/>
          </w:tcPr>
          <w:p w14:paraId="20408387">
            <w:pPr>
              <w:pStyle w:val="31"/>
              <w:bidi w:val="0"/>
              <w:rPr>
                <w:rFonts w:hint="default"/>
              </w:rPr>
            </w:pPr>
          </w:p>
        </w:tc>
        <w:tc>
          <w:tcPr>
            <w:tcW w:w="826" w:type="pct"/>
            <w:vMerge w:val="restart"/>
            <w:tcBorders>
              <w:tl2br w:val="nil"/>
              <w:tr2bl w:val="nil"/>
            </w:tcBorders>
            <w:noWrap w:val="0"/>
            <w:vAlign w:val="center"/>
          </w:tcPr>
          <w:p w14:paraId="24FB9B64">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5D02F5A3">
            <w:pPr>
              <w:pStyle w:val="31"/>
              <w:bidi w:val="0"/>
              <w:rPr>
                <w:rFonts w:hint="default"/>
              </w:rPr>
            </w:pPr>
            <w:r>
              <w:rPr>
                <w:rFonts w:hint="default"/>
              </w:rPr>
              <w:t>第一时段</w:t>
            </w:r>
          </w:p>
        </w:tc>
        <w:tc>
          <w:tcPr>
            <w:tcW w:w="828" w:type="pct"/>
            <w:tcBorders>
              <w:tl2br w:val="nil"/>
              <w:tr2bl w:val="nil"/>
            </w:tcBorders>
            <w:noWrap w:val="0"/>
            <w:vAlign w:val="center"/>
          </w:tcPr>
          <w:p w14:paraId="1804AD9B">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007C3CD4">
            <w:pPr>
              <w:pStyle w:val="31"/>
              <w:bidi w:val="0"/>
              <w:rPr>
                <w:rFonts w:hint="default"/>
                <w:lang w:val="en-US" w:eastAsia="zh-CN"/>
              </w:rPr>
            </w:pPr>
            <w:r>
              <w:rPr>
                <w:rFonts w:hint="default"/>
                <w:lang w:val="en-US" w:eastAsia="zh-CN"/>
              </w:rPr>
              <w:t>1.2</w:t>
            </w:r>
          </w:p>
        </w:tc>
      </w:tr>
      <w:tr w14:paraId="7E91C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39EE9F6">
            <w:pPr>
              <w:pStyle w:val="31"/>
              <w:bidi w:val="0"/>
              <w:rPr>
                <w:rFonts w:hint="default"/>
              </w:rPr>
            </w:pPr>
          </w:p>
        </w:tc>
        <w:tc>
          <w:tcPr>
            <w:tcW w:w="868" w:type="pct"/>
            <w:vMerge w:val="continue"/>
            <w:tcBorders>
              <w:tl2br w:val="nil"/>
              <w:tr2bl w:val="nil"/>
            </w:tcBorders>
            <w:noWrap w:val="0"/>
            <w:vAlign w:val="center"/>
          </w:tcPr>
          <w:p w14:paraId="3C600B2B">
            <w:pPr>
              <w:pStyle w:val="31"/>
              <w:bidi w:val="0"/>
              <w:rPr>
                <w:rFonts w:hint="default"/>
              </w:rPr>
            </w:pPr>
          </w:p>
        </w:tc>
        <w:tc>
          <w:tcPr>
            <w:tcW w:w="826" w:type="pct"/>
            <w:vMerge w:val="continue"/>
            <w:tcBorders>
              <w:tl2br w:val="nil"/>
              <w:tr2bl w:val="nil"/>
            </w:tcBorders>
            <w:noWrap w:val="0"/>
            <w:vAlign w:val="center"/>
          </w:tcPr>
          <w:p w14:paraId="3E620E37">
            <w:pPr>
              <w:pStyle w:val="31"/>
              <w:bidi w:val="0"/>
              <w:rPr>
                <w:rFonts w:hint="default"/>
              </w:rPr>
            </w:pPr>
          </w:p>
        </w:tc>
        <w:tc>
          <w:tcPr>
            <w:tcW w:w="913" w:type="pct"/>
            <w:tcBorders>
              <w:tl2br w:val="nil"/>
              <w:tr2bl w:val="nil"/>
            </w:tcBorders>
            <w:noWrap w:val="0"/>
            <w:vAlign w:val="center"/>
          </w:tcPr>
          <w:p w14:paraId="1935C3B4">
            <w:pPr>
              <w:pStyle w:val="31"/>
              <w:bidi w:val="0"/>
              <w:rPr>
                <w:rFonts w:hint="default"/>
              </w:rPr>
            </w:pPr>
            <w:r>
              <w:rPr>
                <w:rFonts w:hint="default"/>
              </w:rPr>
              <w:t>第二时段</w:t>
            </w:r>
          </w:p>
        </w:tc>
        <w:tc>
          <w:tcPr>
            <w:tcW w:w="828" w:type="pct"/>
            <w:tcBorders>
              <w:tl2br w:val="nil"/>
              <w:tr2bl w:val="nil"/>
            </w:tcBorders>
            <w:noWrap w:val="0"/>
            <w:vAlign w:val="center"/>
          </w:tcPr>
          <w:p w14:paraId="6DB73C51">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1170D12F">
            <w:pPr>
              <w:pStyle w:val="31"/>
              <w:bidi w:val="0"/>
              <w:rPr>
                <w:rFonts w:hint="default"/>
              </w:rPr>
            </w:pPr>
          </w:p>
        </w:tc>
      </w:tr>
      <w:tr w14:paraId="3FEC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9D9D91A">
            <w:pPr>
              <w:pStyle w:val="31"/>
              <w:bidi w:val="0"/>
              <w:rPr>
                <w:rFonts w:hint="default"/>
              </w:rPr>
            </w:pPr>
          </w:p>
        </w:tc>
        <w:tc>
          <w:tcPr>
            <w:tcW w:w="868" w:type="pct"/>
            <w:vMerge w:val="continue"/>
            <w:tcBorders>
              <w:tl2br w:val="nil"/>
              <w:tr2bl w:val="nil"/>
            </w:tcBorders>
            <w:noWrap w:val="0"/>
            <w:vAlign w:val="center"/>
          </w:tcPr>
          <w:p w14:paraId="5122F136">
            <w:pPr>
              <w:pStyle w:val="31"/>
              <w:bidi w:val="0"/>
              <w:rPr>
                <w:rFonts w:hint="default"/>
              </w:rPr>
            </w:pPr>
          </w:p>
        </w:tc>
        <w:tc>
          <w:tcPr>
            <w:tcW w:w="826" w:type="pct"/>
            <w:vMerge w:val="continue"/>
            <w:tcBorders>
              <w:tl2br w:val="nil"/>
              <w:tr2bl w:val="nil"/>
            </w:tcBorders>
            <w:noWrap w:val="0"/>
            <w:vAlign w:val="center"/>
          </w:tcPr>
          <w:p w14:paraId="2E694FD7">
            <w:pPr>
              <w:pStyle w:val="31"/>
              <w:bidi w:val="0"/>
              <w:rPr>
                <w:rFonts w:hint="default"/>
              </w:rPr>
            </w:pPr>
          </w:p>
        </w:tc>
        <w:tc>
          <w:tcPr>
            <w:tcW w:w="913" w:type="pct"/>
            <w:tcBorders>
              <w:tl2br w:val="nil"/>
              <w:tr2bl w:val="nil"/>
            </w:tcBorders>
            <w:noWrap w:val="0"/>
            <w:vAlign w:val="center"/>
          </w:tcPr>
          <w:p w14:paraId="5305C4D0">
            <w:pPr>
              <w:pStyle w:val="31"/>
              <w:bidi w:val="0"/>
              <w:rPr>
                <w:rFonts w:hint="default"/>
              </w:rPr>
            </w:pPr>
            <w:r>
              <w:rPr>
                <w:rFonts w:hint="default"/>
              </w:rPr>
              <w:t>第三时段</w:t>
            </w:r>
          </w:p>
        </w:tc>
        <w:tc>
          <w:tcPr>
            <w:tcW w:w="828" w:type="pct"/>
            <w:tcBorders>
              <w:tl2br w:val="nil"/>
              <w:tr2bl w:val="nil"/>
            </w:tcBorders>
            <w:noWrap w:val="0"/>
            <w:vAlign w:val="center"/>
          </w:tcPr>
          <w:p w14:paraId="49FACC7E">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5C08B757">
            <w:pPr>
              <w:pStyle w:val="31"/>
              <w:bidi w:val="0"/>
              <w:rPr>
                <w:rFonts w:hint="default"/>
              </w:rPr>
            </w:pPr>
          </w:p>
        </w:tc>
      </w:tr>
      <w:tr w14:paraId="252B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0C26440">
            <w:pPr>
              <w:pStyle w:val="31"/>
              <w:bidi w:val="0"/>
              <w:rPr>
                <w:rFonts w:hint="default"/>
              </w:rPr>
            </w:pPr>
          </w:p>
        </w:tc>
        <w:tc>
          <w:tcPr>
            <w:tcW w:w="868" w:type="pct"/>
            <w:vMerge w:val="continue"/>
            <w:tcBorders>
              <w:tl2br w:val="nil"/>
              <w:tr2bl w:val="nil"/>
            </w:tcBorders>
            <w:noWrap w:val="0"/>
            <w:vAlign w:val="center"/>
          </w:tcPr>
          <w:p w14:paraId="2915CCA9">
            <w:pPr>
              <w:pStyle w:val="31"/>
              <w:bidi w:val="0"/>
              <w:rPr>
                <w:rFonts w:hint="default"/>
              </w:rPr>
            </w:pPr>
          </w:p>
        </w:tc>
        <w:tc>
          <w:tcPr>
            <w:tcW w:w="826" w:type="pct"/>
            <w:vMerge w:val="restart"/>
            <w:tcBorders>
              <w:tl2br w:val="nil"/>
              <w:tr2bl w:val="nil"/>
            </w:tcBorders>
            <w:noWrap w:val="0"/>
            <w:vAlign w:val="center"/>
          </w:tcPr>
          <w:p w14:paraId="56773E7B">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65D44708">
            <w:pPr>
              <w:pStyle w:val="31"/>
              <w:bidi w:val="0"/>
              <w:rPr>
                <w:rFonts w:hint="default"/>
              </w:rPr>
            </w:pPr>
            <w:r>
              <w:rPr>
                <w:rFonts w:hint="default"/>
              </w:rPr>
              <w:t>第一时段</w:t>
            </w:r>
          </w:p>
        </w:tc>
        <w:tc>
          <w:tcPr>
            <w:tcW w:w="828" w:type="pct"/>
            <w:tcBorders>
              <w:tl2br w:val="nil"/>
              <w:tr2bl w:val="nil"/>
            </w:tcBorders>
            <w:noWrap w:val="0"/>
            <w:vAlign w:val="center"/>
          </w:tcPr>
          <w:p w14:paraId="708C80BB">
            <w:pPr>
              <w:pStyle w:val="31"/>
              <w:bidi w:val="0"/>
              <w:rPr>
                <w:rFonts w:hint="default"/>
                <w:lang w:val="en-US" w:eastAsia="zh-CN"/>
              </w:rPr>
            </w:pPr>
            <w:r>
              <w:rPr>
                <w:rFonts w:hint="default"/>
                <w:lang w:val="en-US" w:eastAsia="zh-CN"/>
              </w:rPr>
              <w:t>0.411</w:t>
            </w:r>
          </w:p>
        </w:tc>
        <w:tc>
          <w:tcPr>
            <w:tcW w:w="821" w:type="pct"/>
            <w:vMerge w:val="restart"/>
            <w:tcBorders>
              <w:tl2br w:val="nil"/>
              <w:tr2bl w:val="nil"/>
            </w:tcBorders>
            <w:noWrap w:val="0"/>
            <w:vAlign w:val="center"/>
          </w:tcPr>
          <w:p w14:paraId="403F9589">
            <w:pPr>
              <w:pStyle w:val="31"/>
              <w:bidi w:val="0"/>
              <w:rPr>
                <w:rFonts w:hint="default"/>
                <w:lang w:val="en-US" w:eastAsia="zh-CN"/>
              </w:rPr>
            </w:pPr>
            <w:r>
              <w:rPr>
                <w:rFonts w:hint="default"/>
                <w:lang w:val="en-US" w:eastAsia="zh-CN"/>
              </w:rPr>
              <w:t>1.0</w:t>
            </w:r>
          </w:p>
        </w:tc>
      </w:tr>
      <w:tr w14:paraId="75C9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4438F00">
            <w:pPr>
              <w:pStyle w:val="31"/>
              <w:bidi w:val="0"/>
              <w:rPr>
                <w:rFonts w:hint="default"/>
              </w:rPr>
            </w:pPr>
          </w:p>
        </w:tc>
        <w:tc>
          <w:tcPr>
            <w:tcW w:w="868" w:type="pct"/>
            <w:vMerge w:val="continue"/>
            <w:tcBorders>
              <w:tl2br w:val="nil"/>
              <w:tr2bl w:val="nil"/>
            </w:tcBorders>
            <w:noWrap w:val="0"/>
            <w:vAlign w:val="center"/>
          </w:tcPr>
          <w:p w14:paraId="16085397">
            <w:pPr>
              <w:pStyle w:val="31"/>
              <w:bidi w:val="0"/>
              <w:rPr>
                <w:rFonts w:hint="default"/>
              </w:rPr>
            </w:pPr>
          </w:p>
        </w:tc>
        <w:tc>
          <w:tcPr>
            <w:tcW w:w="826" w:type="pct"/>
            <w:vMerge w:val="continue"/>
            <w:tcBorders>
              <w:tl2br w:val="nil"/>
              <w:tr2bl w:val="nil"/>
            </w:tcBorders>
            <w:noWrap w:val="0"/>
            <w:vAlign w:val="center"/>
          </w:tcPr>
          <w:p w14:paraId="25372E2E">
            <w:pPr>
              <w:pStyle w:val="31"/>
              <w:bidi w:val="0"/>
              <w:rPr>
                <w:rFonts w:hint="default"/>
              </w:rPr>
            </w:pPr>
          </w:p>
        </w:tc>
        <w:tc>
          <w:tcPr>
            <w:tcW w:w="913" w:type="pct"/>
            <w:tcBorders>
              <w:tl2br w:val="nil"/>
              <w:tr2bl w:val="nil"/>
            </w:tcBorders>
            <w:noWrap w:val="0"/>
            <w:vAlign w:val="center"/>
          </w:tcPr>
          <w:p w14:paraId="4ADAECC9">
            <w:pPr>
              <w:pStyle w:val="31"/>
              <w:bidi w:val="0"/>
              <w:rPr>
                <w:rFonts w:hint="default"/>
              </w:rPr>
            </w:pPr>
            <w:r>
              <w:rPr>
                <w:rFonts w:hint="default"/>
              </w:rPr>
              <w:t>第二时段</w:t>
            </w:r>
          </w:p>
        </w:tc>
        <w:tc>
          <w:tcPr>
            <w:tcW w:w="828" w:type="pct"/>
            <w:tcBorders>
              <w:tl2br w:val="nil"/>
              <w:tr2bl w:val="nil"/>
            </w:tcBorders>
            <w:noWrap w:val="0"/>
            <w:vAlign w:val="center"/>
          </w:tcPr>
          <w:p w14:paraId="00B1DA9B">
            <w:pPr>
              <w:pStyle w:val="31"/>
              <w:bidi w:val="0"/>
              <w:rPr>
                <w:rFonts w:hint="default"/>
                <w:lang w:val="en-US" w:eastAsia="zh-CN"/>
              </w:rPr>
            </w:pPr>
            <w:r>
              <w:rPr>
                <w:rFonts w:hint="default"/>
                <w:lang w:val="en-US" w:eastAsia="zh-CN"/>
              </w:rPr>
              <w:t>0.414</w:t>
            </w:r>
          </w:p>
        </w:tc>
        <w:tc>
          <w:tcPr>
            <w:tcW w:w="821" w:type="pct"/>
            <w:vMerge w:val="continue"/>
            <w:tcBorders>
              <w:tl2br w:val="nil"/>
              <w:tr2bl w:val="nil"/>
            </w:tcBorders>
            <w:noWrap w:val="0"/>
            <w:vAlign w:val="center"/>
          </w:tcPr>
          <w:p w14:paraId="3EF6B9BF">
            <w:pPr>
              <w:pStyle w:val="31"/>
              <w:bidi w:val="0"/>
              <w:rPr>
                <w:rFonts w:hint="default"/>
                <w:lang w:val="en-US" w:eastAsia="zh-CN"/>
              </w:rPr>
            </w:pPr>
          </w:p>
        </w:tc>
      </w:tr>
      <w:tr w14:paraId="50206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AE66B77">
            <w:pPr>
              <w:pStyle w:val="31"/>
              <w:bidi w:val="0"/>
              <w:rPr>
                <w:rFonts w:hint="default"/>
              </w:rPr>
            </w:pPr>
          </w:p>
        </w:tc>
        <w:tc>
          <w:tcPr>
            <w:tcW w:w="868" w:type="pct"/>
            <w:vMerge w:val="continue"/>
            <w:tcBorders>
              <w:tl2br w:val="nil"/>
              <w:tr2bl w:val="nil"/>
            </w:tcBorders>
            <w:noWrap w:val="0"/>
            <w:vAlign w:val="center"/>
          </w:tcPr>
          <w:p w14:paraId="2D6ADFF8">
            <w:pPr>
              <w:pStyle w:val="31"/>
              <w:bidi w:val="0"/>
              <w:rPr>
                <w:rFonts w:hint="default"/>
              </w:rPr>
            </w:pPr>
          </w:p>
        </w:tc>
        <w:tc>
          <w:tcPr>
            <w:tcW w:w="826" w:type="pct"/>
            <w:vMerge w:val="continue"/>
            <w:tcBorders>
              <w:tl2br w:val="nil"/>
              <w:tr2bl w:val="nil"/>
            </w:tcBorders>
            <w:noWrap w:val="0"/>
            <w:vAlign w:val="center"/>
          </w:tcPr>
          <w:p w14:paraId="0BB3E261">
            <w:pPr>
              <w:pStyle w:val="31"/>
              <w:bidi w:val="0"/>
              <w:rPr>
                <w:rFonts w:hint="default"/>
              </w:rPr>
            </w:pPr>
          </w:p>
        </w:tc>
        <w:tc>
          <w:tcPr>
            <w:tcW w:w="913" w:type="pct"/>
            <w:tcBorders>
              <w:tl2br w:val="nil"/>
              <w:tr2bl w:val="nil"/>
            </w:tcBorders>
            <w:noWrap w:val="0"/>
            <w:vAlign w:val="center"/>
          </w:tcPr>
          <w:p w14:paraId="37E512EA">
            <w:pPr>
              <w:pStyle w:val="31"/>
              <w:bidi w:val="0"/>
              <w:rPr>
                <w:rFonts w:hint="default"/>
              </w:rPr>
            </w:pPr>
            <w:r>
              <w:rPr>
                <w:rFonts w:hint="default"/>
              </w:rPr>
              <w:t>第三时段</w:t>
            </w:r>
          </w:p>
        </w:tc>
        <w:tc>
          <w:tcPr>
            <w:tcW w:w="828" w:type="pct"/>
            <w:tcBorders>
              <w:tl2br w:val="nil"/>
              <w:tr2bl w:val="nil"/>
            </w:tcBorders>
            <w:noWrap w:val="0"/>
            <w:vAlign w:val="center"/>
          </w:tcPr>
          <w:p w14:paraId="1C80120F">
            <w:pPr>
              <w:pStyle w:val="31"/>
              <w:bidi w:val="0"/>
              <w:rPr>
                <w:rFonts w:hint="default"/>
                <w:lang w:val="en-US" w:eastAsia="zh-CN"/>
              </w:rPr>
            </w:pPr>
            <w:r>
              <w:rPr>
                <w:rFonts w:hint="default"/>
                <w:lang w:val="en-US" w:eastAsia="zh-CN"/>
              </w:rPr>
              <w:t>0.446</w:t>
            </w:r>
          </w:p>
        </w:tc>
        <w:tc>
          <w:tcPr>
            <w:tcW w:w="821" w:type="pct"/>
            <w:vMerge w:val="continue"/>
            <w:tcBorders>
              <w:tl2br w:val="nil"/>
              <w:tr2bl w:val="nil"/>
            </w:tcBorders>
            <w:noWrap w:val="0"/>
            <w:vAlign w:val="center"/>
          </w:tcPr>
          <w:p w14:paraId="6F1D2F37">
            <w:pPr>
              <w:pStyle w:val="31"/>
              <w:bidi w:val="0"/>
              <w:rPr>
                <w:rFonts w:hint="default"/>
                <w:lang w:val="en-US" w:eastAsia="zh-CN"/>
              </w:rPr>
            </w:pPr>
          </w:p>
        </w:tc>
      </w:tr>
      <w:tr w14:paraId="7373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FC68E6C">
            <w:pPr>
              <w:pStyle w:val="31"/>
              <w:bidi w:val="0"/>
              <w:rPr>
                <w:rFonts w:hint="default"/>
              </w:rPr>
            </w:pPr>
          </w:p>
        </w:tc>
        <w:tc>
          <w:tcPr>
            <w:tcW w:w="868" w:type="pct"/>
            <w:vMerge w:val="continue"/>
            <w:tcBorders>
              <w:tl2br w:val="nil"/>
              <w:tr2bl w:val="nil"/>
            </w:tcBorders>
            <w:noWrap w:val="0"/>
            <w:vAlign w:val="center"/>
          </w:tcPr>
          <w:p w14:paraId="11DFDF7F">
            <w:pPr>
              <w:pStyle w:val="31"/>
              <w:bidi w:val="0"/>
              <w:rPr>
                <w:rFonts w:hint="default"/>
              </w:rPr>
            </w:pPr>
          </w:p>
        </w:tc>
        <w:tc>
          <w:tcPr>
            <w:tcW w:w="826" w:type="pct"/>
            <w:vMerge w:val="restart"/>
            <w:tcBorders>
              <w:tl2br w:val="nil"/>
              <w:tr2bl w:val="nil"/>
            </w:tcBorders>
            <w:noWrap w:val="0"/>
            <w:vAlign w:val="center"/>
          </w:tcPr>
          <w:p w14:paraId="372CAC9C">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01B3E46E">
            <w:pPr>
              <w:pStyle w:val="31"/>
              <w:bidi w:val="0"/>
              <w:rPr>
                <w:rFonts w:hint="default"/>
              </w:rPr>
            </w:pPr>
            <w:r>
              <w:rPr>
                <w:rFonts w:hint="default"/>
              </w:rPr>
              <w:t>第一时段</w:t>
            </w:r>
          </w:p>
        </w:tc>
        <w:tc>
          <w:tcPr>
            <w:tcW w:w="828" w:type="pct"/>
            <w:tcBorders>
              <w:tl2br w:val="nil"/>
              <w:tr2bl w:val="nil"/>
            </w:tcBorders>
            <w:noWrap w:val="0"/>
            <w:vAlign w:val="center"/>
          </w:tcPr>
          <w:p w14:paraId="51B08836">
            <w:pPr>
              <w:pStyle w:val="31"/>
              <w:bidi w:val="0"/>
              <w:rPr>
                <w:rFonts w:hint="default"/>
                <w:lang w:val="en-US" w:eastAsia="zh-CN"/>
              </w:rPr>
            </w:pPr>
            <w:r>
              <w:rPr>
                <w:rFonts w:hint="default"/>
                <w:lang w:val="en-US" w:eastAsia="zh-CN"/>
              </w:rPr>
              <w:t>0.52</w:t>
            </w:r>
          </w:p>
        </w:tc>
        <w:tc>
          <w:tcPr>
            <w:tcW w:w="821" w:type="pct"/>
            <w:vMerge w:val="restart"/>
            <w:tcBorders>
              <w:tl2br w:val="nil"/>
              <w:tr2bl w:val="nil"/>
            </w:tcBorders>
            <w:noWrap w:val="0"/>
            <w:vAlign w:val="center"/>
          </w:tcPr>
          <w:p w14:paraId="1C4A6ABA">
            <w:pPr>
              <w:pStyle w:val="31"/>
              <w:bidi w:val="0"/>
              <w:rPr>
                <w:rFonts w:hint="default"/>
                <w:lang w:val="en-US" w:eastAsia="zh-CN"/>
              </w:rPr>
            </w:pPr>
            <w:r>
              <w:rPr>
                <w:rFonts w:hint="default"/>
                <w:lang w:val="en-US" w:eastAsia="zh-CN"/>
              </w:rPr>
              <w:t>2.0</w:t>
            </w:r>
          </w:p>
        </w:tc>
      </w:tr>
      <w:tr w14:paraId="25818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DDCD5BB">
            <w:pPr>
              <w:pStyle w:val="31"/>
              <w:bidi w:val="0"/>
              <w:rPr>
                <w:rFonts w:hint="default"/>
              </w:rPr>
            </w:pPr>
          </w:p>
        </w:tc>
        <w:tc>
          <w:tcPr>
            <w:tcW w:w="868" w:type="pct"/>
            <w:vMerge w:val="continue"/>
            <w:tcBorders>
              <w:tl2br w:val="nil"/>
              <w:tr2bl w:val="nil"/>
            </w:tcBorders>
            <w:noWrap w:val="0"/>
            <w:vAlign w:val="center"/>
          </w:tcPr>
          <w:p w14:paraId="1B04253E">
            <w:pPr>
              <w:pStyle w:val="31"/>
              <w:bidi w:val="0"/>
              <w:rPr>
                <w:rFonts w:hint="default"/>
              </w:rPr>
            </w:pPr>
          </w:p>
        </w:tc>
        <w:tc>
          <w:tcPr>
            <w:tcW w:w="826" w:type="pct"/>
            <w:vMerge w:val="continue"/>
            <w:tcBorders>
              <w:tl2br w:val="nil"/>
              <w:tr2bl w:val="nil"/>
            </w:tcBorders>
            <w:noWrap w:val="0"/>
            <w:vAlign w:val="center"/>
          </w:tcPr>
          <w:p w14:paraId="2797A51E">
            <w:pPr>
              <w:pStyle w:val="31"/>
              <w:bidi w:val="0"/>
              <w:rPr>
                <w:rFonts w:hint="default"/>
              </w:rPr>
            </w:pPr>
          </w:p>
        </w:tc>
        <w:tc>
          <w:tcPr>
            <w:tcW w:w="913" w:type="pct"/>
            <w:tcBorders>
              <w:tl2br w:val="nil"/>
              <w:tr2bl w:val="nil"/>
            </w:tcBorders>
            <w:noWrap w:val="0"/>
            <w:vAlign w:val="center"/>
          </w:tcPr>
          <w:p w14:paraId="0AE7E5D1">
            <w:pPr>
              <w:pStyle w:val="31"/>
              <w:bidi w:val="0"/>
              <w:rPr>
                <w:rFonts w:hint="default"/>
              </w:rPr>
            </w:pPr>
            <w:r>
              <w:rPr>
                <w:rFonts w:hint="default"/>
              </w:rPr>
              <w:t>第二时段</w:t>
            </w:r>
          </w:p>
        </w:tc>
        <w:tc>
          <w:tcPr>
            <w:tcW w:w="828" w:type="pct"/>
            <w:tcBorders>
              <w:tl2br w:val="nil"/>
              <w:tr2bl w:val="nil"/>
            </w:tcBorders>
            <w:noWrap w:val="0"/>
            <w:vAlign w:val="center"/>
          </w:tcPr>
          <w:p w14:paraId="580153A6">
            <w:pPr>
              <w:pStyle w:val="31"/>
              <w:bidi w:val="0"/>
              <w:rPr>
                <w:rFonts w:hint="default"/>
                <w:lang w:val="en-US" w:eastAsia="zh-CN"/>
              </w:rPr>
            </w:pPr>
            <w:r>
              <w:rPr>
                <w:rFonts w:hint="default"/>
                <w:lang w:val="en-US" w:eastAsia="zh-CN"/>
              </w:rPr>
              <w:t>0.56</w:t>
            </w:r>
          </w:p>
        </w:tc>
        <w:tc>
          <w:tcPr>
            <w:tcW w:w="821" w:type="pct"/>
            <w:vMerge w:val="continue"/>
            <w:tcBorders>
              <w:tl2br w:val="nil"/>
              <w:tr2bl w:val="nil"/>
            </w:tcBorders>
            <w:noWrap w:val="0"/>
            <w:vAlign w:val="center"/>
          </w:tcPr>
          <w:p w14:paraId="18C3A89C">
            <w:pPr>
              <w:pStyle w:val="31"/>
              <w:bidi w:val="0"/>
              <w:rPr>
                <w:rFonts w:hint="default"/>
                <w:lang w:val="en-US" w:eastAsia="zh-CN"/>
              </w:rPr>
            </w:pPr>
          </w:p>
        </w:tc>
      </w:tr>
      <w:tr w14:paraId="3EF56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2B75F0E">
            <w:pPr>
              <w:pStyle w:val="31"/>
              <w:bidi w:val="0"/>
              <w:rPr>
                <w:rFonts w:hint="default"/>
              </w:rPr>
            </w:pPr>
          </w:p>
        </w:tc>
        <w:tc>
          <w:tcPr>
            <w:tcW w:w="868" w:type="pct"/>
            <w:vMerge w:val="continue"/>
            <w:tcBorders>
              <w:tl2br w:val="nil"/>
              <w:tr2bl w:val="nil"/>
            </w:tcBorders>
            <w:noWrap w:val="0"/>
            <w:vAlign w:val="center"/>
          </w:tcPr>
          <w:p w14:paraId="32D9B36A">
            <w:pPr>
              <w:pStyle w:val="31"/>
              <w:bidi w:val="0"/>
              <w:rPr>
                <w:rFonts w:hint="default"/>
              </w:rPr>
            </w:pPr>
          </w:p>
        </w:tc>
        <w:tc>
          <w:tcPr>
            <w:tcW w:w="826" w:type="pct"/>
            <w:vMerge w:val="continue"/>
            <w:tcBorders>
              <w:tl2br w:val="nil"/>
              <w:tr2bl w:val="nil"/>
            </w:tcBorders>
            <w:noWrap w:val="0"/>
            <w:vAlign w:val="center"/>
          </w:tcPr>
          <w:p w14:paraId="4465DB55">
            <w:pPr>
              <w:pStyle w:val="31"/>
              <w:bidi w:val="0"/>
              <w:rPr>
                <w:rFonts w:hint="default"/>
              </w:rPr>
            </w:pPr>
          </w:p>
        </w:tc>
        <w:tc>
          <w:tcPr>
            <w:tcW w:w="913" w:type="pct"/>
            <w:tcBorders>
              <w:tl2br w:val="nil"/>
              <w:tr2bl w:val="nil"/>
            </w:tcBorders>
            <w:noWrap w:val="0"/>
            <w:vAlign w:val="center"/>
          </w:tcPr>
          <w:p w14:paraId="1BCE0A43">
            <w:pPr>
              <w:pStyle w:val="31"/>
              <w:bidi w:val="0"/>
              <w:rPr>
                <w:rFonts w:hint="default"/>
              </w:rPr>
            </w:pPr>
            <w:r>
              <w:rPr>
                <w:rFonts w:hint="default"/>
              </w:rPr>
              <w:t>第三时段</w:t>
            </w:r>
          </w:p>
        </w:tc>
        <w:tc>
          <w:tcPr>
            <w:tcW w:w="828" w:type="pct"/>
            <w:tcBorders>
              <w:tl2br w:val="nil"/>
              <w:tr2bl w:val="nil"/>
            </w:tcBorders>
            <w:noWrap w:val="0"/>
            <w:vAlign w:val="center"/>
          </w:tcPr>
          <w:p w14:paraId="4DC6AD09">
            <w:pPr>
              <w:pStyle w:val="31"/>
              <w:bidi w:val="0"/>
              <w:rPr>
                <w:rFonts w:hint="default"/>
                <w:lang w:val="en-US" w:eastAsia="zh-CN"/>
              </w:rPr>
            </w:pPr>
            <w:r>
              <w:rPr>
                <w:rFonts w:hint="default"/>
                <w:lang w:val="en-US" w:eastAsia="zh-CN"/>
              </w:rPr>
              <w:t>0.52</w:t>
            </w:r>
          </w:p>
        </w:tc>
        <w:tc>
          <w:tcPr>
            <w:tcW w:w="821" w:type="pct"/>
            <w:vMerge w:val="continue"/>
            <w:tcBorders>
              <w:tl2br w:val="nil"/>
              <w:tr2bl w:val="nil"/>
            </w:tcBorders>
            <w:noWrap w:val="0"/>
            <w:vAlign w:val="center"/>
          </w:tcPr>
          <w:p w14:paraId="6FE770F9">
            <w:pPr>
              <w:pStyle w:val="31"/>
              <w:bidi w:val="0"/>
              <w:rPr>
                <w:rFonts w:hint="default"/>
                <w:lang w:val="en-US" w:eastAsia="zh-CN"/>
              </w:rPr>
            </w:pPr>
          </w:p>
        </w:tc>
      </w:tr>
      <w:tr w14:paraId="0AC7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1C14E12">
            <w:pPr>
              <w:pStyle w:val="31"/>
              <w:bidi w:val="0"/>
              <w:rPr>
                <w:rFonts w:hint="default"/>
                <w:lang w:val="en-US" w:eastAsia="zh-CN"/>
              </w:rPr>
            </w:pPr>
          </w:p>
        </w:tc>
        <w:tc>
          <w:tcPr>
            <w:tcW w:w="868" w:type="pct"/>
            <w:vMerge w:val="restart"/>
            <w:tcBorders>
              <w:tl2br w:val="nil"/>
              <w:tr2bl w:val="nil"/>
            </w:tcBorders>
            <w:noWrap w:val="0"/>
            <w:vAlign w:val="center"/>
          </w:tcPr>
          <w:p w14:paraId="58E7054C">
            <w:pPr>
              <w:pStyle w:val="31"/>
              <w:bidi w:val="0"/>
              <w:rPr>
                <w:rFonts w:hint="default"/>
                <w:lang w:val="en-US" w:eastAsia="zh-CN"/>
              </w:rPr>
            </w:pPr>
            <w:r>
              <w:rPr>
                <w:rFonts w:hint="default"/>
                <w:lang w:val="en-US" w:eastAsia="zh-CN"/>
              </w:rPr>
              <w:t>厂界西侧10m处○3#</w:t>
            </w:r>
          </w:p>
        </w:tc>
        <w:tc>
          <w:tcPr>
            <w:tcW w:w="826" w:type="pct"/>
            <w:vMerge w:val="restart"/>
            <w:tcBorders>
              <w:tl2br w:val="nil"/>
              <w:tr2bl w:val="nil"/>
            </w:tcBorders>
            <w:noWrap w:val="0"/>
            <w:vAlign w:val="center"/>
          </w:tcPr>
          <w:p w14:paraId="17198AF8">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26B7C30A">
            <w:pPr>
              <w:pStyle w:val="31"/>
              <w:bidi w:val="0"/>
              <w:rPr>
                <w:rFonts w:hint="default"/>
              </w:rPr>
            </w:pPr>
            <w:r>
              <w:rPr>
                <w:rFonts w:hint="default"/>
              </w:rPr>
              <w:t>第一时段</w:t>
            </w:r>
          </w:p>
        </w:tc>
        <w:tc>
          <w:tcPr>
            <w:tcW w:w="828" w:type="pct"/>
            <w:tcBorders>
              <w:tl2br w:val="nil"/>
              <w:tr2bl w:val="nil"/>
            </w:tcBorders>
            <w:noWrap w:val="0"/>
            <w:vAlign w:val="center"/>
          </w:tcPr>
          <w:p w14:paraId="0435D62E">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616A6E79">
            <w:pPr>
              <w:pStyle w:val="31"/>
              <w:bidi w:val="0"/>
              <w:rPr>
                <w:rFonts w:hint="default"/>
                <w:lang w:val="en-US" w:eastAsia="zh-CN"/>
              </w:rPr>
            </w:pPr>
            <w:r>
              <w:rPr>
                <w:rFonts w:hint="default"/>
                <w:lang w:val="en-US" w:eastAsia="zh-CN"/>
              </w:rPr>
              <w:t>2.4</w:t>
            </w:r>
          </w:p>
        </w:tc>
      </w:tr>
      <w:tr w14:paraId="5D581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7B01404">
            <w:pPr>
              <w:pStyle w:val="31"/>
              <w:bidi w:val="0"/>
              <w:rPr>
                <w:rFonts w:hint="default"/>
              </w:rPr>
            </w:pPr>
          </w:p>
        </w:tc>
        <w:tc>
          <w:tcPr>
            <w:tcW w:w="868" w:type="pct"/>
            <w:vMerge w:val="continue"/>
            <w:tcBorders>
              <w:tl2br w:val="nil"/>
              <w:tr2bl w:val="nil"/>
            </w:tcBorders>
            <w:noWrap w:val="0"/>
            <w:vAlign w:val="center"/>
          </w:tcPr>
          <w:p w14:paraId="72CD8564">
            <w:pPr>
              <w:pStyle w:val="31"/>
              <w:bidi w:val="0"/>
              <w:rPr>
                <w:rFonts w:hint="default"/>
              </w:rPr>
            </w:pPr>
          </w:p>
        </w:tc>
        <w:tc>
          <w:tcPr>
            <w:tcW w:w="826" w:type="pct"/>
            <w:vMerge w:val="continue"/>
            <w:tcBorders>
              <w:tl2br w:val="nil"/>
              <w:tr2bl w:val="nil"/>
            </w:tcBorders>
            <w:noWrap w:val="0"/>
            <w:vAlign w:val="center"/>
          </w:tcPr>
          <w:p w14:paraId="0F98A9BB">
            <w:pPr>
              <w:pStyle w:val="31"/>
              <w:bidi w:val="0"/>
              <w:rPr>
                <w:rFonts w:hint="default"/>
              </w:rPr>
            </w:pPr>
          </w:p>
        </w:tc>
        <w:tc>
          <w:tcPr>
            <w:tcW w:w="913" w:type="pct"/>
            <w:tcBorders>
              <w:tl2br w:val="nil"/>
              <w:tr2bl w:val="nil"/>
            </w:tcBorders>
            <w:noWrap w:val="0"/>
            <w:vAlign w:val="center"/>
          </w:tcPr>
          <w:p w14:paraId="2D807EB0">
            <w:pPr>
              <w:pStyle w:val="31"/>
              <w:bidi w:val="0"/>
              <w:rPr>
                <w:rFonts w:hint="default"/>
              </w:rPr>
            </w:pPr>
            <w:r>
              <w:rPr>
                <w:rFonts w:hint="default"/>
              </w:rPr>
              <w:t>第二时段</w:t>
            </w:r>
          </w:p>
        </w:tc>
        <w:tc>
          <w:tcPr>
            <w:tcW w:w="828" w:type="pct"/>
            <w:tcBorders>
              <w:tl2br w:val="nil"/>
              <w:tr2bl w:val="nil"/>
            </w:tcBorders>
            <w:noWrap w:val="0"/>
            <w:vAlign w:val="center"/>
          </w:tcPr>
          <w:p w14:paraId="216D1BDE">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D8D0C08">
            <w:pPr>
              <w:pStyle w:val="31"/>
              <w:bidi w:val="0"/>
              <w:rPr>
                <w:rFonts w:hint="default"/>
              </w:rPr>
            </w:pPr>
          </w:p>
        </w:tc>
      </w:tr>
      <w:tr w14:paraId="02F90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DB49840">
            <w:pPr>
              <w:pStyle w:val="31"/>
              <w:bidi w:val="0"/>
              <w:rPr>
                <w:rFonts w:hint="default"/>
              </w:rPr>
            </w:pPr>
          </w:p>
        </w:tc>
        <w:tc>
          <w:tcPr>
            <w:tcW w:w="868" w:type="pct"/>
            <w:vMerge w:val="continue"/>
            <w:tcBorders>
              <w:tl2br w:val="nil"/>
              <w:tr2bl w:val="nil"/>
            </w:tcBorders>
            <w:noWrap w:val="0"/>
            <w:vAlign w:val="center"/>
          </w:tcPr>
          <w:p w14:paraId="6F541B9E">
            <w:pPr>
              <w:pStyle w:val="31"/>
              <w:bidi w:val="0"/>
              <w:rPr>
                <w:rFonts w:hint="default"/>
              </w:rPr>
            </w:pPr>
          </w:p>
        </w:tc>
        <w:tc>
          <w:tcPr>
            <w:tcW w:w="826" w:type="pct"/>
            <w:vMerge w:val="continue"/>
            <w:tcBorders>
              <w:tl2br w:val="nil"/>
              <w:tr2bl w:val="nil"/>
            </w:tcBorders>
            <w:noWrap w:val="0"/>
            <w:vAlign w:val="center"/>
          </w:tcPr>
          <w:p w14:paraId="2EAF06BF">
            <w:pPr>
              <w:pStyle w:val="31"/>
              <w:bidi w:val="0"/>
              <w:rPr>
                <w:rFonts w:hint="default"/>
              </w:rPr>
            </w:pPr>
          </w:p>
        </w:tc>
        <w:tc>
          <w:tcPr>
            <w:tcW w:w="913" w:type="pct"/>
            <w:tcBorders>
              <w:tl2br w:val="nil"/>
              <w:tr2bl w:val="nil"/>
            </w:tcBorders>
            <w:noWrap w:val="0"/>
            <w:vAlign w:val="center"/>
          </w:tcPr>
          <w:p w14:paraId="25D7E7E8">
            <w:pPr>
              <w:pStyle w:val="31"/>
              <w:bidi w:val="0"/>
              <w:rPr>
                <w:rFonts w:hint="default"/>
              </w:rPr>
            </w:pPr>
            <w:r>
              <w:rPr>
                <w:rFonts w:hint="default"/>
              </w:rPr>
              <w:t>第三时段</w:t>
            </w:r>
          </w:p>
        </w:tc>
        <w:tc>
          <w:tcPr>
            <w:tcW w:w="828" w:type="pct"/>
            <w:tcBorders>
              <w:tl2br w:val="nil"/>
              <w:tr2bl w:val="nil"/>
            </w:tcBorders>
            <w:noWrap w:val="0"/>
            <w:vAlign w:val="center"/>
          </w:tcPr>
          <w:p w14:paraId="0B713FA5">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1BFABD96">
            <w:pPr>
              <w:pStyle w:val="31"/>
              <w:bidi w:val="0"/>
              <w:rPr>
                <w:rFonts w:hint="default"/>
              </w:rPr>
            </w:pPr>
          </w:p>
        </w:tc>
      </w:tr>
      <w:tr w14:paraId="7160A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A917387">
            <w:pPr>
              <w:pStyle w:val="31"/>
              <w:bidi w:val="0"/>
              <w:rPr>
                <w:rFonts w:hint="default"/>
              </w:rPr>
            </w:pPr>
          </w:p>
        </w:tc>
        <w:tc>
          <w:tcPr>
            <w:tcW w:w="868" w:type="pct"/>
            <w:vMerge w:val="continue"/>
            <w:tcBorders>
              <w:tl2br w:val="nil"/>
              <w:tr2bl w:val="nil"/>
            </w:tcBorders>
            <w:noWrap w:val="0"/>
            <w:vAlign w:val="center"/>
          </w:tcPr>
          <w:p w14:paraId="3626039C">
            <w:pPr>
              <w:pStyle w:val="31"/>
              <w:bidi w:val="0"/>
              <w:rPr>
                <w:rFonts w:hint="default"/>
              </w:rPr>
            </w:pPr>
          </w:p>
        </w:tc>
        <w:tc>
          <w:tcPr>
            <w:tcW w:w="826" w:type="pct"/>
            <w:vMerge w:val="restart"/>
            <w:tcBorders>
              <w:tl2br w:val="nil"/>
              <w:tr2bl w:val="nil"/>
            </w:tcBorders>
            <w:noWrap w:val="0"/>
            <w:vAlign w:val="center"/>
          </w:tcPr>
          <w:p w14:paraId="34585DB5">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11F79FC4">
            <w:pPr>
              <w:pStyle w:val="31"/>
              <w:bidi w:val="0"/>
              <w:rPr>
                <w:rFonts w:hint="default"/>
              </w:rPr>
            </w:pPr>
            <w:r>
              <w:rPr>
                <w:rFonts w:hint="default"/>
              </w:rPr>
              <w:t>第一时段</w:t>
            </w:r>
          </w:p>
        </w:tc>
        <w:tc>
          <w:tcPr>
            <w:tcW w:w="828" w:type="pct"/>
            <w:tcBorders>
              <w:tl2br w:val="nil"/>
              <w:tr2bl w:val="nil"/>
            </w:tcBorders>
            <w:noWrap w:val="0"/>
            <w:vAlign w:val="center"/>
          </w:tcPr>
          <w:p w14:paraId="6DEBECAC">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0D2B3C31">
            <w:pPr>
              <w:pStyle w:val="31"/>
              <w:bidi w:val="0"/>
              <w:rPr>
                <w:rFonts w:hint="default"/>
                <w:lang w:val="en-US" w:eastAsia="zh-CN"/>
              </w:rPr>
            </w:pPr>
            <w:r>
              <w:rPr>
                <w:rFonts w:hint="default"/>
                <w:lang w:val="en-US" w:eastAsia="zh-CN"/>
              </w:rPr>
              <w:t>1.2</w:t>
            </w:r>
          </w:p>
        </w:tc>
      </w:tr>
      <w:tr w14:paraId="125A2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C383909">
            <w:pPr>
              <w:pStyle w:val="31"/>
              <w:bidi w:val="0"/>
              <w:rPr>
                <w:rFonts w:hint="default"/>
              </w:rPr>
            </w:pPr>
          </w:p>
        </w:tc>
        <w:tc>
          <w:tcPr>
            <w:tcW w:w="868" w:type="pct"/>
            <w:vMerge w:val="continue"/>
            <w:tcBorders>
              <w:tl2br w:val="nil"/>
              <w:tr2bl w:val="nil"/>
            </w:tcBorders>
            <w:noWrap w:val="0"/>
            <w:vAlign w:val="center"/>
          </w:tcPr>
          <w:p w14:paraId="68BF8B62">
            <w:pPr>
              <w:pStyle w:val="31"/>
              <w:bidi w:val="0"/>
              <w:rPr>
                <w:rFonts w:hint="default"/>
              </w:rPr>
            </w:pPr>
          </w:p>
        </w:tc>
        <w:tc>
          <w:tcPr>
            <w:tcW w:w="826" w:type="pct"/>
            <w:vMerge w:val="continue"/>
            <w:tcBorders>
              <w:tl2br w:val="nil"/>
              <w:tr2bl w:val="nil"/>
            </w:tcBorders>
            <w:noWrap w:val="0"/>
            <w:vAlign w:val="center"/>
          </w:tcPr>
          <w:p w14:paraId="1C785A60">
            <w:pPr>
              <w:pStyle w:val="31"/>
              <w:bidi w:val="0"/>
              <w:rPr>
                <w:rFonts w:hint="default"/>
              </w:rPr>
            </w:pPr>
          </w:p>
        </w:tc>
        <w:tc>
          <w:tcPr>
            <w:tcW w:w="913" w:type="pct"/>
            <w:tcBorders>
              <w:tl2br w:val="nil"/>
              <w:tr2bl w:val="nil"/>
            </w:tcBorders>
            <w:noWrap w:val="0"/>
            <w:vAlign w:val="center"/>
          </w:tcPr>
          <w:p w14:paraId="1A463EBD">
            <w:pPr>
              <w:pStyle w:val="31"/>
              <w:bidi w:val="0"/>
              <w:rPr>
                <w:rFonts w:hint="default"/>
              </w:rPr>
            </w:pPr>
            <w:r>
              <w:rPr>
                <w:rFonts w:hint="default"/>
              </w:rPr>
              <w:t>第二时段</w:t>
            </w:r>
          </w:p>
        </w:tc>
        <w:tc>
          <w:tcPr>
            <w:tcW w:w="828" w:type="pct"/>
            <w:tcBorders>
              <w:tl2br w:val="nil"/>
              <w:tr2bl w:val="nil"/>
            </w:tcBorders>
            <w:noWrap w:val="0"/>
            <w:vAlign w:val="center"/>
          </w:tcPr>
          <w:p w14:paraId="419F19CF">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3BED53D7">
            <w:pPr>
              <w:pStyle w:val="31"/>
              <w:bidi w:val="0"/>
              <w:rPr>
                <w:rFonts w:hint="default"/>
              </w:rPr>
            </w:pPr>
          </w:p>
        </w:tc>
      </w:tr>
      <w:tr w14:paraId="5EBD3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C4DB7DC">
            <w:pPr>
              <w:pStyle w:val="31"/>
              <w:bidi w:val="0"/>
              <w:rPr>
                <w:rFonts w:hint="default"/>
              </w:rPr>
            </w:pPr>
          </w:p>
        </w:tc>
        <w:tc>
          <w:tcPr>
            <w:tcW w:w="868" w:type="pct"/>
            <w:vMerge w:val="continue"/>
            <w:tcBorders>
              <w:tl2br w:val="nil"/>
              <w:tr2bl w:val="nil"/>
            </w:tcBorders>
            <w:noWrap w:val="0"/>
            <w:vAlign w:val="center"/>
          </w:tcPr>
          <w:p w14:paraId="7664C8BC">
            <w:pPr>
              <w:pStyle w:val="31"/>
              <w:bidi w:val="0"/>
              <w:rPr>
                <w:rFonts w:hint="default"/>
              </w:rPr>
            </w:pPr>
          </w:p>
        </w:tc>
        <w:tc>
          <w:tcPr>
            <w:tcW w:w="826" w:type="pct"/>
            <w:vMerge w:val="continue"/>
            <w:tcBorders>
              <w:tl2br w:val="nil"/>
              <w:tr2bl w:val="nil"/>
            </w:tcBorders>
            <w:noWrap w:val="0"/>
            <w:vAlign w:val="center"/>
          </w:tcPr>
          <w:p w14:paraId="48F46E33">
            <w:pPr>
              <w:pStyle w:val="31"/>
              <w:bidi w:val="0"/>
              <w:rPr>
                <w:rFonts w:hint="default"/>
              </w:rPr>
            </w:pPr>
          </w:p>
        </w:tc>
        <w:tc>
          <w:tcPr>
            <w:tcW w:w="913" w:type="pct"/>
            <w:tcBorders>
              <w:tl2br w:val="nil"/>
              <w:tr2bl w:val="nil"/>
            </w:tcBorders>
            <w:noWrap w:val="0"/>
            <w:vAlign w:val="center"/>
          </w:tcPr>
          <w:p w14:paraId="7ED3F1C7">
            <w:pPr>
              <w:pStyle w:val="31"/>
              <w:bidi w:val="0"/>
              <w:rPr>
                <w:rFonts w:hint="default"/>
              </w:rPr>
            </w:pPr>
            <w:r>
              <w:rPr>
                <w:rFonts w:hint="default"/>
              </w:rPr>
              <w:t>第三时段</w:t>
            </w:r>
          </w:p>
        </w:tc>
        <w:tc>
          <w:tcPr>
            <w:tcW w:w="828" w:type="pct"/>
            <w:tcBorders>
              <w:tl2br w:val="nil"/>
              <w:tr2bl w:val="nil"/>
            </w:tcBorders>
            <w:noWrap w:val="0"/>
            <w:vAlign w:val="center"/>
          </w:tcPr>
          <w:p w14:paraId="4A1549C4">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5582FD6">
            <w:pPr>
              <w:pStyle w:val="31"/>
              <w:bidi w:val="0"/>
              <w:rPr>
                <w:rFonts w:hint="default"/>
              </w:rPr>
            </w:pPr>
          </w:p>
        </w:tc>
      </w:tr>
      <w:tr w14:paraId="3E8F1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4DCC9D0">
            <w:pPr>
              <w:pStyle w:val="31"/>
              <w:bidi w:val="0"/>
              <w:rPr>
                <w:rFonts w:hint="default"/>
              </w:rPr>
            </w:pPr>
          </w:p>
        </w:tc>
        <w:tc>
          <w:tcPr>
            <w:tcW w:w="868" w:type="pct"/>
            <w:vMerge w:val="continue"/>
            <w:tcBorders>
              <w:tl2br w:val="nil"/>
              <w:tr2bl w:val="nil"/>
            </w:tcBorders>
            <w:noWrap w:val="0"/>
            <w:vAlign w:val="center"/>
          </w:tcPr>
          <w:p w14:paraId="6D6E59BD">
            <w:pPr>
              <w:pStyle w:val="31"/>
              <w:bidi w:val="0"/>
              <w:rPr>
                <w:rFonts w:hint="default"/>
              </w:rPr>
            </w:pPr>
          </w:p>
        </w:tc>
        <w:tc>
          <w:tcPr>
            <w:tcW w:w="826" w:type="pct"/>
            <w:vMerge w:val="restart"/>
            <w:tcBorders>
              <w:tl2br w:val="nil"/>
              <w:tr2bl w:val="nil"/>
            </w:tcBorders>
            <w:noWrap w:val="0"/>
            <w:vAlign w:val="center"/>
          </w:tcPr>
          <w:p w14:paraId="2845103C">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7AF5FA52">
            <w:pPr>
              <w:pStyle w:val="31"/>
              <w:bidi w:val="0"/>
              <w:rPr>
                <w:rFonts w:hint="default"/>
              </w:rPr>
            </w:pPr>
            <w:r>
              <w:rPr>
                <w:rFonts w:hint="default"/>
              </w:rPr>
              <w:t>第一时段</w:t>
            </w:r>
          </w:p>
        </w:tc>
        <w:tc>
          <w:tcPr>
            <w:tcW w:w="828" w:type="pct"/>
            <w:tcBorders>
              <w:tl2br w:val="nil"/>
              <w:tr2bl w:val="nil"/>
            </w:tcBorders>
            <w:noWrap w:val="0"/>
            <w:vAlign w:val="center"/>
          </w:tcPr>
          <w:p w14:paraId="10FE766A">
            <w:pPr>
              <w:pStyle w:val="31"/>
              <w:bidi w:val="0"/>
              <w:rPr>
                <w:rFonts w:hint="default"/>
                <w:lang w:val="en-US" w:eastAsia="zh-CN"/>
              </w:rPr>
            </w:pPr>
            <w:r>
              <w:rPr>
                <w:rFonts w:hint="default"/>
                <w:lang w:val="en-US" w:eastAsia="zh-CN"/>
              </w:rPr>
              <w:t>0.394</w:t>
            </w:r>
          </w:p>
        </w:tc>
        <w:tc>
          <w:tcPr>
            <w:tcW w:w="821" w:type="pct"/>
            <w:vMerge w:val="restart"/>
            <w:tcBorders>
              <w:tl2br w:val="nil"/>
              <w:tr2bl w:val="nil"/>
            </w:tcBorders>
            <w:noWrap w:val="0"/>
            <w:vAlign w:val="center"/>
          </w:tcPr>
          <w:p w14:paraId="0458062F">
            <w:pPr>
              <w:pStyle w:val="31"/>
              <w:bidi w:val="0"/>
              <w:rPr>
                <w:rFonts w:hint="default"/>
                <w:lang w:val="en-US" w:eastAsia="zh-CN"/>
              </w:rPr>
            </w:pPr>
            <w:r>
              <w:rPr>
                <w:rFonts w:hint="default"/>
                <w:lang w:val="en-US" w:eastAsia="zh-CN"/>
              </w:rPr>
              <w:t>1.0</w:t>
            </w:r>
          </w:p>
        </w:tc>
      </w:tr>
      <w:tr w14:paraId="2252D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92EEA98">
            <w:pPr>
              <w:pStyle w:val="31"/>
              <w:bidi w:val="0"/>
              <w:rPr>
                <w:rFonts w:hint="default"/>
              </w:rPr>
            </w:pPr>
          </w:p>
        </w:tc>
        <w:tc>
          <w:tcPr>
            <w:tcW w:w="868" w:type="pct"/>
            <w:vMerge w:val="continue"/>
            <w:tcBorders>
              <w:tl2br w:val="nil"/>
              <w:tr2bl w:val="nil"/>
            </w:tcBorders>
            <w:noWrap w:val="0"/>
            <w:vAlign w:val="center"/>
          </w:tcPr>
          <w:p w14:paraId="51B25F85">
            <w:pPr>
              <w:pStyle w:val="31"/>
              <w:bidi w:val="0"/>
              <w:rPr>
                <w:rFonts w:hint="default"/>
              </w:rPr>
            </w:pPr>
          </w:p>
        </w:tc>
        <w:tc>
          <w:tcPr>
            <w:tcW w:w="826" w:type="pct"/>
            <w:vMerge w:val="continue"/>
            <w:tcBorders>
              <w:tl2br w:val="nil"/>
              <w:tr2bl w:val="nil"/>
            </w:tcBorders>
            <w:noWrap w:val="0"/>
            <w:vAlign w:val="center"/>
          </w:tcPr>
          <w:p w14:paraId="5ADE1546">
            <w:pPr>
              <w:pStyle w:val="31"/>
              <w:bidi w:val="0"/>
              <w:rPr>
                <w:rFonts w:hint="default"/>
              </w:rPr>
            </w:pPr>
          </w:p>
        </w:tc>
        <w:tc>
          <w:tcPr>
            <w:tcW w:w="913" w:type="pct"/>
            <w:tcBorders>
              <w:tl2br w:val="nil"/>
              <w:tr2bl w:val="nil"/>
            </w:tcBorders>
            <w:noWrap w:val="0"/>
            <w:vAlign w:val="center"/>
          </w:tcPr>
          <w:p w14:paraId="55E96249">
            <w:pPr>
              <w:pStyle w:val="31"/>
              <w:bidi w:val="0"/>
              <w:rPr>
                <w:rFonts w:hint="default"/>
              </w:rPr>
            </w:pPr>
            <w:r>
              <w:rPr>
                <w:rFonts w:hint="default"/>
              </w:rPr>
              <w:t>第二时段</w:t>
            </w:r>
          </w:p>
        </w:tc>
        <w:tc>
          <w:tcPr>
            <w:tcW w:w="828" w:type="pct"/>
            <w:tcBorders>
              <w:tl2br w:val="nil"/>
              <w:tr2bl w:val="nil"/>
            </w:tcBorders>
            <w:noWrap w:val="0"/>
            <w:vAlign w:val="center"/>
          </w:tcPr>
          <w:p w14:paraId="3BB93055">
            <w:pPr>
              <w:pStyle w:val="31"/>
              <w:bidi w:val="0"/>
              <w:rPr>
                <w:rFonts w:hint="default"/>
                <w:lang w:val="en-US" w:eastAsia="zh-CN"/>
              </w:rPr>
            </w:pPr>
            <w:r>
              <w:rPr>
                <w:rFonts w:hint="default"/>
                <w:lang w:val="en-US" w:eastAsia="zh-CN"/>
              </w:rPr>
              <w:t>0.397</w:t>
            </w:r>
          </w:p>
        </w:tc>
        <w:tc>
          <w:tcPr>
            <w:tcW w:w="821" w:type="pct"/>
            <w:vMerge w:val="continue"/>
            <w:tcBorders>
              <w:tl2br w:val="nil"/>
              <w:tr2bl w:val="nil"/>
            </w:tcBorders>
            <w:noWrap w:val="0"/>
            <w:vAlign w:val="center"/>
          </w:tcPr>
          <w:p w14:paraId="127BB740">
            <w:pPr>
              <w:pStyle w:val="31"/>
              <w:bidi w:val="0"/>
              <w:rPr>
                <w:rFonts w:hint="default"/>
                <w:lang w:val="en-US" w:eastAsia="zh-CN"/>
              </w:rPr>
            </w:pPr>
          </w:p>
        </w:tc>
      </w:tr>
      <w:tr w14:paraId="3AD1D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C6BBF91">
            <w:pPr>
              <w:pStyle w:val="31"/>
              <w:bidi w:val="0"/>
              <w:rPr>
                <w:rFonts w:hint="default"/>
              </w:rPr>
            </w:pPr>
          </w:p>
        </w:tc>
        <w:tc>
          <w:tcPr>
            <w:tcW w:w="868" w:type="pct"/>
            <w:vMerge w:val="continue"/>
            <w:tcBorders>
              <w:tl2br w:val="nil"/>
              <w:tr2bl w:val="nil"/>
            </w:tcBorders>
            <w:noWrap w:val="0"/>
            <w:vAlign w:val="center"/>
          </w:tcPr>
          <w:p w14:paraId="7898E807">
            <w:pPr>
              <w:pStyle w:val="31"/>
              <w:bidi w:val="0"/>
              <w:rPr>
                <w:rFonts w:hint="default"/>
              </w:rPr>
            </w:pPr>
          </w:p>
        </w:tc>
        <w:tc>
          <w:tcPr>
            <w:tcW w:w="826" w:type="pct"/>
            <w:vMerge w:val="continue"/>
            <w:tcBorders>
              <w:tl2br w:val="nil"/>
              <w:tr2bl w:val="nil"/>
            </w:tcBorders>
            <w:noWrap w:val="0"/>
            <w:vAlign w:val="center"/>
          </w:tcPr>
          <w:p w14:paraId="192A4E5F">
            <w:pPr>
              <w:pStyle w:val="31"/>
              <w:bidi w:val="0"/>
              <w:rPr>
                <w:rFonts w:hint="default"/>
              </w:rPr>
            </w:pPr>
          </w:p>
        </w:tc>
        <w:tc>
          <w:tcPr>
            <w:tcW w:w="913" w:type="pct"/>
            <w:tcBorders>
              <w:tl2br w:val="nil"/>
              <w:tr2bl w:val="nil"/>
            </w:tcBorders>
            <w:noWrap w:val="0"/>
            <w:vAlign w:val="center"/>
          </w:tcPr>
          <w:p w14:paraId="59778333">
            <w:pPr>
              <w:pStyle w:val="31"/>
              <w:bidi w:val="0"/>
              <w:rPr>
                <w:rFonts w:hint="default"/>
              </w:rPr>
            </w:pPr>
            <w:r>
              <w:rPr>
                <w:rFonts w:hint="default"/>
              </w:rPr>
              <w:t>第三时段</w:t>
            </w:r>
          </w:p>
        </w:tc>
        <w:tc>
          <w:tcPr>
            <w:tcW w:w="828" w:type="pct"/>
            <w:tcBorders>
              <w:tl2br w:val="nil"/>
              <w:tr2bl w:val="nil"/>
            </w:tcBorders>
            <w:noWrap w:val="0"/>
            <w:vAlign w:val="center"/>
          </w:tcPr>
          <w:p w14:paraId="0EF43B00">
            <w:pPr>
              <w:pStyle w:val="31"/>
              <w:bidi w:val="0"/>
              <w:rPr>
                <w:rFonts w:hint="default"/>
                <w:lang w:val="en-US" w:eastAsia="zh-CN"/>
              </w:rPr>
            </w:pPr>
            <w:r>
              <w:rPr>
                <w:rFonts w:hint="default"/>
                <w:lang w:val="en-US" w:eastAsia="zh-CN"/>
              </w:rPr>
              <w:t>0.377</w:t>
            </w:r>
          </w:p>
        </w:tc>
        <w:tc>
          <w:tcPr>
            <w:tcW w:w="821" w:type="pct"/>
            <w:vMerge w:val="continue"/>
            <w:tcBorders>
              <w:tl2br w:val="nil"/>
              <w:tr2bl w:val="nil"/>
            </w:tcBorders>
            <w:noWrap w:val="0"/>
            <w:vAlign w:val="center"/>
          </w:tcPr>
          <w:p w14:paraId="083A3D9F">
            <w:pPr>
              <w:pStyle w:val="31"/>
              <w:bidi w:val="0"/>
              <w:rPr>
                <w:rFonts w:hint="default"/>
                <w:lang w:val="en-US" w:eastAsia="zh-CN"/>
              </w:rPr>
            </w:pPr>
          </w:p>
        </w:tc>
      </w:tr>
      <w:tr w14:paraId="5915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5606B0B">
            <w:pPr>
              <w:pStyle w:val="31"/>
              <w:bidi w:val="0"/>
              <w:rPr>
                <w:rFonts w:hint="default"/>
              </w:rPr>
            </w:pPr>
          </w:p>
        </w:tc>
        <w:tc>
          <w:tcPr>
            <w:tcW w:w="868" w:type="pct"/>
            <w:vMerge w:val="continue"/>
            <w:tcBorders>
              <w:tl2br w:val="nil"/>
              <w:tr2bl w:val="nil"/>
            </w:tcBorders>
            <w:noWrap w:val="0"/>
            <w:vAlign w:val="center"/>
          </w:tcPr>
          <w:p w14:paraId="3F84E834">
            <w:pPr>
              <w:pStyle w:val="31"/>
              <w:bidi w:val="0"/>
              <w:rPr>
                <w:rFonts w:hint="default"/>
              </w:rPr>
            </w:pPr>
          </w:p>
        </w:tc>
        <w:tc>
          <w:tcPr>
            <w:tcW w:w="826" w:type="pct"/>
            <w:vMerge w:val="restart"/>
            <w:tcBorders>
              <w:tl2br w:val="nil"/>
              <w:tr2bl w:val="nil"/>
            </w:tcBorders>
            <w:noWrap w:val="0"/>
            <w:vAlign w:val="center"/>
          </w:tcPr>
          <w:p w14:paraId="4921744C">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1A14AFF8">
            <w:pPr>
              <w:pStyle w:val="31"/>
              <w:bidi w:val="0"/>
              <w:rPr>
                <w:rFonts w:hint="default"/>
              </w:rPr>
            </w:pPr>
            <w:r>
              <w:rPr>
                <w:rFonts w:hint="default"/>
              </w:rPr>
              <w:t>第一时段</w:t>
            </w:r>
          </w:p>
        </w:tc>
        <w:tc>
          <w:tcPr>
            <w:tcW w:w="828" w:type="pct"/>
            <w:tcBorders>
              <w:tl2br w:val="nil"/>
              <w:tr2bl w:val="nil"/>
            </w:tcBorders>
            <w:noWrap w:val="0"/>
            <w:vAlign w:val="center"/>
          </w:tcPr>
          <w:p w14:paraId="153F38C5">
            <w:pPr>
              <w:pStyle w:val="31"/>
              <w:bidi w:val="0"/>
              <w:rPr>
                <w:rFonts w:hint="default"/>
                <w:lang w:val="en-US" w:eastAsia="zh-CN"/>
              </w:rPr>
            </w:pPr>
            <w:r>
              <w:rPr>
                <w:rFonts w:hint="default"/>
                <w:lang w:val="en-US" w:eastAsia="zh-CN"/>
              </w:rPr>
              <w:t>0.44</w:t>
            </w:r>
          </w:p>
        </w:tc>
        <w:tc>
          <w:tcPr>
            <w:tcW w:w="821" w:type="pct"/>
            <w:vMerge w:val="restart"/>
            <w:tcBorders>
              <w:tl2br w:val="nil"/>
              <w:tr2bl w:val="nil"/>
            </w:tcBorders>
            <w:noWrap w:val="0"/>
            <w:vAlign w:val="center"/>
          </w:tcPr>
          <w:p w14:paraId="0C967249">
            <w:pPr>
              <w:pStyle w:val="31"/>
              <w:bidi w:val="0"/>
              <w:rPr>
                <w:rFonts w:hint="default"/>
                <w:lang w:val="en-US" w:eastAsia="zh-CN"/>
              </w:rPr>
            </w:pPr>
            <w:r>
              <w:rPr>
                <w:rFonts w:hint="default"/>
                <w:lang w:val="en-US" w:eastAsia="zh-CN"/>
              </w:rPr>
              <w:t>2.0</w:t>
            </w:r>
          </w:p>
        </w:tc>
      </w:tr>
      <w:tr w14:paraId="51E07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05CF8CE">
            <w:pPr>
              <w:pStyle w:val="31"/>
              <w:bidi w:val="0"/>
              <w:rPr>
                <w:rFonts w:hint="default"/>
              </w:rPr>
            </w:pPr>
          </w:p>
        </w:tc>
        <w:tc>
          <w:tcPr>
            <w:tcW w:w="868" w:type="pct"/>
            <w:vMerge w:val="continue"/>
            <w:tcBorders>
              <w:tl2br w:val="nil"/>
              <w:tr2bl w:val="nil"/>
            </w:tcBorders>
            <w:noWrap w:val="0"/>
            <w:vAlign w:val="center"/>
          </w:tcPr>
          <w:p w14:paraId="6D644BE4">
            <w:pPr>
              <w:pStyle w:val="31"/>
              <w:bidi w:val="0"/>
              <w:rPr>
                <w:rFonts w:hint="default"/>
              </w:rPr>
            </w:pPr>
          </w:p>
        </w:tc>
        <w:tc>
          <w:tcPr>
            <w:tcW w:w="826" w:type="pct"/>
            <w:vMerge w:val="continue"/>
            <w:tcBorders>
              <w:tl2br w:val="nil"/>
              <w:tr2bl w:val="nil"/>
            </w:tcBorders>
            <w:noWrap w:val="0"/>
            <w:vAlign w:val="center"/>
          </w:tcPr>
          <w:p w14:paraId="43EE4757">
            <w:pPr>
              <w:pStyle w:val="31"/>
              <w:bidi w:val="0"/>
              <w:rPr>
                <w:rFonts w:hint="default"/>
              </w:rPr>
            </w:pPr>
          </w:p>
        </w:tc>
        <w:tc>
          <w:tcPr>
            <w:tcW w:w="913" w:type="pct"/>
            <w:tcBorders>
              <w:tl2br w:val="nil"/>
              <w:tr2bl w:val="nil"/>
            </w:tcBorders>
            <w:noWrap w:val="0"/>
            <w:vAlign w:val="center"/>
          </w:tcPr>
          <w:p w14:paraId="1F3C395F">
            <w:pPr>
              <w:pStyle w:val="31"/>
              <w:bidi w:val="0"/>
              <w:rPr>
                <w:rFonts w:hint="default"/>
              </w:rPr>
            </w:pPr>
            <w:r>
              <w:rPr>
                <w:rFonts w:hint="default"/>
              </w:rPr>
              <w:t>第二时段</w:t>
            </w:r>
          </w:p>
        </w:tc>
        <w:tc>
          <w:tcPr>
            <w:tcW w:w="828" w:type="pct"/>
            <w:tcBorders>
              <w:tl2br w:val="nil"/>
              <w:tr2bl w:val="nil"/>
            </w:tcBorders>
            <w:noWrap w:val="0"/>
            <w:vAlign w:val="center"/>
          </w:tcPr>
          <w:p w14:paraId="09D37613">
            <w:pPr>
              <w:pStyle w:val="31"/>
              <w:bidi w:val="0"/>
              <w:rPr>
                <w:rFonts w:hint="default"/>
                <w:lang w:val="en-US" w:eastAsia="zh-CN"/>
              </w:rPr>
            </w:pPr>
            <w:r>
              <w:rPr>
                <w:rFonts w:hint="default"/>
                <w:lang w:val="en-US" w:eastAsia="zh-CN"/>
              </w:rPr>
              <w:t>0.42</w:t>
            </w:r>
          </w:p>
        </w:tc>
        <w:tc>
          <w:tcPr>
            <w:tcW w:w="821" w:type="pct"/>
            <w:vMerge w:val="continue"/>
            <w:tcBorders>
              <w:tl2br w:val="nil"/>
              <w:tr2bl w:val="nil"/>
            </w:tcBorders>
            <w:noWrap w:val="0"/>
            <w:vAlign w:val="center"/>
          </w:tcPr>
          <w:p w14:paraId="43549443">
            <w:pPr>
              <w:pStyle w:val="31"/>
              <w:bidi w:val="0"/>
              <w:rPr>
                <w:rFonts w:hint="default"/>
                <w:lang w:val="en-US" w:eastAsia="zh-CN"/>
              </w:rPr>
            </w:pPr>
          </w:p>
        </w:tc>
      </w:tr>
      <w:tr w14:paraId="5316D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2669437">
            <w:pPr>
              <w:pStyle w:val="31"/>
              <w:bidi w:val="0"/>
              <w:rPr>
                <w:rFonts w:hint="default"/>
              </w:rPr>
            </w:pPr>
          </w:p>
        </w:tc>
        <w:tc>
          <w:tcPr>
            <w:tcW w:w="868" w:type="pct"/>
            <w:vMerge w:val="continue"/>
            <w:tcBorders>
              <w:tl2br w:val="nil"/>
              <w:tr2bl w:val="nil"/>
            </w:tcBorders>
            <w:noWrap w:val="0"/>
            <w:vAlign w:val="center"/>
          </w:tcPr>
          <w:p w14:paraId="2BE32E02">
            <w:pPr>
              <w:pStyle w:val="31"/>
              <w:bidi w:val="0"/>
              <w:rPr>
                <w:rFonts w:hint="default"/>
              </w:rPr>
            </w:pPr>
          </w:p>
        </w:tc>
        <w:tc>
          <w:tcPr>
            <w:tcW w:w="826" w:type="pct"/>
            <w:vMerge w:val="continue"/>
            <w:tcBorders>
              <w:tl2br w:val="nil"/>
              <w:tr2bl w:val="nil"/>
            </w:tcBorders>
            <w:noWrap w:val="0"/>
            <w:vAlign w:val="center"/>
          </w:tcPr>
          <w:p w14:paraId="71CF6EF1">
            <w:pPr>
              <w:pStyle w:val="31"/>
              <w:bidi w:val="0"/>
              <w:rPr>
                <w:rFonts w:hint="default"/>
              </w:rPr>
            </w:pPr>
          </w:p>
        </w:tc>
        <w:tc>
          <w:tcPr>
            <w:tcW w:w="913" w:type="pct"/>
            <w:tcBorders>
              <w:tl2br w:val="nil"/>
              <w:tr2bl w:val="nil"/>
            </w:tcBorders>
            <w:noWrap w:val="0"/>
            <w:vAlign w:val="center"/>
          </w:tcPr>
          <w:p w14:paraId="6C2DE250">
            <w:pPr>
              <w:pStyle w:val="31"/>
              <w:bidi w:val="0"/>
              <w:rPr>
                <w:rFonts w:hint="default"/>
              </w:rPr>
            </w:pPr>
            <w:r>
              <w:rPr>
                <w:rFonts w:hint="default"/>
              </w:rPr>
              <w:t>第三时段</w:t>
            </w:r>
          </w:p>
        </w:tc>
        <w:tc>
          <w:tcPr>
            <w:tcW w:w="828" w:type="pct"/>
            <w:tcBorders>
              <w:tl2br w:val="nil"/>
              <w:tr2bl w:val="nil"/>
            </w:tcBorders>
            <w:noWrap w:val="0"/>
            <w:vAlign w:val="center"/>
          </w:tcPr>
          <w:p w14:paraId="10B67A2C">
            <w:pPr>
              <w:pStyle w:val="31"/>
              <w:bidi w:val="0"/>
              <w:rPr>
                <w:rFonts w:hint="default"/>
                <w:lang w:val="en-US" w:eastAsia="zh-CN"/>
              </w:rPr>
            </w:pPr>
            <w:r>
              <w:rPr>
                <w:rFonts w:hint="default"/>
                <w:lang w:val="en-US" w:eastAsia="zh-CN"/>
              </w:rPr>
              <w:t>0.43</w:t>
            </w:r>
          </w:p>
        </w:tc>
        <w:tc>
          <w:tcPr>
            <w:tcW w:w="821" w:type="pct"/>
            <w:vMerge w:val="continue"/>
            <w:tcBorders>
              <w:tl2br w:val="nil"/>
              <w:tr2bl w:val="nil"/>
            </w:tcBorders>
            <w:noWrap w:val="0"/>
            <w:vAlign w:val="center"/>
          </w:tcPr>
          <w:p w14:paraId="02A3C60E">
            <w:pPr>
              <w:pStyle w:val="31"/>
              <w:bidi w:val="0"/>
              <w:rPr>
                <w:rFonts w:hint="default"/>
                <w:lang w:val="en-US" w:eastAsia="zh-CN"/>
              </w:rPr>
            </w:pPr>
          </w:p>
        </w:tc>
      </w:tr>
      <w:tr w14:paraId="548AA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restart"/>
            <w:tcBorders>
              <w:tl2br w:val="nil"/>
              <w:tr2bl w:val="nil"/>
            </w:tcBorders>
            <w:noWrap w:val="0"/>
            <w:vAlign w:val="center"/>
          </w:tcPr>
          <w:p w14:paraId="03A6CD82">
            <w:pPr>
              <w:pStyle w:val="31"/>
              <w:bidi w:val="0"/>
              <w:rPr>
                <w:rFonts w:hint="default"/>
                <w:lang w:val="en-US" w:eastAsia="zh-CN"/>
              </w:rPr>
            </w:pPr>
            <w:r>
              <w:rPr>
                <w:rFonts w:hint="default"/>
                <w:lang w:val="en-US" w:eastAsia="zh-CN"/>
              </w:rPr>
              <w:t>2020.11.23</w:t>
            </w:r>
          </w:p>
        </w:tc>
        <w:tc>
          <w:tcPr>
            <w:tcW w:w="868" w:type="pct"/>
            <w:vMerge w:val="restart"/>
            <w:tcBorders>
              <w:tl2br w:val="nil"/>
              <w:tr2bl w:val="nil"/>
            </w:tcBorders>
            <w:noWrap w:val="0"/>
            <w:vAlign w:val="center"/>
          </w:tcPr>
          <w:p w14:paraId="7F6FFBF4">
            <w:pPr>
              <w:pStyle w:val="31"/>
              <w:bidi w:val="0"/>
              <w:rPr>
                <w:rFonts w:hint="default"/>
                <w:lang w:val="en-US" w:eastAsia="zh-CN"/>
              </w:rPr>
            </w:pPr>
            <w:r>
              <w:rPr>
                <w:rFonts w:hint="default"/>
                <w:lang w:val="en-US" w:eastAsia="zh-CN"/>
              </w:rPr>
              <w:t>厂界北侧10m处○4#</w:t>
            </w:r>
          </w:p>
        </w:tc>
        <w:tc>
          <w:tcPr>
            <w:tcW w:w="826" w:type="pct"/>
            <w:vMerge w:val="restart"/>
            <w:tcBorders>
              <w:tl2br w:val="nil"/>
              <w:tr2bl w:val="nil"/>
            </w:tcBorders>
            <w:noWrap w:val="0"/>
            <w:vAlign w:val="center"/>
          </w:tcPr>
          <w:p w14:paraId="51E0B9A5">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37ABDD38">
            <w:pPr>
              <w:pStyle w:val="31"/>
              <w:bidi w:val="0"/>
              <w:rPr>
                <w:rFonts w:hint="default"/>
              </w:rPr>
            </w:pPr>
            <w:r>
              <w:rPr>
                <w:rFonts w:hint="default"/>
              </w:rPr>
              <w:t>第一时段</w:t>
            </w:r>
          </w:p>
        </w:tc>
        <w:tc>
          <w:tcPr>
            <w:tcW w:w="828" w:type="pct"/>
            <w:tcBorders>
              <w:tl2br w:val="nil"/>
              <w:tr2bl w:val="nil"/>
            </w:tcBorders>
            <w:noWrap w:val="0"/>
            <w:vAlign w:val="center"/>
          </w:tcPr>
          <w:p w14:paraId="4F12D4A9">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44CA8D84">
            <w:pPr>
              <w:pStyle w:val="31"/>
              <w:bidi w:val="0"/>
              <w:rPr>
                <w:rFonts w:hint="default"/>
                <w:lang w:val="en-US" w:eastAsia="zh-CN"/>
              </w:rPr>
            </w:pPr>
            <w:r>
              <w:rPr>
                <w:rFonts w:hint="default"/>
                <w:lang w:val="en-US" w:eastAsia="zh-CN"/>
              </w:rPr>
              <w:t>2.4</w:t>
            </w:r>
          </w:p>
        </w:tc>
      </w:tr>
      <w:tr w14:paraId="5BABD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8FC477D">
            <w:pPr>
              <w:pStyle w:val="31"/>
              <w:bidi w:val="0"/>
              <w:rPr>
                <w:rFonts w:hint="default"/>
              </w:rPr>
            </w:pPr>
          </w:p>
        </w:tc>
        <w:tc>
          <w:tcPr>
            <w:tcW w:w="868" w:type="pct"/>
            <w:vMerge w:val="continue"/>
            <w:tcBorders>
              <w:tl2br w:val="nil"/>
              <w:tr2bl w:val="nil"/>
            </w:tcBorders>
            <w:noWrap w:val="0"/>
            <w:vAlign w:val="center"/>
          </w:tcPr>
          <w:p w14:paraId="36EB8AF6">
            <w:pPr>
              <w:pStyle w:val="31"/>
              <w:bidi w:val="0"/>
              <w:rPr>
                <w:rFonts w:hint="default"/>
              </w:rPr>
            </w:pPr>
          </w:p>
        </w:tc>
        <w:tc>
          <w:tcPr>
            <w:tcW w:w="826" w:type="pct"/>
            <w:vMerge w:val="continue"/>
            <w:tcBorders>
              <w:tl2br w:val="nil"/>
              <w:tr2bl w:val="nil"/>
            </w:tcBorders>
            <w:noWrap w:val="0"/>
            <w:vAlign w:val="center"/>
          </w:tcPr>
          <w:p w14:paraId="1AA206F2">
            <w:pPr>
              <w:pStyle w:val="31"/>
              <w:bidi w:val="0"/>
              <w:rPr>
                <w:rFonts w:hint="default"/>
              </w:rPr>
            </w:pPr>
          </w:p>
        </w:tc>
        <w:tc>
          <w:tcPr>
            <w:tcW w:w="913" w:type="pct"/>
            <w:tcBorders>
              <w:tl2br w:val="nil"/>
              <w:tr2bl w:val="nil"/>
            </w:tcBorders>
            <w:noWrap w:val="0"/>
            <w:vAlign w:val="center"/>
          </w:tcPr>
          <w:p w14:paraId="0142EBED">
            <w:pPr>
              <w:pStyle w:val="31"/>
              <w:bidi w:val="0"/>
              <w:rPr>
                <w:rFonts w:hint="default"/>
              </w:rPr>
            </w:pPr>
            <w:r>
              <w:rPr>
                <w:rFonts w:hint="default"/>
              </w:rPr>
              <w:t>第二时段</w:t>
            </w:r>
          </w:p>
        </w:tc>
        <w:tc>
          <w:tcPr>
            <w:tcW w:w="828" w:type="pct"/>
            <w:tcBorders>
              <w:tl2br w:val="nil"/>
              <w:tr2bl w:val="nil"/>
            </w:tcBorders>
            <w:noWrap w:val="0"/>
            <w:vAlign w:val="center"/>
          </w:tcPr>
          <w:p w14:paraId="4B76DAB6">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6F14CF2E">
            <w:pPr>
              <w:pStyle w:val="31"/>
              <w:bidi w:val="0"/>
              <w:rPr>
                <w:rFonts w:hint="default"/>
              </w:rPr>
            </w:pPr>
          </w:p>
        </w:tc>
      </w:tr>
      <w:tr w14:paraId="4962A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0093648">
            <w:pPr>
              <w:pStyle w:val="31"/>
              <w:bidi w:val="0"/>
              <w:rPr>
                <w:rFonts w:hint="default"/>
              </w:rPr>
            </w:pPr>
          </w:p>
        </w:tc>
        <w:tc>
          <w:tcPr>
            <w:tcW w:w="868" w:type="pct"/>
            <w:vMerge w:val="continue"/>
            <w:tcBorders>
              <w:tl2br w:val="nil"/>
              <w:tr2bl w:val="nil"/>
            </w:tcBorders>
            <w:noWrap w:val="0"/>
            <w:vAlign w:val="center"/>
          </w:tcPr>
          <w:p w14:paraId="1EDADF12">
            <w:pPr>
              <w:pStyle w:val="31"/>
              <w:bidi w:val="0"/>
              <w:rPr>
                <w:rFonts w:hint="default"/>
              </w:rPr>
            </w:pPr>
          </w:p>
        </w:tc>
        <w:tc>
          <w:tcPr>
            <w:tcW w:w="826" w:type="pct"/>
            <w:vMerge w:val="continue"/>
            <w:tcBorders>
              <w:tl2br w:val="nil"/>
              <w:tr2bl w:val="nil"/>
            </w:tcBorders>
            <w:noWrap w:val="0"/>
            <w:vAlign w:val="center"/>
          </w:tcPr>
          <w:p w14:paraId="4FC0A8B2">
            <w:pPr>
              <w:pStyle w:val="31"/>
              <w:bidi w:val="0"/>
              <w:rPr>
                <w:rFonts w:hint="default"/>
              </w:rPr>
            </w:pPr>
          </w:p>
        </w:tc>
        <w:tc>
          <w:tcPr>
            <w:tcW w:w="913" w:type="pct"/>
            <w:tcBorders>
              <w:tl2br w:val="nil"/>
              <w:tr2bl w:val="nil"/>
            </w:tcBorders>
            <w:noWrap w:val="0"/>
            <w:vAlign w:val="center"/>
          </w:tcPr>
          <w:p w14:paraId="26DE4ED6">
            <w:pPr>
              <w:pStyle w:val="31"/>
              <w:bidi w:val="0"/>
              <w:rPr>
                <w:rFonts w:hint="default"/>
              </w:rPr>
            </w:pPr>
            <w:r>
              <w:rPr>
                <w:rFonts w:hint="default"/>
              </w:rPr>
              <w:t>第三时段</w:t>
            </w:r>
          </w:p>
        </w:tc>
        <w:tc>
          <w:tcPr>
            <w:tcW w:w="828" w:type="pct"/>
            <w:tcBorders>
              <w:tl2br w:val="nil"/>
              <w:tr2bl w:val="nil"/>
            </w:tcBorders>
            <w:noWrap w:val="0"/>
            <w:vAlign w:val="center"/>
          </w:tcPr>
          <w:p w14:paraId="7A3A2C65">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647AC343">
            <w:pPr>
              <w:pStyle w:val="31"/>
              <w:bidi w:val="0"/>
              <w:rPr>
                <w:rFonts w:hint="default"/>
              </w:rPr>
            </w:pPr>
          </w:p>
        </w:tc>
      </w:tr>
      <w:tr w14:paraId="2019B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9A42C95">
            <w:pPr>
              <w:pStyle w:val="31"/>
              <w:bidi w:val="0"/>
              <w:rPr>
                <w:rFonts w:hint="default"/>
              </w:rPr>
            </w:pPr>
          </w:p>
        </w:tc>
        <w:tc>
          <w:tcPr>
            <w:tcW w:w="868" w:type="pct"/>
            <w:vMerge w:val="continue"/>
            <w:tcBorders>
              <w:tl2br w:val="nil"/>
              <w:tr2bl w:val="nil"/>
            </w:tcBorders>
            <w:noWrap w:val="0"/>
            <w:vAlign w:val="center"/>
          </w:tcPr>
          <w:p w14:paraId="27089A14">
            <w:pPr>
              <w:pStyle w:val="31"/>
              <w:bidi w:val="0"/>
              <w:rPr>
                <w:rFonts w:hint="default"/>
              </w:rPr>
            </w:pPr>
          </w:p>
        </w:tc>
        <w:tc>
          <w:tcPr>
            <w:tcW w:w="826" w:type="pct"/>
            <w:vMerge w:val="restart"/>
            <w:tcBorders>
              <w:tl2br w:val="nil"/>
              <w:tr2bl w:val="nil"/>
            </w:tcBorders>
            <w:noWrap w:val="0"/>
            <w:vAlign w:val="center"/>
          </w:tcPr>
          <w:p w14:paraId="154113FE">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0E6A9B18">
            <w:pPr>
              <w:pStyle w:val="31"/>
              <w:bidi w:val="0"/>
              <w:rPr>
                <w:rFonts w:hint="default"/>
              </w:rPr>
            </w:pPr>
            <w:r>
              <w:rPr>
                <w:rFonts w:hint="default"/>
              </w:rPr>
              <w:t>第一时段</w:t>
            </w:r>
          </w:p>
        </w:tc>
        <w:tc>
          <w:tcPr>
            <w:tcW w:w="828" w:type="pct"/>
            <w:tcBorders>
              <w:tl2br w:val="nil"/>
              <w:tr2bl w:val="nil"/>
            </w:tcBorders>
            <w:noWrap w:val="0"/>
            <w:vAlign w:val="center"/>
          </w:tcPr>
          <w:p w14:paraId="0F93E894">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6ED9D214">
            <w:pPr>
              <w:pStyle w:val="31"/>
              <w:bidi w:val="0"/>
              <w:rPr>
                <w:rFonts w:hint="default"/>
                <w:lang w:val="en-US" w:eastAsia="zh-CN"/>
              </w:rPr>
            </w:pPr>
            <w:r>
              <w:rPr>
                <w:rFonts w:hint="default"/>
                <w:lang w:val="en-US" w:eastAsia="zh-CN"/>
              </w:rPr>
              <w:t>1.2</w:t>
            </w:r>
          </w:p>
        </w:tc>
      </w:tr>
      <w:tr w14:paraId="10086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581901B">
            <w:pPr>
              <w:pStyle w:val="31"/>
              <w:bidi w:val="0"/>
              <w:rPr>
                <w:rFonts w:hint="default"/>
              </w:rPr>
            </w:pPr>
          </w:p>
        </w:tc>
        <w:tc>
          <w:tcPr>
            <w:tcW w:w="868" w:type="pct"/>
            <w:vMerge w:val="continue"/>
            <w:tcBorders>
              <w:tl2br w:val="nil"/>
              <w:tr2bl w:val="nil"/>
            </w:tcBorders>
            <w:noWrap w:val="0"/>
            <w:vAlign w:val="center"/>
          </w:tcPr>
          <w:p w14:paraId="73178FE5">
            <w:pPr>
              <w:pStyle w:val="31"/>
              <w:bidi w:val="0"/>
              <w:rPr>
                <w:rFonts w:hint="default"/>
              </w:rPr>
            </w:pPr>
          </w:p>
        </w:tc>
        <w:tc>
          <w:tcPr>
            <w:tcW w:w="826" w:type="pct"/>
            <w:vMerge w:val="continue"/>
            <w:tcBorders>
              <w:tl2br w:val="nil"/>
              <w:tr2bl w:val="nil"/>
            </w:tcBorders>
            <w:noWrap w:val="0"/>
            <w:vAlign w:val="center"/>
          </w:tcPr>
          <w:p w14:paraId="51A09F50">
            <w:pPr>
              <w:pStyle w:val="31"/>
              <w:bidi w:val="0"/>
              <w:rPr>
                <w:rFonts w:hint="default"/>
              </w:rPr>
            </w:pPr>
          </w:p>
        </w:tc>
        <w:tc>
          <w:tcPr>
            <w:tcW w:w="913" w:type="pct"/>
            <w:tcBorders>
              <w:tl2br w:val="nil"/>
              <w:tr2bl w:val="nil"/>
            </w:tcBorders>
            <w:noWrap w:val="0"/>
            <w:vAlign w:val="center"/>
          </w:tcPr>
          <w:p w14:paraId="73991781">
            <w:pPr>
              <w:pStyle w:val="31"/>
              <w:bidi w:val="0"/>
              <w:rPr>
                <w:rFonts w:hint="default"/>
              </w:rPr>
            </w:pPr>
            <w:r>
              <w:rPr>
                <w:rFonts w:hint="default"/>
              </w:rPr>
              <w:t>第二时段</w:t>
            </w:r>
          </w:p>
        </w:tc>
        <w:tc>
          <w:tcPr>
            <w:tcW w:w="828" w:type="pct"/>
            <w:tcBorders>
              <w:tl2br w:val="nil"/>
              <w:tr2bl w:val="nil"/>
            </w:tcBorders>
            <w:noWrap w:val="0"/>
            <w:vAlign w:val="center"/>
          </w:tcPr>
          <w:p w14:paraId="06EF57AF">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0665EE74">
            <w:pPr>
              <w:pStyle w:val="31"/>
              <w:bidi w:val="0"/>
              <w:rPr>
                <w:rFonts w:hint="default"/>
              </w:rPr>
            </w:pPr>
          </w:p>
        </w:tc>
      </w:tr>
      <w:tr w14:paraId="0BFAA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2E6CC94">
            <w:pPr>
              <w:pStyle w:val="31"/>
              <w:bidi w:val="0"/>
              <w:rPr>
                <w:rFonts w:hint="default"/>
              </w:rPr>
            </w:pPr>
          </w:p>
        </w:tc>
        <w:tc>
          <w:tcPr>
            <w:tcW w:w="868" w:type="pct"/>
            <w:vMerge w:val="continue"/>
            <w:tcBorders>
              <w:tl2br w:val="nil"/>
              <w:tr2bl w:val="nil"/>
            </w:tcBorders>
            <w:noWrap w:val="0"/>
            <w:vAlign w:val="center"/>
          </w:tcPr>
          <w:p w14:paraId="7070C8DE">
            <w:pPr>
              <w:pStyle w:val="31"/>
              <w:bidi w:val="0"/>
              <w:rPr>
                <w:rFonts w:hint="default"/>
              </w:rPr>
            </w:pPr>
          </w:p>
        </w:tc>
        <w:tc>
          <w:tcPr>
            <w:tcW w:w="826" w:type="pct"/>
            <w:vMerge w:val="continue"/>
            <w:tcBorders>
              <w:tl2br w:val="nil"/>
              <w:tr2bl w:val="nil"/>
            </w:tcBorders>
            <w:noWrap w:val="0"/>
            <w:vAlign w:val="center"/>
          </w:tcPr>
          <w:p w14:paraId="46A26F3F">
            <w:pPr>
              <w:pStyle w:val="31"/>
              <w:bidi w:val="0"/>
              <w:rPr>
                <w:rFonts w:hint="default"/>
              </w:rPr>
            </w:pPr>
          </w:p>
        </w:tc>
        <w:tc>
          <w:tcPr>
            <w:tcW w:w="913" w:type="pct"/>
            <w:tcBorders>
              <w:tl2br w:val="nil"/>
              <w:tr2bl w:val="nil"/>
            </w:tcBorders>
            <w:noWrap w:val="0"/>
            <w:vAlign w:val="center"/>
          </w:tcPr>
          <w:p w14:paraId="49872072">
            <w:pPr>
              <w:pStyle w:val="31"/>
              <w:bidi w:val="0"/>
              <w:rPr>
                <w:rFonts w:hint="default"/>
              </w:rPr>
            </w:pPr>
            <w:r>
              <w:rPr>
                <w:rFonts w:hint="default"/>
              </w:rPr>
              <w:t>第三时段</w:t>
            </w:r>
          </w:p>
        </w:tc>
        <w:tc>
          <w:tcPr>
            <w:tcW w:w="828" w:type="pct"/>
            <w:tcBorders>
              <w:tl2br w:val="nil"/>
              <w:tr2bl w:val="nil"/>
            </w:tcBorders>
            <w:noWrap w:val="0"/>
            <w:vAlign w:val="center"/>
          </w:tcPr>
          <w:p w14:paraId="00A39236">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0049E120">
            <w:pPr>
              <w:pStyle w:val="31"/>
              <w:bidi w:val="0"/>
              <w:rPr>
                <w:rFonts w:hint="default"/>
              </w:rPr>
            </w:pPr>
          </w:p>
        </w:tc>
      </w:tr>
      <w:tr w14:paraId="19E5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DCCD284">
            <w:pPr>
              <w:pStyle w:val="31"/>
              <w:bidi w:val="0"/>
              <w:rPr>
                <w:rFonts w:hint="default"/>
              </w:rPr>
            </w:pPr>
          </w:p>
        </w:tc>
        <w:tc>
          <w:tcPr>
            <w:tcW w:w="868" w:type="pct"/>
            <w:vMerge w:val="continue"/>
            <w:tcBorders>
              <w:tl2br w:val="nil"/>
              <w:tr2bl w:val="nil"/>
            </w:tcBorders>
            <w:noWrap w:val="0"/>
            <w:vAlign w:val="center"/>
          </w:tcPr>
          <w:p w14:paraId="461B3755">
            <w:pPr>
              <w:pStyle w:val="31"/>
              <w:bidi w:val="0"/>
              <w:rPr>
                <w:rFonts w:hint="default"/>
              </w:rPr>
            </w:pPr>
          </w:p>
        </w:tc>
        <w:tc>
          <w:tcPr>
            <w:tcW w:w="826" w:type="pct"/>
            <w:vMerge w:val="restart"/>
            <w:tcBorders>
              <w:tl2br w:val="nil"/>
              <w:tr2bl w:val="nil"/>
            </w:tcBorders>
            <w:noWrap w:val="0"/>
            <w:vAlign w:val="center"/>
          </w:tcPr>
          <w:p w14:paraId="23D72886">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01AC6EA7">
            <w:pPr>
              <w:pStyle w:val="31"/>
              <w:bidi w:val="0"/>
              <w:rPr>
                <w:rFonts w:hint="default"/>
              </w:rPr>
            </w:pPr>
            <w:r>
              <w:rPr>
                <w:rFonts w:hint="default"/>
              </w:rPr>
              <w:t>第一时段</w:t>
            </w:r>
          </w:p>
        </w:tc>
        <w:tc>
          <w:tcPr>
            <w:tcW w:w="828" w:type="pct"/>
            <w:tcBorders>
              <w:tl2br w:val="nil"/>
              <w:tr2bl w:val="nil"/>
            </w:tcBorders>
            <w:noWrap w:val="0"/>
            <w:vAlign w:val="center"/>
          </w:tcPr>
          <w:p w14:paraId="52A14CC1">
            <w:pPr>
              <w:pStyle w:val="31"/>
              <w:bidi w:val="0"/>
              <w:rPr>
                <w:rFonts w:hint="default"/>
                <w:lang w:val="en-US" w:eastAsia="zh-CN"/>
              </w:rPr>
            </w:pPr>
            <w:r>
              <w:rPr>
                <w:rFonts w:hint="default"/>
                <w:lang w:val="en-US" w:eastAsia="zh-CN"/>
              </w:rPr>
              <w:t>0.171</w:t>
            </w:r>
          </w:p>
        </w:tc>
        <w:tc>
          <w:tcPr>
            <w:tcW w:w="821" w:type="pct"/>
            <w:vMerge w:val="restart"/>
            <w:tcBorders>
              <w:tl2br w:val="nil"/>
              <w:tr2bl w:val="nil"/>
            </w:tcBorders>
            <w:noWrap w:val="0"/>
            <w:vAlign w:val="center"/>
          </w:tcPr>
          <w:p w14:paraId="724E52C5">
            <w:pPr>
              <w:pStyle w:val="31"/>
              <w:bidi w:val="0"/>
              <w:rPr>
                <w:rFonts w:hint="default"/>
                <w:lang w:val="en-US" w:eastAsia="zh-CN"/>
              </w:rPr>
            </w:pPr>
            <w:r>
              <w:rPr>
                <w:rFonts w:hint="default"/>
                <w:lang w:val="en-US" w:eastAsia="zh-CN"/>
              </w:rPr>
              <w:t>1.0</w:t>
            </w:r>
          </w:p>
        </w:tc>
      </w:tr>
      <w:tr w14:paraId="77D1E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61BEE01">
            <w:pPr>
              <w:pStyle w:val="31"/>
              <w:bidi w:val="0"/>
              <w:rPr>
                <w:rFonts w:hint="default"/>
              </w:rPr>
            </w:pPr>
          </w:p>
        </w:tc>
        <w:tc>
          <w:tcPr>
            <w:tcW w:w="868" w:type="pct"/>
            <w:vMerge w:val="continue"/>
            <w:tcBorders>
              <w:tl2br w:val="nil"/>
              <w:tr2bl w:val="nil"/>
            </w:tcBorders>
            <w:noWrap w:val="0"/>
            <w:vAlign w:val="center"/>
          </w:tcPr>
          <w:p w14:paraId="73CC2D5E">
            <w:pPr>
              <w:pStyle w:val="31"/>
              <w:bidi w:val="0"/>
              <w:rPr>
                <w:rFonts w:hint="default"/>
              </w:rPr>
            </w:pPr>
          </w:p>
        </w:tc>
        <w:tc>
          <w:tcPr>
            <w:tcW w:w="826" w:type="pct"/>
            <w:vMerge w:val="continue"/>
            <w:tcBorders>
              <w:tl2br w:val="nil"/>
              <w:tr2bl w:val="nil"/>
            </w:tcBorders>
            <w:noWrap w:val="0"/>
            <w:vAlign w:val="center"/>
          </w:tcPr>
          <w:p w14:paraId="2D295270">
            <w:pPr>
              <w:pStyle w:val="31"/>
              <w:bidi w:val="0"/>
              <w:rPr>
                <w:rFonts w:hint="default"/>
              </w:rPr>
            </w:pPr>
          </w:p>
        </w:tc>
        <w:tc>
          <w:tcPr>
            <w:tcW w:w="913" w:type="pct"/>
            <w:tcBorders>
              <w:tl2br w:val="nil"/>
              <w:tr2bl w:val="nil"/>
            </w:tcBorders>
            <w:noWrap w:val="0"/>
            <w:vAlign w:val="center"/>
          </w:tcPr>
          <w:p w14:paraId="319A4294">
            <w:pPr>
              <w:pStyle w:val="31"/>
              <w:bidi w:val="0"/>
              <w:rPr>
                <w:rFonts w:hint="default"/>
              </w:rPr>
            </w:pPr>
            <w:r>
              <w:rPr>
                <w:rFonts w:hint="default"/>
              </w:rPr>
              <w:t>第二时段</w:t>
            </w:r>
          </w:p>
        </w:tc>
        <w:tc>
          <w:tcPr>
            <w:tcW w:w="828" w:type="pct"/>
            <w:tcBorders>
              <w:tl2br w:val="nil"/>
              <w:tr2bl w:val="nil"/>
            </w:tcBorders>
            <w:noWrap w:val="0"/>
            <w:vAlign w:val="center"/>
          </w:tcPr>
          <w:p w14:paraId="3EC6B80E">
            <w:pPr>
              <w:pStyle w:val="31"/>
              <w:bidi w:val="0"/>
              <w:rPr>
                <w:rFonts w:hint="default"/>
                <w:lang w:val="en-US" w:eastAsia="zh-CN"/>
              </w:rPr>
            </w:pPr>
            <w:r>
              <w:rPr>
                <w:rFonts w:hint="default"/>
                <w:lang w:val="en-US" w:eastAsia="zh-CN"/>
              </w:rPr>
              <w:t>0.191</w:t>
            </w:r>
          </w:p>
        </w:tc>
        <w:tc>
          <w:tcPr>
            <w:tcW w:w="821" w:type="pct"/>
            <w:vMerge w:val="continue"/>
            <w:tcBorders>
              <w:tl2br w:val="nil"/>
              <w:tr2bl w:val="nil"/>
            </w:tcBorders>
            <w:noWrap w:val="0"/>
            <w:vAlign w:val="center"/>
          </w:tcPr>
          <w:p w14:paraId="36AA93A8">
            <w:pPr>
              <w:pStyle w:val="31"/>
              <w:bidi w:val="0"/>
              <w:rPr>
                <w:rFonts w:hint="default"/>
                <w:lang w:val="en-US" w:eastAsia="zh-CN"/>
              </w:rPr>
            </w:pPr>
          </w:p>
        </w:tc>
      </w:tr>
      <w:tr w14:paraId="3C1C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EF92955">
            <w:pPr>
              <w:pStyle w:val="31"/>
              <w:bidi w:val="0"/>
              <w:rPr>
                <w:rFonts w:hint="default"/>
              </w:rPr>
            </w:pPr>
          </w:p>
        </w:tc>
        <w:tc>
          <w:tcPr>
            <w:tcW w:w="868" w:type="pct"/>
            <w:vMerge w:val="continue"/>
            <w:tcBorders>
              <w:tl2br w:val="nil"/>
              <w:tr2bl w:val="nil"/>
            </w:tcBorders>
            <w:noWrap w:val="0"/>
            <w:vAlign w:val="center"/>
          </w:tcPr>
          <w:p w14:paraId="6F8223DC">
            <w:pPr>
              <w:pStyle w:val="31"/>
              <w:bidi w:val="0"/>
              <w:rPr>
                <w:rFonts w:hint="default"/>
              </w:rPr>
            </w:pPr>
          </w:p>
        </w:tc>
        <w:tc>
          <w:tcPr>
            <w:tcW w:w="826" w:type="pct"/>
            <w:vMerge w:val="continue"/>
            <w:tcBorders>
              <w:tl2br w:val="nil"/>
              <w:tr2bl w:val="nil"/>
            </w:tcBorders>
            <w:noWrap w:val="0"/>
            <w:vAlign w:val="center"/>
          </w:tcPr>
          <w:p w14:paraId="0FDFAB91">
            <w:pPr>
              <w:pStyle w:val="31"/>
              <w:bidi w:val="0"/>
              <w:rPr>
                <w:rFonts w:hint="default"/>
              </w:rPr>
            </w:pPr>
          </w:p>
        </w:tc>
        <w:tc>
          <w:tcPr>
            <w:tcW w:w="913" w:type="pct"/>
            <w:tcBorders>
              <w:tl2br w:val="nil"/>
              <w:tr2bl w:val="nil"/>
            </w:tcBorders>
            <w:noWrap w:val="0"/>
            <w:vAlign w:val="center"/>
          </w:tcPr>
          <w:p w14:paraId="74235402">
            <w:pPr>
              <w:pStyle w:val="31"/>
              <w:bidi w:val="0"/>
              <w:rPr>
                <w:rFonts w:hint="default"/>
              </w:rPr>
            </w:pPr>
            <w:r>
              <w:rPr>
                <w:rFonts w:hint="default"/>
              </w:rPr>
              <w:t>第三时段</w:t>
            </w:r>
          </w:p>
        </w:tc>
        <w:tc>
          <w:tcPr>
            <w:tcW w:w="828" w:type="pct"/>
            <w:tcBorders>
              <w:tl2br w:val="nil"/>
              <w:tr2bl w:val="nil"/>
            </w:tcBorders>
            <w:noWrap w:val="0"/>
            <w:vAlign w:val="center"/>
          </w:tcPr>
          <w:p w14:paraId="31541727">
            <w:pPr>
              <w:pStyle w:val="31"/>
              <w:bidi w:val="0"/>
              <w:rPr>
                <w:rFonts w:hint="default"/>
                <w:lang w:val="en-US" w:eastAsia="zh-CN"/>
              </w:rPr>
            </w:pPr>
            <w:r>
              <w:rPr>
                <w:rFonts w:hint="default"/>
                <w:lang w:val="en-US" w:eastAsia="zh-CN"/>
              </w:rPr>
              <w:t>0.154</w:t>
            </w:r>
          </w:p>
        </w:tc>
        <w:tc>
          <w:tcPr>
            <w:tcW w:w="821" w:type="pct"/>
            <w:vMerge w:val="continue"/>
            <w:tcBorders>
              <w:tl2br w:val="nil"/>
              <w:tr2bl w:val="nil"/>
            </w:tcBorders>
            <w:noWrap w:val="0"/>
            <w:vAlign w:val="center"/>
          </w:tcPr>
          <w:p w14:paraId="523F0E84">
            <w:pPr>
              <w:pStyle w:val="31"/>
              <w:bidi w:val="0"/>
              <w:rPr>
                <w:rFonts w:hint="default"/>
                <w:lang w:val="en-US" w:eastAsia="zh-CN"/>
              </w:rPr>
            </w:pPr>
          </w:p>
        </w:tc>
      </w:tr>
      <w:tr w14:paraId="750E2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310B83F">
            <w:pPr>
              <w:pStyle w:val="31"/>
              <w:bidi w:val="0"/>
              <w:rPr>
                <w:rFonts w:hint="default"/>
              </w:rPr>
            </w:pPr>
          </w:p>
        </w:tc>
        <w:tc>
          <w:tcPr>
            <w:tcW w:w="868" w:type="pct"/>
            <w:vMerge w:val="continue"/>
            <w:tcBorders>
              <w:tl2br w:val="nil"/>
              <w:tr2bl w:val="nil"/>
            </w:tcBorders>
            <w:noWrap w:val="0"/>
            <w:vAlign w:val="center"/>
          </w:tcPr>
          <w:p w14:paraId="208F85D1">
            <w:pPr>
              <w:pStyle w:val="31"/>
              <w:bidi w:val="0"/>
              <w:rPr>
                <w:rFonts w:hint="default"/>
              </w:rPr>
            </w:pPr>
          </w:p>
        </w:tc>
        <w:tc>
          <w:tcPr>
            <w:tcW w:w="826" w:type="pct"/>
            <w:vMerge w:val="restart"/>
            <w:tcBorders>
              <w:tl2br w:val="nil"/>
              <w:tr2bl w:val="nil"/>
            </w:tcBorders>
            <w:noWrap w:val="0"/>
            <w:vAlign w:val="center"/>
          </w:tcPr>
          <w:p w14:paraId="4329B5B0">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3661C5BF">
            <w:pPr>
              <w:pStyle w:val="31"/>
              <w:bidi w:val="0"/>
              <w:rPr>
                <w:rFonts w:hint="default"/>
              </w:rPr>
            </w:pPr>
            <w:r>
              <w:rPr>
                <w:rFonts w:hint="default"/>
              </w:rPr>
              <w:t>第一时段</w:t>
            </w:r>
          </w:p>
        </w:tc>
        <w:tc>
          <w:tcPr>
            <w:tcW w:w="828" w:type="pct"/>
            <w:tcBorders>
              <w:tl2br w:val="nil"/>
              <w:tr2bl w:val="nil"/>
            </w:tcBorders>
            <w:noWrap w:val="0"/>
            <w:vAlign w:val="center"/>
          </w:tcPr>
          <w:p w14:paraId="36E6329C">
            <w:pPr>
              <w:pStyle w:val="31"/>
              <w:bidi w:val="0"/>
              <w:rPr>
                <w:rFonts w:hint="default"/>
                <w:lang w:val="en-US" w:eastAsia="zh-CN"/>
              </w:rPr>
            </w:pPr>
            <w:r>
              <w:rPr>
                <w:rFonts w:hint="default"/>
                <w:lang w:val="en-US" w:eastAsia="zh-CN"/>
              </w:rPr>
              <w:t>0.33</w:t>
            </w:r>
          </w:p>
        </w:tc>
        <w:tc>
          <w:tcPr>
            <w:tcW w:w="821" w:type="pct"/>
            <w:vMerge w:val="restart"/>
            <w:tcBorders>
              <w:tl2br w:val="nil"/>
              <w:tr2bl w:val="nil"/>
            </w:tcBorders>
            <w:noWrap w:val="0"/>
            <w:vAlign w:val="center"/>
          </w:tcPr>
          <w:p w14:paraId="1E6C9C1B">
            <w:pPr>
              <w:pStyle w:val="31"/>
              <w:bidi w:val="0"/>
              <w:rPr>
                <w:rFonts w:hint="default"/>
                <w:lang w:val="en-US" w:eastAsia="zh-CN"/>
              </w:rPr>
            </w:pPr>
            <w:r>
              <w:rPr>
                <w:rFonts w:hint="default"/>
                <w:lang w:val="en-US" w:eastAsia="zh-CN"/>
              </w:rPr>
              <w:t>2.0</w:t>
            </w:r>
          </w:p>
        </w:tc>
      </w:tr>
      <w:tr w14:paraId="598ED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798C691">
            <w:pPr>
              <w:pStyle w:val="31"/>
              <w:bidi w:val="0"/>
              <w:rPr>
                <w:rFonts w:hint="default"/>
              </w:rPr>
            </w:pPr>
          </w:p>
        </w:tc>
        <w:tc>
          <w:tcPr>
            <w:tcW w:w="868" w:type="pct"/>
            <w:vMerge w:val="continue"/>
            <w:tcBorders>
              <w:tl2br w:val="nil"/>
              <w:tr2bl w:val="nil"/>
            </w:tcBorders>
            <w:noWrap w:val="0"/>
            <w:vAlign w:val="center"/>
          </w:tcPr>
          <w:p w14:paraId="2D4FA21D">
            <w:pPr>
              <w:pStyle w:val="31"/>
              <w:bidi w:val="0"/>
              <w:rPr>
                <w:rFonts w:hint="default"/>
              </w:rPr>
            </w:pPr>
          </w:p>
        </w:tc>
        <w:tc>
          <w:tcPr>
            <w:tcW w:w="826" w:type="pct"/>
            <w:vMerge w:val="continue"/>
            <w:tcBorders>
              <w:tl2br w:val="nil"/>
              <w:tr2bl w:val="nil"/>
            </w:tcBorders>
            <w:noWrap w:val="0"/>
            <w:vAlign w:val="center"/>
          </w:tcPr>
          <w:p w14:paraId="0F0E5C14">
            <w:pPr>
              <w:pStyle w:val="31"/>
              <w:bidi w:val="0"/>
              <w:rPr>
                <w:rFonts w:hint="default"/>
              </w:rPr>
            </w:pPr>
          </w:p>
        </w:tc>
        <w:tc>
          <w:tcPr>
            <w:tcW w:w="913" w:type="pct"/>
            <w:tcBorders>
              <w:tl2br w:val="nil"/>
              <w:tr2bl w:val="nil"/>
            </w:tcBorders>
            <w:noWrap w:val="0"/>
            <w:vAlign w:val="center"/>
          </w:tcPr>
          <w:p w14:paraId="76810B8B">
            <w:pPr>
              <w:pStyle w:val="31"/>
              <w:bidi w:val="0"/>
              <w:rPr>
                <w:rFonts w:hint="default"/>
              </w:rPr>
            </w:pPr>
            <w:r>
              <w:rPr>
                <w:rFonts w:hint="default"/>
              </w:rPr>
              <w:t>第二时段</w:t>
            </w:r>
          </w:p>
        </w:tc>
        <w:tc>
          <w:tcPr>
            <w:tcW w:w="828" w:type="pct"/>
            <w:tcBorders>
              <w:tl2br w:val="nil"/>
              <w:tr2bl w:val="nil"/>
            </w:tcBorders>
            <w:noWrap w:val="0"/>
            <w:vAlign w:val="center"/>
          </w:tcPr>
          <w:p w14:paraId="63C373D2">
            <w:pPr>
              <w:pStyle w:val="31"/>
              <w:bidi w:val="0"/>
              <w:rPr>
                <w:rFonts w:hint="default"/>
                <w:lang w:val="en-US" w:eastAsia="zh-CN"/>
              </w:rPr>
            </w:pPr>
            <w:r>
              <w:rPr>
                <w:rFonts w:hint="default"/>
                <w:lang w:val="en-US" w:eastAsia="zh-CN"/>
              </w:rPr>
              <w:t>0.36</w:t>
            </w:r>
          </w:p>
        </w:tc>
        <w:tc>
          <w:tcPr>
            <w:tcW w:w="821" w:type="pct"/>
            <w:vMerge w:val="continue"/>
            <w:tcBorders>
              <w:tl2br w:val="nil"/>
              <w:tr2bl w:val="nil"/>
            </w:tcBorders>
            <w:noWrap w:val="0"/>
            <w:vAlign w:val="center"/>
          </w:tcPr>
          <w:p w14:paraId="1410D9CE">
            <w:pPr>
              <w:pStyle w:val="31"/>
              <w:bidi w:val="0"/>
              <w:rPr>
                <w:rFonts w:hint="default"/>
                <w:lang w:val="en-US" w:eastAsia="zh-CN"/>
              </w:rPr>
            </w:pPr>
          </w:p>
        </w:tc>
      </w:tr>
      <w:tr w14:paraId="520A3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510A934">
            <w:pPr>
              <w:pStyle w:val="31"/>
              <w:bidi w:val="0"/>
              <w:rPr>
                <w:rFonts w:hint="default"/>
              </w:rPr>
            </w:pPr>
          </w:p>
        </w:tc>
        <w:tc>
          <w:tcPr>
            <w:tcW w:w="868" w:type="pct"/>
            <w:vMerge w:val="continue"/>
            <w:tcBorders>
              <w:tl2br w:val="nil"/>
              <w:tr2bl w:val="nil"/>
            </w:tcBorders>
            <w:noWrap w:val="0"/>
            <w:vAlign w:val="center"/>
          </w:tcPr>
          <w:p w14:paraId="4F394CB8">
            <w:pPr>
              <w:pStyle w:val="31"/>
              <w:bidi w:val="0"/>
              <w:rPr>
                <w:rFonts w:hint="default"/>
              </w:rPr>
            </w:pPr>
          </w:p>
        </w:tc>
        <w:tc>
          <w:tcPr>
            <w:tcW w:w="826" w:type="pct"/>
            <w:vMerge w:val="continue"/>
            <w:tcBorders>
              <w:tl2br w:val="nil"/>
              <w:tr2bl w:val="nil"/>
            </w:tcBorders>
            <w:noWrap w:val="0"/>
            <w:vAlign w:val="center"/>
          </w:tcPr>
          <w:p w14:paraId="417CCFEF">
            <w:pPr>
              <w:pStyle w:val="31"/>
              <w:bidi w:val="0"/>
              <w:rPr>
                <w:rFonts w:hint="default"/>
              </w:rPr>
            </w:pPr>
          </w:p>
        </w:tc>
        <w:tc>
          <w:tcPr>
            <w:tcW w:w="913" w:type="pct"/>
            <w:tcBorders>
              <w:tl2br w:val="nil"/>
              <w:tr2bl w:val="nil"/>
            </w:tcBorders>
            <w:noWrap w:val="0"/>
            <w:vAlign w:val="center"/>
          </w:tcPr>
          <w:p w14:paraId="25E0D23B">
            <w:pPr>
              <w:pStyle w:val="31"/>
              <w:bidi w:val="0"/>
              <w:rPr>
                <w:rFonts w:hint="default"/>
              </w:rPr>
            </w:pPr>
            <w:r>
              <w:rPr>
                <w:rFonts w:hint="default"/>
              </w:rPr>
              <w:t>第三时段</w:t>
            </w:r>
          </w:p>
        </w:tc>
        <w:tc>
          <w:tcPr>
            <w:tcW w:w="828" w:type="pct"/>
            <w:tcBorders>
              <w:tl2br w:val="nil"/>
              <w:tr2bl w:val="nil"/>
            </w:tcBorders>
            <w:noWrap w:val="0"/>
            <w:vAlign w:val="center"/>
          </w:tcPr>
          <w:p w14:paraId="4D510391">
            <w:pPr>
              <w:pStyle w:val="31"/>
              <w:bidi w:val="0"/>
              <w:rPr>
                <w:rFonts w:hint="default"/>
                <w:lang w:val="en-US" w:eastAsia="zh-CN"/>
              </w:rPr>
            </w:pPr>
            <w:r>
              <w:rPr>
                <w:rFonts w:hint="default"/>
                <w:lang w:val="en-US" w:eastAsia="zh-CN"/>
              </w:rPr>
              <w:t>0.32</w:t>
            </w:r>
          </w:p>
        </w:tc>
        <w:tc>
          <w:tcPr>
            <w:tcW w:w="821" w:type="pct"/>
            <w:vMerge w:val="continue"/>
            <w:tcBorders>
              <w:tl2br w:val="nil"/>
              <w:tr2bl w:val="nil"/>
            </w:tcBorders>
            <w:noWrap w:val="0"/>
            <w:vAlign w:val="center"/>
          </w:tcPr>
          <w:p w14:paraId="79C10960">
            <w:pPr>
              <w:pStyle w:val="31"/>
              <w:bidi w:val="0"/>
              <w:rPr>
                <w:rFonts w:hint="default"/>
                <w:lang w:val="en-US" w:eastAsia="zh-CN"/>
              </w:rPr>
            </w:pPr>
          </w:p>
        </w:tc>
      </w:tr>
      <w:tr w14:paraId="31194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restart"/>
            <w:tcBorders>
              <w:tl2br w:val="nil"/>
              <w:tr2bl w:val="nil"/>
            </w:tcBorders>
            <w:noWrap w:val="0"/>
            <w:vAlign w:val="center"/>
          </w:tcPr>
          <w:p w14:paraId="29AEAADE">
            <w:pPr>
              <w:pStyle w:val="31"/>
              <w:bidi w:val="0"/>
              <w:rPr>
                <w:rFonts w:hint="default"/>
                <w:lang w:val="en-US" w:eastAsia="zh-CN"/>
              </w:rPr>
            </w:pPr>
            <w:r>
              <w:rPr>
                <w:rFonts w:hint="default"/>
                <w:lang w:val="en-US" w:eastAsia="zh-CN"/>
              </w:rPr>
              <w:t>2020.11.24</w:t>
            </w:r>
          </w:p>
        </w:tc>
        <w:tc>
          <w:tcPr>
            <w:tcW w:w="868" w:type="pct"/>
            <w:vMerge w:val="restart"/>
            <w:tcBorders>
              <w:tl2br w:val="nil"/>
              <w:tr2bl w:val="nil"/>
            </w:tcBorders>
            <w:noWrap w:val="0"/>
            <w:vAlign w:val="center"/>
          </w:tcPr>
          <w:p w14:paraId="61FEADCC">
            <w:pPr>
              <w:pStyle w:val="31"/>
              <w:bidi w:val="0"/>
              <w:rPr>
                <w:rFonts w:hint="default"/>
                <w:lang w:val="en-US" w:eastAsia="zh-CN"/>
              </w:rPr>
            </w:pPr>
            <w:r>
              <w:rPr>
                <w:rFonts w:hint="default"/>
                <w:lang w:val="en-US" w:eastAsia="zh-CN"/>
              </w:rPr>
              <w:t>厂界东侧10m处○1#</w:t>
            </w:r>
          </w:p>
        </w:tc>
        <w:tc>
          <w:tcPr>
            <w:tcW w:w="826" w:type="pct"/>
            <w:vMerge w:val="restart"/>
            <w:tcBorders>
              <w:tl2br w:val="nil"/>
              <w:tr2bl w:val="nil"/>
            </w:tcBorders>
            <w:noWrap w:val="0"/>
            <w:vAlign w:val="center"/>
          </w:tcPr>
          <w:p w14:paraId="170D6929">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10970C89">
            <w:pPr>
              <w:pStyle w:val="31"/>
              <w:bidi w:val="0"/>
              <w:rPr>
                <w:rFonts w:hint="default"/>
              </w:rPr>
            </w:pPr>
            <w:r>
              <w:rPr>
                <w:rFonts w:hint="default"/>
              </w:rPr>
              <w:t>第一时段</w:t>
            </w:r>
          </w:p>
        </w:tc>
        <w:tc>
          <w:tcPr>
            <w:tcW w:w="828" w:type="pct"/>
            <w:tcBorders>
              <w:tl2br w:val="nil"/>
              <w:tr2bl w:val="nil"/>
            </w:tcBorders>
            <w:noWrap w:val="0"/>
            <w:vAlign w:val="center"/>
          </w:tcPr>
          <w:p w14:paraId="03C0E7AF">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7BA56D32">
            <w:pPr>
              <w:pStyle w:val="31"/>
              <w:bidi w:val="0"/>
              <w:rPr>
                <w:rFonts w:hint="default"/>
                <w:lang w:val="en-US" w:eastAsia="zh-CN"/>
              </w:rPr>
            </w:pPr>
            <w:r>
              <w:rPr>
                <w:rFonts w:hint="default"/>
                <w:lang w:val="en-US" w:eastAsia="zh-CN"/>
              </w:rPr>
              <w:t>2.4</w:t>
            </w:r>
          </w:p>
        </w:tc>
      </w:tr>
      <w:tr w14:paraId="11C7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247AE3E">
            <w:pPr>
              <w:pStyle w:val="31"/>
              <w:bidi w:val="0"/>
              <w:rPr>
                <w:rFonts w:hint="default"/>
              </w:rPr>
            </w:pPr>
          </w:p>
        </w:tc>
        <w:tc>
          <w:tcPr>
            <w:tcW w:w="868" w:type="pct"/>
            <w:vMerge w:val="continue"/>
            <w:tcBorders>
              <w:tl2br w:val="nil"/>
              <w:tr2bl w:val="nil"/>
            </w:tcBorders>
            <w:noWrap w:val="0"/>
            <w:vAlign w:val="center"/>
          </w:tcPr>
          <w:p w14:paraId="4BA8747F">
            <w:pPr>
              <w:pStyle w:val="31"/>
              <w:bidi w:val="0"/>
              <w:rPr>
                <w:rFonts w:hint="default"/>
              </w:rPr>
            </w:pPr>
          </w:p>
        </w:tc>
        <w:tc>
          <w:tcPr>
            <w:tcW w:w="826" w:type="pct"/>
            <w:vMerge w:val="continue"/>
            <w:tcBorders>
              <w:tl2br w:val="nil"/>
              <w:tr2bl w:val="nil"/>
            </w:tcBorders>
            <w:noWrap w:val="0"/>
            <w:vAlign w:val="center"/>
          </w:tcPr>
          <w:p w14:paraId="141D53F3">
            <w:pPr>
              <w:pStyle w:val="31"/>
              <w:bidi w:val="0"/>
              <w:rPr>
                <w:rFonts w:hint="default"/>
              </w:rPr>
            </w:pPr>
          </w:p>
        </w:tc>
        <w:tc>
          <w:tcPr>
            <w:tcW w:w="913" w:type="pct"/>
            <w:tcBorders>
              <w:tl2br w:val="nil"/>
              <w:tr2bl w:val="nil"/>
            </w:tcBorders>
            <w:noWrap w:val="0"/>
            <w:vAlign w:val="center"/>
          </w:tcPr>
          <w:p w14:paraId="7711AD98">
            <w:pPr>
              <w:pStyle w:val="31"/>
              <w:bidi w:val="0"/>
              <w:rPr>
                <w:rFonts w:hint="default"/>
              </w:rPr>
            </w:pPr>
            <w:r>
              <w:rPr>
                <w:rFonts w:hint="default"/>
              </w:rPr>
              <w:t>第二时段</w:t>
            </w:r>
          </w:p>
        </w:tc>
        <w:tc>
          <w:tcPr>
            <w:tcW w:w="828" w:type="pct"/>
            <w:tcBorders>
              <w:tl2br w:val="nil"/>
              <w:tr2bl w:val="nil"/>
            </w:tcBorders>
            <w:noWrap w:val="0"/>
            <w:vAlign w:val="center"/>
          </w:tcPr>
          <w:p w14:paraId="2ED3589A">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0D739964">
            <w:pPr>
              <w:pStyle w:val="31"/>
              <w:bidi w:val="0"/>
              <w:rPr>
                <w:rFonts w:hint="default"/>
              </w:rPr>
            </w:pPr>
          </w:p>
        </w:tc>
      </w:tr>
      <w:tr w14:paraId="2B8E5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57CB575">
            <w:pPr>
              <w:pStyle w:val="31"/>
              <w:bidi w:val="0"/>
              <w:rPr>
                <w:rFonts w:hint="default"/>
              </w:rPr>
            </w:pPr>
          </w:p>
        </w:tc>
        <w:tc>
          <w:tcPr>
            <w:tcW w:w="868" w:type="pct"/>
            <w:vMerge w:val="continue"/>
            <w:tcBorders>
              <w:tl2br w:val="nil"/>
              <w:tr2bl w:val="nil"/>
            </w:tcBorders>
            <w:noWrap w:val="0"/>
            <w:vAlign w:val="center"/>
          </w:tcPr>
          <w:p w14:paraId="6C18B07B">
            <w:pPr>
              <w:pStyle w:val="31"/>
              <w:bidi w:val="0"/>
              <w:rPr>
                <w:rFonts w:hint="default"/>
              </w:rPr>
            </w:pPr>
          </w:p>
        </w:tc>
        <w:tc>
          <w:tcPr>
            <w:tcW w:w="826" w:type="pct"/>
            <w:vMerge w:val="continue"/>
            <w:tcBorders>
              <w:tl2br w:val="nil"/>
              <w:tr2bl w:val="nil"/>
            </w:tcBorders>
            <w:noWrap w:val="0"/>
            <w:vAlign w:val="center"/>
          </w:tcPr>
          <w:p w14:paraId="426EB8A4">
            <w:pPr>
              <w:pStyle w:val="31"/>
              <w:bidi w:val="0"/>
              <w:rPr>
                <w:rFonts w:hint="default"/>
              </w:rPr>
            </w:pPr>
          </w:p>
        </w:tc>
        <w:tc>
          <w:tcPr>
            <w:tcW w:w="913" w:type="pct"/>
            <w:tcBorders>
              <w:tl2br w:val="nil"/>
              <w:tr2bl w:val="nil"/>
            </w:tcBorders>
            <w:noWrap w:val="0"/>
            <w:vAlign w:val="center"/>
          </w:tcPr>
          <w:p w14:paraId="4A437DB1">
            <w:pPr>
              <w:pStyle w:val="31"/>
              <w:bidi w:val="0"/>
              <w:rPr>
                <w:rFonts w:hint="default"/>
              </w:rPr>
            </w:pPr>
            <w:r>
              <w:rPr>
                <w:rFonts w:hint="default"/>
              </w:rPr>
              <w:t>第三时段</w:t>
            </w:r>
          </w:p>
        </w:tc>
        <w:tc>
          <w:tcPr>
            <w:tcW w:w="828" w:type="pct"/>
            <w:tcBorders>
              <w:tl2br w:val="nil"/>
              <w:tr2bl w:val="nil"/>
            </w:tcBorders>
            <w:noWrap w:val="0"/>
            <w:vAlign w:val="center"/>
          </w:tcPr>
          <w:p w14:paraId="3F89B568">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8030A3A">
            <w:pPr>
              <w:pStyle w:val="31"/>
              <w:bidi w:val="0"/>
              <w:rPr>
                <w:rFonts w:hint="default"/>
              </w:rPr>
            </w:pPr>
          </w:p>
        </w:tc>
      </w:tr>
      <w:tr w14:paraId="43FA0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BB8D9B1">
            <w:pPr>
              <w:pStyle w:val="31"/>
              <w:bidi w:val="0"/>
              <w:rPr>
                <w:rFonts w:hint="default"/>
              </w:rPr>
            </w:pPr>
          </w:p>
        </w:tc>
        <w:tc>
          <w:tcPr>
            <w:tcW w:w="868" w:type="pct"/>
            <w:vMerge w:val="continue"/>
            <w:tcBorders>
              <w:tl2br w:val="nil"/>
              <w:tr2bl w:val="nil"/>
            </w:tcBorders>
            <w:noWrap w:val="0"/>
            <w:vAlign w:val="center"/>
          </w:tcPr>
          <w:p w14:paraId="112CDE7F">
            <w:pPr>
              <w:pStyle w:val="31"/>
              <w:bidi w:val="0"/>
              <w:rPr>
                <w:rFonts w:hint="default"/>
              </w:rPr>
            </w:pPr>
          </w:p>
        </w:tc>
        <w:tc>
          <w:tcPr>
            <w:tcW w:w="826" w:type="pct"/>
            <w:vMerge w:val="restart"/>
            <w:tcBorders>
              <w:tl2br w:val="nil"/>
              <w:tr2bl w:val="nil"/>
            </w:tcBorders>
            <w:noWrap w:val="0"/>
            <w:vAlign w:val="center"/>
          </w:tcPr>
          <w:p w14:paraId="667D1780">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5D9EBE5F">
            <w:pPr>
              <w:pStyle w:val="31"/>
              <w:bidi w:val="0"/>
              <w:rPr>
                <w:rFonts w:hint="default"/>
              </w:rPr>
            </w:pPr>
            <w:r>
              <w:rPr>
                <w:rFonts w:hint="default"/>
              </w:rPr>
              <w:t>第一时段</w:t>
            </w:r>
          </w:p>
        </w:tc>
        <w:tc>
          <w:tcPr>
            <w:tcW w:w="828" w:type="pct"/>
            <w:tcBorders>
              <w:tl2br w:val="nil"/>
              <w:tr2bl w:val="nil"/>
            </w:tcBorders>
            <w:noWrap w:val="0"/>
            <w:vAlign w:val="center"/>
          </w:tcPr>
          <w:p w14:paraId="3CF04D8C">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4AAB0ECE">
            <w:pPr>
              <w:pStyle w:val="31"/>
              <w:bidi w:val="0"/>
              <w:rPr>
                <w:rFonts w:hint="default"/>
                <w:lang w:val="en-US" w:eastAsia="zh-CN"/>
              </w:rPr>
            </w:pPr>
            <w:r>
              <w:rPr>
                <w:rFonts w:hint="default"/>
                <w:lang w:val="en-US" w:eastAsia="zh-CN"/>
              </w:rPr>
              <w:t>1.2</w:t>
            </w:r>
          </w:p>
        </w:tc>
      </w:tr>
      <w:tr w14:paraId="0D3A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A0B7B24">
            <w:pPr>
              <w:pStyle w:val="31"/>
              <w:bidi w:val="0"/>
              <w:rPr>
                <w:rFonts w:hint="default"/>
              </w:rPr>
            </w:pPr>
          </w:p>
        </w:tc>
        <w:tc>
          <w:tcPr>
            <w:tcW w:w="868" w:type="pct"/>
            <w:vMerge w:val="continue"/>
            <w:tcBorders>
              <w:tl2br w:val="nil"/>
              <w:tr2bl w:val="nil"/>
            </w:tcBorders>
            <w:noWrap w:val="0"/>
            <w:vAlign w:val="center"/>
          </w:tcPr>
          <w:p w14:paraId="341D93D6">
            <w:pPr>
              <w:pStyle w:val="31"/>
              <w:bidi w:val="0"/>
              <w:rPr>
                <w:rFonts w:hint="default"/>
              </w:rPr>
            </w:pPr>
          </w:p>
        </w:tc>
        <w:tc>
          <w:tcPr>
            <w:tcW w:w="826" w:type="pct"/>
            <w:vMerge w:val="continue"/>
            <w:tcBorders>
              <w:tl2br w:val="nil"/>
              <w:tr2bl w:val="nil"/>
            </w:tcBorders>
            <w:noWrap w:val="0"/>
            <w:vAlign w:val="center"/>
          </w:tcPr>
          <w:p w14:paraId="747C84FB">
            <w:pPr>
              <w:pStyle w:val="31"/>
              <w:bidi w:val="0"/>
              <w:rPr>
                <w:rFonts w:hint="default"/>
              </w:rPr>
            </w:pPr>
          </w:p>
        </w:tc>
        <w:tc>
          <w:tcPr>
            <w:tcW w:w="913" w:type="pct"/>
            <w:tcBorders>
              <w:tl2br w:val="nil"/>
              <w:tr2bl w:val="nil"/>
            </w:tcBorders>
            <w:noWrap w:val="0"/>
            <w:vAlign w:val="center"/>
          </w:tcPr>
          <w:p w14:paraId="543273DC">
            <w:pPr>
              <w:pStyle w:val="31"/>
              <w:bidi w:val="0"/>
              <w:rPr>
                <w:rFonts w:hint="default"/>
              </w:rPr>
            </w:pPr>
            <w:r>
              <w:rPr>
                <w:rFonts w:hint="default"/>
              </w:rPr>
              <w:t>第二时段</w:t>
            </w:r>
          </w:p>
        </w:tc>
        <w:tc>
          <w:tcPr>
            <w:tcW w:w="828" w:type="pct"/>
            <w:tcBorders>
              <w:tl2br w:val="nil"/>
              <w:tr2bl w:val="nil"/>
            </w:tcBorders>
            <w:noWrap w:val="0"/>
            <w:vAlign w:val="center"/>
          </w:tcPr>
          <w:p w14:paraId="11F8DDE3">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CC9BE4D">
            <w:pPr>
              <w:pStyle w:val="31"/>
              <w:bidi w:val="0"/>
              <w:rPr>
                <w:rFonts w:hint="default"/>
              </w:rPr>
            </w:pPr>
          </w:p>
        </w:tc>
      </w:tr>
      <w:tr w14:paraId="4D6E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E50BA99">
            <w:pPr>
              <w:pStyle w:val="31"/>
              <w:bidi w:val="0"/>
              <w:rPr>
                <w:rFonts w:hint="default"/>
              </w:rPr>
            </w:pPr>
          </w:p>
        </w:tc>
        <w:tc>
          <w:tcPr>
            <w:tcW w:w="868" w:type="pct"/>
            <w:vMerge w:val="continue"/>
            <w:tcBorders>
              <w:tl2br w:val="nil"/>
              <w:tr2bl w:val="nil"/>
            </w:tcBorders>
            <w:noWrap w:val="0"/>
            <w:vAlign w:val="center"/>
          </w:tcPr>
          <w:p w14:paraId="07C9F69D">
            <w:pPr>
              <w:pStyle w:val="31"/>
              <w:bidi w:val="0"/>
              <w:rPr>
                <w:rFonts w:hint="default"/>
              </w:rPr>
            </w:pPr>
          </w:p>
        </w:tc>
        <w:tc>
          <w:tcPr>
            <w:tcW w:w="826" w:type="pct"/>
            <w:vMerge w:val="continue"/>
            <w:tcBorders>
              <w:tl2br w:val="nil"/>
              <w:tr2bl w:val="nil"/>
            </w:tcBorders>
            <w:noWrap w:val="0"/>
            <w:vAlign w:val="center"/>
          </w:tcPr>
          <w:p w14:paraId="3EAF3725">
            <w:pPr>
              <w:pStyle w:val="31"/>
              <w:bidi w:val="0"/>
              <w:rPr>
                <w:rFonts w:hint="default"/>
              </w:rPr>
            </w:pPr>
          </w:p>
        </w:tc>
        <w:tc>
          <w:tcPr>
            <w:tcW w:w="913" w:type="pct"/>
            <w:tcBorders>
              <w:tl2br w:val="nil"/>
              <w:tr2bl w:val="nil"/>
            </w:tcBorders>
            <w:noWrap w:val="0"/>
            <w:vAlign w:val="center"/>
          </w:tcPr>
          <w:p w14:paraId="1872D8A9">
            <w:pPr>
              <w:pStyle w:val="31"/>
              <w:bidi w:val="0"/>
              <w:rPr>
                <w:rFonts w:hint="default"/>
              </w:rPr>
            </w:pPr>
            <w:r>
              <w:rPr>
                <w:rFonts w:hint="default"/>
              </w:rPr>
              <w:t>第三时段</w:t>
            </w:r>
          </w:p>
        </w:tc>
        <w:tc>
          <w:tcPr>
            <w:tcW w:w="828" w:type="pct"/>
            <w:tcBorders>
              <w:tl2br w:val="nil"/>
              <w:tr2bl w:val="nil"/>
            </w:tcBorders>
            <w:noWrap w:val="0"/>
            <w:vAlign w:val="center"/>
          </w:tcPr>
          <w:p w14:paraId="39798FFB">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8F26D7A">
            <w:pPr>
              <w:pStyle w:val="31"/>
              <w:bidi w:val="0"/>
              <w:rPr>
                <w:rFonts w:hint="default"/>
              </w:rPr>
            </w:pPr>
          </w:p>
        </w:tc>
      </w:tr>
      <w:tr w14:paraId="0174C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40B224D">
            <w:pPr>
              <w:pStyle w:val="31"/>
              <w:bidi w:val="0"/>
              <w:rPr>
                <w:rFonts w:hint="default"/>
              </w:rPr>
            </w:pPr>
          </w:p>
        </w:tc>
        <w:tc>
          <w:tcPr>
            <w:tcW w:w="868" w:type="pct"/>
            <w:vMerge w:val="continue"/>
            <w:tcBorders>
              <w:tl2br w:val="nil"/>
              <w:tr2bl w:val="nil"/>
            </w:tcBorders>
            <w:noWrap w:val="0"/>
            <w:vAlign w:val="center"/>
          </w:tcPr>
          <w:p w14:paraId="2E81183C">
            <w:pPr>
              <w:pStyle w:val="31"/>
              <w:bidi w:val="0"/>
              <w:rPr>
                <w:rFonts w:hint="default"/>
              </w:rPr>
            </w:pPr>
          </w:p>
        </w:tc>
        <w:tc>
          <w:tcPr>
            <w:tcW w:w="826" w:type="pct"/>
            <w:vMerge w:val="restart"/>
            <w:tcBorders>
              <w:tl2br w:val="nil"/>
              <w:tr2bl w:val="nil"/>
            </w:tcBorders>
            <w:noWrap w:val="0"/>
            <w:vAlign w:val="center"/>
          </w:tcPr>
          <w:p w14:paraId="7ED4AFFB">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1F4165DB">
            <w:pPr>
              <w:pStyle w:val="31"/>
              <w:bidi w:val="0"/>
              <w:rPr>
                <w:rFonts w:hint="default"/>
              </w:rPr>
            </w:pPr>
            <w:r>
              <w:rPr>
                <w:rFonts w:hint="default"/>
              </w:rPr>
              <w:t>第一时段</w:t>
            </w:r>
          </w:p>
        </w:tc>
        <w:tc>
          <w:tcPr>
            <w:tcW w:w="828" w:type="pct"/>
            <w:tcBorders>
              <w:tl2br w:val="nil"/>
              <w:tr2bl w:val="nil"/>
            </w:tcBorders>
            <w:noWrap w:val="0"/>
            <w:vAlign w:val="center"/>
          </w:tcPr>
          <w:p w14:paraId="0DA45937">
            <w:pPr>
              <w:pStyle w:val="31"/>
              <w:bidi w:val="0"/>
              <w:rPr>
                <w:rFonts w:hint="default"/>
                <w:lang w:val="en-US" w:eastAsia="zh-CN"/>
              </w:rPr>
            </w:pPr>
            <w:r>
              <w:rPr>
                <w:rFonts w:hint="default"/>
                <w:lang w:val="en-US" w:eastAsia="zh-CN"/>
              </w:rPr>
              <w:t>0.342</w:t>
            </w:r>
          </w:p>
        </w:tc>
        <w:tc>
          <w:tcPr>
            <w:tcW w:w="821" w:type="pct"/>
            <w:vMerge w:val="restart"/>
            <w:tcBorders>
              <w:tl2br w:val="nil"/>
              <w:tr2bl w:val="nil"/>
            </w:tcBorders>
            <w:noWrap w:val="0"/>
            <w:vAlign w:val="center"/>
          </w:tcPr>
          <w:p w14:paraId="620C767F">
            <w:pPr>
              <w:pStyle w:val="31"/>
              <w:bidi w:val="0"/>
              <w:rPr>
                <w:rFonts w:hint="default"/>
                <w:lang w:val="en-US" w:eastAsia="zh-CN"/>
              </w:rPr>
            </w:pPr>
            <w:r>
              <w:rPr>
                <w:rFonts w:hint="default"/>
                <w:lang w:val="en-US" w:eastAsia="zh-CN"/>
              </w:rPr>
              <w:t>1.0</w:t>
            </w:r>
          </w:p>
        </w:tc>
      </w:tr>
      <w:tr w14:paraId="38AEA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A5A8898">
            <w:pPr>
              <w:pStyle w:val="31"/>
              <w:bidi w:val="0"/>
              <w:rPr>
                <w:rFonts w:hint="default"/>
              </w:rPr>
            </w:pPr>
          </w:p>
        </w:tc>
        <w:tc>
          <w:tcPr>
            <w:tcW w:w="868" w:type="pct"/>
            <w:vMerge w:val="continue"/>
            <w:tcBorders>
              <w:tl2br w:val="nil"/>
              <w:tr2bl w:val="nil"/>
            </w:tcBorders>
            <w:noWrap w:val="0"/>
            <w:vAlign w:val="center"/>
          </w:tcPr>
          <w:p w14:paraId="37324B19">
            <w:pPr>
              <w:pStyle w:val="31"/>
              <w:bidi w:val="0"/>
              <w:rPr>
                <w:rFonts w:hint="default"/>
              </w:rPr>
            </w:pPr>
          </w:p>
        </w:tc>
        <w:tc>
          <w:tcPr>
            <w:tcW w:w="826" w:type="pct"/>
            <w:vMerge w:val="continue"/>
            <w:tcBorders>
              <w:tl2br w:val="nil"/>
              <w:tr2bl w:val="nil"/>
            </w:tcBorders>
            <w:noWrap w:val="0"/>
            <w:vAlign w:val="center"/>
          </w:tcPr>
          <w:p w14:paraId="149DBB8B">
            <w:pPr>
              <w:pStyle w:val="31"/>
              <w:bidi w:val="0"/>
              <w:rPr>
                <w:rFonts w:hint="default"/>
              </w:rPr>
            </w:pPr>
          </w:p>
        </w:tc>
        <w:tc>
          <w:tcPr>
            <w:tcW w:w="913" w:type="pct"/>
            <w:tcBorders>
              <w:tl2br w:val="nil"/>
              <w:tr2bl w:val="nil"/>
            </w:tcBorders>
            <w:noWrap w:val="0"/>
            <w:vAlign w:val="center"/>
          </w:tcPr>
          <w:p w14:paraId="7B5FD0D9">
            <w:pPr>
              <w:pStyle w:val="31"/>
              <w:bidi w:val="0"/>
              <w:rPr>
                <w:rFonts w:hint="default"/>
              </w:rPr>
            </w:pPr>
            <w:r>
              <w:rPr>
                <w:rFonts w:hint="default"/>
              </w:rPr>
              <w:t>第二时段</w:t>
            </w:r>
          </w:p>
        </w:tc>
        <w:tc>
          <w:tcPr>
            <w:tcW w:w="828" w:type="pct"/>
            <w:tcBorders>
              <w:tl2br w:val="nil"/>
              <w:tr2bl w:val="nil"/>
            </w:tcBorders>
            <w:noWrap w:val="0"/>
            <w:vAlign w:val="center"/>
          </w:tcPr>
          <w:p w14:paraId="11B7A56D">
            <w:pPr>
              <w:pStyle w:val="31"/>
              <w:bidi w:val="0"/>
              <w:rPr>
                <w:rFonts w:hint="default"/>
                <w:lang w:val="en-US" w:eastAsia="zh-CN"/>
              </w:rPr>
            </w:pPr>
            <w:r>
              <w:rPr>
                <w:rFonts w:hint="default"/>
                <w:lang w:val="en-US" w:eastAsia="zh-CN"/>
              </w:rPr>
              <w:t>0.396</w:t>
            </w:r>
          </w:p>
        </w:tc>
        <w:tc>
          <w:tcPr>
            <w:tcW w:w="821" w:type="pct"/>
            <w:vMerge w:val="continue"/>
            <w:tcBorders>
              <w:tl2br w:val="nil"/>
              <w:tr2bl w:val="nil"/>
            </w:tcBorders>
            <w:noWrap w:val="0"/>
            <w:vAlign w:val="center"/>
          </w:tcPr>
          <w:p w14:paraId="19B18F18">
            <w:pPr>
              <w:pStyle w:val="31"/>
              <w:bidi w:val="0"/>
              <w:rPr>
                <w:rFonts w:hint="default"/>
                <w:lang w:val="en-US" w:eastAsia="zh-CN"/>
              </w:rPr>
            </w:pPr>
          </w:p>
        </w:tc>
      </w:tr>
      <w:tr w14:paraId="11F89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67F0025">
            <w:pPr>
              <w:pStyle w:val="31"/>
              <w:bidi w:val="0"/>
              <w:rPr>
                <w:rFonts w:hint="default"/>
              </w:rPr>
            </w:pPr>
          </w:p>
        </w:tc>
        <w:tc>
          <w:tcPr>
            <w:tcW w:w="868" w:type="pct"/>
            <w:vMerge w:val="continue"/>
            <w:tcBorders>
              <w:tl2br w:val="nil"/>
              <w:tr2bl w:val="nil"/>
            </w:tcBorders>
            <w:noWrap w:val="0"/>
            <w:vAlign w:val="center"/>
          </w:tcPr>
          <w:p w14:paraId="66CA859F">
            <w:pPr>
              <w:pStyle w:val="31"/>
              <w:bidi w:val="0"/>
              <w:rPr>
                <w:rFonts w:hint="default"/>
              </w:rPr>
            </w:pPr>
          </w:p>
        </w:tc>
        <w:tc>
          <w:tcPr>
            <w:tcW w:w="826" w:type="pct"/>
            <w:vMerge w:val="continue"/>
            <w:tcBorders>
              <w:tl2br w:val="nil"/>
              <w:tr2bl w:val="nil"/>
            </w:tcBorders>
            <w:noWrap w:val="0"/>
            <w:vAlign w:val="center"/>
          </w:tcPr>
          <w:p w14:paraId="67A4594D">
            <w:pPr>
              <w:pStyle w:val="31"/>
              <w:bidi w:val="0"/>
              <w:rPr>
                <w:rFonts w:hint="default"/>
              </w:rPr>
            </w:pPr>
          </w:p>
        </w:tc>
        <w:tc>
          <w:tcPr>
            <w:tcW w:w="913" w:type="pct"/>
            <w:tcBorders>
              <w:tl2br w:val="nil"/>
              <w:tr2bl w:val="nil"/>
            </w:tcBorders>
            <w:noWrap w:val="0"/>
            <w:vAlign w:val="center"/>
          </w:tcPr>
          <w:p w14:paraId="7E638B1D">
            <w:pPr>
              <w:pStyle w:val="31"/>
              <w:bidi w:val="0"/>
              <w:rPr>
                <w:rFonts w:hint="default"/>
              </w:rPr>
            </w:pPr>
            <w:r>
              <w:rPr>
                <w:rFonts w:hint="default"/>
              </w:rPr>
              <w:t>第三时段</w:t>
            </w:r>
          </w:p>
        </w:tc>
        <w:tc>
          <w:tcPr>
            <w:tcW w:w="828" w:type="pct"/>
            <w:tcBorders>
              <w:tl2br w:val="nil"/>
              <w:tr2bl w:val="nil"/>
            </w:tcBorders>
            <w:noWrap w:val="0"/>
            <w:vAlign w:val="center"/>
          </w:tcPr>
          <w:p w14:paraId="1B12A57C">
            <w:pPr>
              <w:pStyle w:val="31"/>
              <w:bidi w:val="0"/>
              <w:rPr>
                <w:rFonts w:hint="default"/>
                <w:lang w:val="en-US" w:eastAsia="zh-CN"/>
              </w:rPr>
            </w:pPr>
            <w:r>
              <w:rPr>
                <w:rFonts w:hint="default"/>
                <w:lang w:val="en-US" w:eastAsia="zh-CN"/>
              </w:rPr>
              <w:t>0.360</w:t>
            </w:r>
          </w:p>
        </w:tc>
        <w:tc>
          <w:tcPr>
            <w:tcW w:w="821" w:type="pct"/>
            <w:vMerge w:val="continue"/>
            <w:tcBorders>
              <w:tl2br w:val="nil"/>
              <w:tr2bl w:val="nil"/>
            </w:tcBorders>
            <w:noWrap w:val="0"/>
            <w:vAlign w:val="center"/>
          </w:tcPr>
          <w:p w14:paraId="41F62E7D">
            <w:pPr>
              <w:pStyle w:val="31"/>
              <w:bidi w:val="0"/>
              <w:rPr>
                <w:rFonts w:hint="default"/>
                <w:lang w:val="en-US" w:eastAsia="zh-CN"/>
              </w:rPr>
            </w:pPr>
          </w:p>
        </w:tc>
      </w:tr>
      <w:tr w14:paraId="5DB44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F725471">
            <w:pPr>
              <w:pStyle w:val="31"/>
              <w:bidi w:val="0"/>
              <w:rPr>
                <w:rFonts w:hint="default"/>
              </w:rPr>
            </w:pPr>
          </w:p>
        </w:tc>
        <w:tc>
          <w:tcPr>
            <w:tcW w:w="868" w:type="pct"/>
            <w:vMerge w:val="continue"/>
            <w:tcBorders>
              <w:tl2br w:val="nil"/>
              <w:tr2bl w:val="nil"/>
            </w:tcBorders>
            <w:noWrap w:val="0"/>
            <w:vAlign w:val="center"/>
          </w:tcPr>
          <w:p w14:paraId="1DD60DEE">
            <w:pPr>
              <w:pStyle w:val="31"/>
              <w:bidi w:val="0"/>
              <w:rPr>
                <w:rFonts w:hint="default"/>
              </w:rPr>
            </w:pPr>
          </w:p>
        </w:tc>
        <w:tc>
          <w:tcPr>
            <w:tcW w:w="826" w:type="pct"/>
            <w:vMerge w:val="restart"/>
            <w:tcBorders>
              <w:tl2br w:val="nil"/>
              <w:tr2bl w:val="nil"/>
            </w:tcBorders>
            <w:noWrap w:val="0"/>
            <w:vAlign w:val="center"/>
          </w:tcPr>
          <w:p w14:paraId="4F2770C4">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117282CA">
            <w:pPr>
              <w:pStyle w:val="31"/>
              <w:bidi w:val="0"/>
              <w:rPr>
                <w:rFonts w:hint="default"/>
              </w:rPr>
            </w:pPr>
            <w:r>
              <w:rPr>
                <w:rFonts w:hint="default"/>
              </w:rPr>
              <w:t>第一时段</w:t>
            </w:r>
          </w:p>
        </w:tc>
        <w:tc>
          <w:tcPr>
            <w:tcW w:w="828" w:type="pct"/>
            <w:tcBorders>
              <w:tl2br w:val="nil"/>
              <w:tr2bl w:val="nil"/>
            </w:tcBorders>
            <w:noWrap w:val="0"/>
            <w:vAlign w:val="center"/>
          </w:tcPr>
          <w:p w14:paraId="6DB203C5">
            <w:pPr>
              <w:pStyle w:val="31"/>
              <w:bidi w:val="0"/>
              <w:rPr>
                <w:rFonts w:hint="default"/>
                <w:lang w:val="en-US" w:eastAsia="zh-CN"/>
              </w:rPr>
            </w:pPr>
            <w:r>
              <w:rPr>
                <w:rFonts w:hint="default"/>
                <w:lang w:val="en-US" w:eastAsia="zh-CN"/>
              </w:rPr>
              <w:t>0.47</w:t>
            </w:r>
          </w:p>
        </w:tc>
        <w:tc>
          <w:tcPr>
            <w:tcW w:w="821" w:type="pct"/>
            <w:vMerge w:val="restart"/>
            <w:tcBorders>
              <w:tl2br w:val="nil"/>
              <w:tr2bl w:val="nil"/>
            </w:tcBorders>
            <w:noWrap w:val="0"/>
            <w:vAlign w:val="center"/>
          </w:tcPr>
          <w:p w14:paraId="58BFCAE1">
            <w:pPr>
              <w:pStyle w:val="31"/>
              <w:bidi w:val="0"/>
              <w:rPr>
                <w:rFonts w:hint="default"/>
                <w:lang w:val="en-US" w:eastAsia="zh-CN"/>
              </w:rPr>
            </w:pPr>
            <w:r>
              <w:rPr>
                <w:rFonts w:hint="default"/>
                <w:lang w:val="en-US" w:eastAsia="zh-CN"/>
              </w:rPr>
              <w:t>2.0</w:t>
            </w:r>
          </w:p>
        </w:tc>
      </w:tr>
      <w:tr w14:paraId="08228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6039D81">
            <w:pPr>
              <w:pStyle w:val="31"/>
              <w:bidi w:val="0"/>
              <w:rPr>
                <w:rFonts w:hint="default"/>
              </w:rPr>
            </w:pPr>
          </w:p>
        </w:tc>
        <w:tc>
          <w:tcPr>
            <w:tcW w:w="868" w:type="pct"/>
            <w:vMerge w:val="continue"/>
            <w:tcBorders>
              <w:tl2br w:val="nil"/>
              <w:tr2bl w:val="nil"/>
            </w:tcBorders>
            <w:noWrap w:val="0"/>
            <w:vAlign w:val="center"/>
          </w:tcPr>
          <w:p w14:paraId="3BE0151D">
            <w:pPr>
              <w:pStyle w:val="31"/>
              <w:bidi w:val="0"/>
              <w:rPr>
                <w:rFonts w:hint="default"/>
              </w:rPr>
            </w:pPr>
          </w:p>
        </w:tc>
        <w:tc>
          <w:tcPr>
            <w:tcW w:w="826" w:type="pct"/>
            <w:vMerge w:val="continue"/>
            <w:tcBorders>
              <w:tl2br w:val="nil"/>
              <w:tr2bl w:val="nil"/>
            </w:tcBorders>
            <w:noWrap w:val="0"/>
            <w:vAlign w:val="center"/>
          </w:tcPr>
          <w:p w14:paraId="0AB74D42">
            <w:pPr>
              <w:pStyle w:val="31"/>
              <w:bidi w:val="0"/>
              <w:rPr>
                <w:rFonts w:hint="default"/>
              </w:rPr>
            </w:pPr>
          </w:p>
        </w:tc>
        <w:tc>
          <w:tcPr>
            <w:tcW w:w="913" w:type="pct"/>
            <w:tcBorders>
              <w:tl2br w:val="nil"/>
              <w:tr2bl w:val="nil"/>
            </w:tcBorders>
            <w:noWrap w:val="0"/>
            <w:vAlign w:val="center"/>
          </w:tcPr>
          <w:p w14:paraId="358D975F">
            <w:pPr>
              <w:pStyle w:val="31"/>
              <w:bidi w:val="0"/>
              <w:rPr>
                <w:rFonts w:hint="default"/>
              </w:rPr>
            </w:pPr>
            <w:r>
              <w:rPr>
                <w:rFonts w:hint="default"/>
              </w:rPr>
              <w:t>第二时段</w:t>
            </w:r>
          </w:p>
        </w:tc>
        <w:tc>
          <w:tcPr>
            <w:tcW w:w="828" w:type="pct"/>
            <w:tcBorders>
              <w:tl2br w:val="nil"/>
              <w:tr2bl w:val="nil"/>
            </w:tcBorders>
            <w:noWrap w:val="0"/>
            <w:vAlign w:val="center"/>
          </w:tcPr>
          <w:p w14:paraId="6886441A">
            <w:pPr>
              <w:pStyle w:val="31"/>
              <w:bidi w:val="0"/>
              <w:rPr>
                <w:rFonts w:hint="default"/>
                <w:lang w:val="en-US" w:eastAsia="zh-CN"/>
              </w:rPr>
            </w:pPr>
            <w:r>
              <w:rPr>
                <w:rFonts w:hint="default"/>
                <w:lang w:val="en-US" w:eastAsia="zh-CN"/>
              </w:rPr>
              <w:t>0.48</w:t>
            </w:r>
          </w:p>
        </w:tc>
        <w:tc>
          <w:tcPr>
            <w:tcW w:w="821" w:type="pct"/>
            <w:vMerge w:val="continue"/>
            <w:tcBorders>
              <w:tl2br w:val="nil"/>
              <w:tr2bl w:val="nil"/>
            </w:tcBorders>
            <w:noWrap w:val="0"/>
            <w:vAlign w:val="center"/>
          </w:tcPr>
          <w:p w14:paraId="4E5CF93A">
            <w:pPr>
              <w:pStyle w:val="31"/>
              <w:bidi w:val="0"/>
              <w:rPr>
                <w:rFonts w:hint="default"/>
                <w:lang w:val="en-US" w:eastAsia="zh-CN"/>
              </w:rPr>
            </w:pPr>
          </w:p>
        </w:tc>
      </w:tr>
      <w:tr w14:paraId="7F15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AE9D0ED">
            <w:pPr>
              <w:pStyle w:val="31"/>
              <w:bidi w:val="0"/>
              <w:rPr>
                <w:rFonts w:hint="default"/>
              </w:rPr>
            </w:pPr>
          </w:p>
        </w:tc>
        <w:tc>
          <w:tcPr>
            <w:tcW w:w="868" w:type="pct"/>
            <w:vMerge w:val="continue"/>
            <w:tcBorders>
              <w:tl2br w:val="nil"/>
              <w:tr2bl w:val="nil"/>
            </w:tcBorders>
            <w:noWrap w:val="0"/>
            <w:vAlign w:val="center"/>
          </w:tcPr>
          <w:p w14:paraId="7EFD6F77">
            <w:pPr>
              <w:pStyle w:val="31"/>
              <w:bidi w:val="0"/>
              <w:rPr>
                <w:rFonts w:hint="default"/>
              </w:rPr>
            </w:pPr>
          </w:p>
        </w:tc>
        <w:tc>
          <w:tcPr>
            <w:tcW w:w="826" w:type="pct"/>
            <w:vMerge w:val="continue"/>
            <w:tcBorders>
              <w:tl2br w:val="nil"/>
              <w:tr2bl w:val="nil"/>
            </w:tcBorders>
            <w:noWrap w:val="0"/>
            <w:vAlign w:val="center"/>
          </w:tcPr>
          <w:p w14:paraId="4019BB2E">
            <w:pPr>
              <w:pStyle w:val="31"/>
              <w:bidi w:val="0"/>
              <w:rPr>
                <w:rFonts w:hint="default"/>
              </w:rPr>
            </w:pPr>
          </w:p>
        </w:tc>
        <w:tc>
          <w:tcPr>
            <w:tcW w:w="913" w:type="pct"/>
            <w:tcBorders>
              <w:tl2br w:val="nil"/>
              <w:tr2bl w:val="nil"/>
            </w:tcBorders>
            <w:noWrap w:val="0"/>
            <w:vAlign w:val="center"/>
          </w:tcPr>
          <w:p w14:paraId="0B2165AC">
            <w:pPr>
              <w:pStyle w:val="31"/>
              <w:bidi w:val="0"/>
              <w:rPr>
                <w:rFonts w:hint="default"/>
              </w:rPr>
            </w:pPr>
            <w:r>
              <w:rPr>
                <w:rFonts w:hint="default"/>
              </w:rPr>
              <w:t>第三时段</w:t>
            </w:r>
          </w:p>
        </w:tc>
        <w:tc>
          <w:tcPr>
            <w:tcW w:w="828" w:type="pct"/>
            <w:tcBorders>
              <w:tl2br w:val="nil"/>
              <w:tr2bl w:val="nil"/>
            </w:tcBorders>
            <w:noWrap w:val="0"/>
            <w:vAlign w:val="center"/>
          </w:tcPr>
          <w:p w14:paraId="480812E6">
            <w:pPr>
              <w:pStyle w:val="31"/>
              <w:bidi w:val="0"/>
              <w:rPr>
                <w:rFonts w:hint="default"/>
                <w:lang w:val="en-US" w:eastAsia="zh-CN"/>
              </w:rPr>
            </w:pPr>
            <w:r>
              <w:rPr>
                <w:rFonts w:hint="default"/>
                <w:lang w:val="en-US" w:eastAsia="zh-CN"/>
              </w:rPr>
              <w:t>0.48</w:t>
            </w:r>
          </w:p>
        </w:tc>
        <w:tc>
          <w:tcPr>
            <w:tcW w:w="821" w:type="pct"/>
            <w:vMerge w:val="continue"/>
            <w:tcBorders>
              <w:tl2br w:val="nil"/>
              <w:tr2bl w:val="nil"/>
            </w:tcBorders>
            <w:noWrap w:val="0"/>
            <w:vAlign w:val="center"/>
          </w:tcPr>
          <w:p w14:paraId="5F85E15B">
            <w:pPr>
              <w:pStyle w:val="31"/>
              <w:bidi w:val="0"/>
              <w:rPr>
                <w:rFonts w:hint="default"/>
                <w:lang w:val="en-US" w:eastAsia="zh-CN"/>
              </w:rPr>
            </w:pPr>
          </w:p>
        </w:tc>
      </w:tr>
      <w:tr w14:paraId="6309B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restart"/>
            <w:tcBorders>
              <w:tl2br w:val="nil"/>
              <w:tr2bl w:val="nil"/>
            </w:tcBorders>
            <w:noWrap w:val="0"/>
            <w:vAlign w:val="center"/>
          </w:tcPr>
          <w:p w14:paraId="2411E626">
            <w:pPr>
              <w:pStyle w:val="31"/>
              <w:bidi w:val="0"/>
              <w:rPr>
                <w:rFonts w:hint="default"/>
                <w:lang w:val="en-US" w:eastAsia="zh-CN"/>
              </w:rPr>
            </w:pPr>
            <w:r>
              <w:rPr>
                <w:rFonts w:hint="default"/>
                <w:lang w:val="en-US" w:eastAsia="zh-CN"/>
              </w:rPr>
              <w:t>2020.11.24</w:t>
            </w:r>
          </w:p>
        </w:tc>
        <w:tc>
          <w:tcPr>
            <w:tcW w:w="868" w:type="pct"/>
            <w:vMerge w:val="restart"/>
            <w:tcBorders>
              <w:tl2br w:val="nil"/>
              <w:tr2bl w:val="nil"/>
            </w:tcBorders>
            <w:noWrap w:val="0"/>
            <w:vAlign w:val="center"/>
          </w:tcPr>
          <w:p w14:paraId="0230AA20">
            <w:pPr>
              <w:pStyle w:val="31"/>
              <w:bidi w:val="0"/>
              <w:rPr>
                <w:rFonts w:hint="default"/>
                <w:lang w:val="en-US" w:eastAsia="zh-CN"/>
              </w:rPr>
            </w:pPr>
            <w:r>
              <w:rPr>
                <w:rFonts w:hint="default"/>
                <w:lang w:val="en-US" w:eastAsia="zh-CN"/>
              </w:rPr>
              <w:t>厂界南侧10m处○2#</w:t>
            </w:r>
          </w:p>
        </w:tc>
        <w:tc>
          <w:tcPr>
            <w:tcW w:w="826" w:type="pct"/>
            <w:vMerge w:val="restart"/>
            <w:tcBorders>
              <w:tl2br w:val="nil"/>
              <w:tr2bl w:val="nil"/>
            </w:tcBorders>
            <w:noWrap w:val="0"/>
            <w:vAlign w:val="center"/>
          </w:tcPr>
          <w:p w14:paraId="18765AF9">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53A29887">
            <w:pPr>
              <w:pStyle w:val="31"/>
              <w:bidi w:val="0"/>
              <w:rPr>
                <w:rFonts w:hint="default"/>
              </w:rPr>
            </w:pPr>
            <w:r>
              <w:rPr>
                <w:rFonts w:hint="default"/>
              </w:rPr>
              <w:t>第一时段</w:t>
            </w:r>
          </w:p>
        </w:tc>
        <w:tc>
          <w:tcPr>
            <w:tcW w:w="828" w:type="pct"/>
            <w:tcBorders>
              <w:tl2br w:val="nil"/>
              <w:tr2bl w:val="nil"/>
            </w:tcBorders>
            <w:noWrap w:val="0"/>
            <w:vAlign w:val="center"/>
          </w:tcPr>
          <w:p w14:paraId="15C6EC00">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5120F943">
            <w:pPr>
              <w:pStyle w:val="31"/>
              <w:bidi w:val="0"/>
              <w:rPr>
                <w:rFonts w:hint="default"/>
                <w:lang w:val="en-US" w:eastAsia="zh-CN"/>
              </w:rPr>
            </w:pPr>
            <w:r>
              <w:rPr>
                <w:rFonts w:hint="default"/>
                <w:lang w:val="en-US" w:eastAsia="zh-CN"/>
              </w:rPr>
              <w:t>2.4</w:t>
            </w:r>
          </w:p>
        </w:tc>
      </w:tr>
      <w:tr w14:paraId="25064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E052862">
            <w:pPr>
              <w:pStyle w:val="31"/>
              <w:bidi w:val="0"/>
              <w:rPr>
                <w:rFonts w:hint="default"/>
              </w:rPr>
            </w:pPr>
          </w:p>
        </w:tc>
        <w:tc>
          <w:tcPr>
            <w:tcW w:w="868" w:type="pct"/>
            <w:vMerge w:val="continue"/>
            <w:tcBorders>
              <w:tl2br w:val="nil"/>
              <w:tr2bl w:val="nil"/>
            </w:tcBorders>
            <w:noWrap w:val="0"/>
            <w:vAlign w:val="center"/>
          </w:tcPr>
          <w:p w14:paraId="63AEAC38">
            <w:pPr>
              <w:pStyle w:val="31"/>
              <w:bidi w:val="0"/>
              <w:rPr>
                <w:rFonts w:hint="default"/>
              </w:rPr>
            </w:pPr>
          </w:p>
        </w:tc>
        <w:tc>
          <w:tcPr>
            <w:tcW w:w="826" w:type="pct"/>
            <w:vMerge w:val="continue"/>
            <w:tcBorders>
              <w:tl2br w:val="nil"/>
              <w:tr2bl w:val="nil"/>
            </w:tcBorders>
            <w:noWrap w:val="0"/>
            <w:vAlign w:val="center"/>
          </w:tcPr>
          <w:p w14:paraId="5B0484AE">
            <w:pPr>
              <w:pStyle w:val="31"/>
              <w:bidi w:val="0"/>
              <w:rPr>
                <w:rFonts w:hint="default"/>
              </w:rPr>
            </w:pPr>
          </w:p>
        </w:tc>
        <w:tc>
          <w:tcPr>
            <w:tcW w:w="913" w:type="pct"/>
            <w:tcBorders>
              <w:tl2br w:val="nil"/>
              <w:tr2bl w:val="nil"/>
            </w:tcBorders>
            <w:noWrap w:val="0"/>
            <w:vAlign w:val="center"/>
          </w:tcPr>
          <w:p w14:paraId="08F63CFA">
            <w:pPr>
              <w:pStyle w:val="31"/>
              <w:bidi w:val="0"/>
              <w:rPr>
                <w:rFonts w:hint="default"/>
              </w:rPr>
            </w:pPr>
            <w:r>
              <w:rPr>
                <w:rFonts w:hint="default"/>
              </w:rPr>
              <w:t>第二时段</w:t>
            </w:r>
          </w:p>
        </w:tc>
        <w:tc>
          <w:tcPr>
            <w:tcW w:w="828" w:type="pct"/>
            <w:tcBorders>
              <w:tl2br w:val="nil"/>
              <w:tr2bl w:val="nil"/>
            </w:tcBorders>
            <w:noWrap w:val="0"/>
            <w:vAlign w:val="center"/>
          </w:tcPr>
          <w:p w14:paraId="20644096">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52E424F5">
            <w:pPr>
              <w:pStyle w:val="31"/>
              <w:bidi w:val="0"/>
              <w:rPr>
                <w:rFonts w:hint="default"/>
              </w:rPr>
            </w:pPr>
          </w:p>
        </w:tc>
      </w:tr>
      <w:tr w14:paraId="0946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421BDA3">
            <w:pPr>
              <w:pStyle w:val="31"/>
              <w:bidi w:val="0"/>
              <w:rPr>
                <w:rFonts w:hint="default"/>
              </w:rPr>
            </w:pPr>
          </w:p>
        </w:tc>
        <w:tc>
          <w:tcPr>
            <w:tcW w:w="868" w:type="pct"/>
            <w:vMerge w:val="continue"/>
            <w:tcBorders>
              <w:tl2br w:val="nil"/>
              <w:tr2bl w:val="nil"/>
            </w:tcBorders>
            <w:noWrap w:val="0"/>
            <w:vAlign w:val="center"/>
          </w:tcPr>
          <w:p w14:paraId="52807C44">
            <w:pPr>
              <w:pStyle w:val="31"/>
              <w:bidi w:val="0"/>
              <w:rPr>
                <w:rFonts w:hint="default"/>
              </w:rPr>
            </w:pPr>
          </w:p>
        </w:tc>
        <w:tc>
          <w:tcPr>
            <w:tcW w:w="826" w:type="pct"/>
            <w:vMerge w:val="continue"/>
            <w:tcBorders>
              <w:tl2br w:val="nil"/>
              <w:tr2bl w:val="nil"/>
            </w:tcBorders>
            <w:noWrap w:val="0"/>
            <w:vAlign w:val="center"/>
          </w:tcPr>
          <w:p w14:paraId="3F9EB7C9">
            <w:pPr>
              <w:pStyle w:val="31"/>
              <w:bidi w:val="0"/>
              <w:rPr>
                <w:rFonts w:hint="default"/>
              </w:rPr>
            </w:pPr>
          </w:p>
        </w:tc>
        <w:tc>
          <w:tcPr>
            <w:tcW w:w="913" w:type="pct"/>
            <w:tcBorders>
              <w:tl2br w:val="nil"/>
              <w:tr2bl w:val="nil"/>
            </w:tcBorders>
            <w:noWrap w:val="0"/>
            <w:vAlign w:val="center"/>
          </w:tcPr>
          <w:p w14:paraId="1FCA54D6">
            <w:pPr>
              <w:pStyle w:val="31"/>
              <w:bidi w:val="0"/>
              <w:rPr>
                <w:rFonts w:hint="default"/>
              </w:rPr>
            </w:pPr>
            <w:r>
              <w:rPr>
                <w:rFonts w:hint="default"/>
              </w:rPr>
              <w:t>第三时段</w:t>
            </w:r>
          </w:p>
        </w:tc>
        <w:tc>
          <w:tcPr>
            <w:tcW w:w="828" w:type="pct"/>
            <w:tcBorders>
              <w:tl2br w:val="nil"/>
              <w:tr2bl w:val="nil"/>
            </w:tcBorders>
            <w:noWrap w:val="0"/>
            <w:vAlign w:val="center"/>
          </w:tcPr>
          <w:p w14:paraId="02A35EF4">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20919079">
            <w:pPr>
              <w:pStyle w:val="31"/>
              <w:bidi w:val="0"/>
              <w:rPr>
                <w:rFonts w:hint="default"/>
              </w:rPr>
            </w:pPr>
          </w:p>
        </w:tc>
      </w:tr>
      <w:tr w14:paraId="49805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495D10F">
            <w:pPr>
              <w:pStyle w:val="31"/>
              <w:bidi w:val="0"/>
              <w:rPr>
                <w:rFonts w:hint="default"/>
              </w:rPr>
            </w:pPr>
          </w:p>
        </w:tc>
        <w:tc>
          <w:tcPr>
            <w:tcW w:w="868" w:type="pct"/>
            <w:vMerge w:val="continue"/>
            <w:tcBorders>
              <w:tl2br w:val="nil"/>
              <w:tr2bl w:val="nil"/>
            </w:tcBorders>
            <w:noWrap w:val="0"/>
            <w:vAlign w:val="center"/>
          </w:tcPr>
          <w:p w14:paraId="3D2BD405">
            <w:pPr>
              <w:pStyle w:val="31"/>
              <w:bidi w:val="0"/>
              <w:rPr>
                <w:rFonts w:hint="default"/>
              </w:rPr>
            </w:pPr>
          </w:p>
        </w:tc>
        <w:tc>
          <w:tcPr>
            <w:tcW w:w="826" w:type="pct"/>
            <w:vMerge w:val="restart"/>
            <w:tcBorders>
              <w:tl2br w:val="nil"/>
              <w:tr2bl w:val="nil"/>
            </w:tcBorders>
            <w:noWrap w:val="0"/>
            <w:vAlign w:val="center"/>
          </w:tcPr>
          <w:p w14:paraId="608B82E9">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10151303">
            <w:pPr>
              <w:pStyle w:val="31"/>
              <w:bidi w:val="0"/>
              <w:rPr>
                <w:rFonts w:hint="default"/>
              </w:rPr>
            </w:pPr>
            <w:r>
              <w:rPr>
                <w:rFonts w:hint="default"/>
              </w:rPr>
              <w:t>第一时段</w:t>
            </w:r>
          </w:p>
        </w:tc>
        <w:tc>
          <w:tcPr>
            <w:tcW w:w="828" w:type="pct"/>
            <w:tcBorders>
              <w:tl2br w:val="nil"/>
              <w:tr2bl w:val="nil"/>
            </w:tcBorders>
            <w:noWrap w:val="0"/>
            <w:vAlign w:val="center"/>
          </w:tcPr>
          <w:p w14:paraId="0ED112CB">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60D0818F">
            <w:pPr>
              <w:pStyle w:val="31"/>
              <w:bidi w:val="0"/>
              <w:rPr>
                <w:rFonts w:hint="default"/>
                <w:lang w:val="en-US" w:eastAsia="zh-CN"/>
              </w:rPr>
            </w:pPr>
            <w:r>
              <w:rPr>
                <w:rFonts w:hint="default"/>
                <w:lang w:val="en-US" w:eastAsia="zh-CN"/>
              </w:rPr>
              <w:t>1.2</w:t>
            </w:r>
          </w:p>
        </w:tc>
      </w:tr>
      <w:tr w14:paraId="3771E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F6B1DA6">
            <w:pPr>
              <w:pStyle w:val="31"/>
              <w:bidi w:val="0"/>
              <w:rPr>
                <w:rFonts w:hint="default"/>
              </w:rPr>
            </w:pPr>
          </w:p>
        </w:tc>
        <w:tc>
          <w:tcPr>
            <w:tcW w:w="868" w:type="pct"/>
            <w:vMerge w:val="continue"/>
            <w:tcBorders>
              <w:tl2br w:val="nil"/>
              <w:tr2bl w:val="nil"/>
            </w:tcBorders>
            <w:noWrap w:val="0"/>
            <w:vAlign w:val="center"/>
          </w:tcPr>
          <w:p w14:paraId="79629C4C">
            <w:pPr>
              <w:pStyle w:val="31"/>
              <w:bidi w:val="0"/>
              <w:rPr>
                <w:rFonts w:hint="default"/>
              </w:rPr>
            </w:pPr>
          </w:p>
        </w:tc>
        <w:tc>
          <w:tcPr>
            <w:tcW w:w="826" w:type="pct"/>
            <w:vMerge w:val="continue"/>
            <w:tcBorders>
              <w:tl2br w:val="nil"/>
              <w:tr2bl w:val="nil"/>
            </w:tcBorders>
            <w:noWrap w:val="0"/>
            <w:vAlign w:val="center"/>
          </w:tcPr>
          <w:p w14:paraId="5BFF91D8">
            <w:pPr>
              <w:pStyle w:val="31"/>
              <w:bidi w:val="0"/>
              <w:rPr>
                <w:rFonts w:hint="default"/>
              </w:rPr>
            </w:pPr>
          </w:p>
        </w:tc>
        <w:tc>
          <w:tcPr>
            <w:tcW w:w="913" w:type="pct"/>
            <w:tcBorders>
              <w:tl2br w:val="nil"/>
              <w:tr2bl w:val="nil"/>
            </w:tcBorders>
            <w:noWrap w:val="0"/>
            <w:vAlign w:val="center"/>
          </w:tcPr>
          <w:p w14:paraId="76E0BF8A">
            <w:pPr>
              <w:pStyle w:val="31"/>
              <w:bidi w:val="0"/>
              <w:rPr>
                <w:rFonts w:hint="default"/>
              </w:rPr>
            </w:pPr>
            <w:r>
              <w:rPr>
                <w:rFonts w:hint="default"/>
              </w:rPr>
              <w:t>第二时段</w:t>
            </w:r>
          </w:p>
        </w:tc>
        <w:tc>
          <w:tcPr>
            <w:tcW w:w="828" w:type="pct"/>
            <w:tcBorders>
              <w:tl2br w:val="nil"/>
              <w:tr2bl w:val="nil"/>
            </w:tcBorders>
            <w:noWrap w:val="0"/>
            <w:vAlign w:val="center"/>
          </w:tcPr>
          <w:p w14:paraId="4AD02140">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33154C6A">
            <w:pPr>
              <w:pStyle w:val="31"/>
              <w:bidi w:val="0"/>
              <w:rPr>
                <w:rFonts w:hint="default"/>
              </w:rPr>
            </w:pPr>
          </w:p>
        </w:tc>
      </w:tr>
      <w:tr w14:paraId="6A364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BD28476">
            <w:pPr>
              <w:pStyle w:val="31"/>
              <w:bidi w:val="0"/>
              <w:rPr>
                <w:rFonts w:hint="default"/>
              </w:rPr>
            </w:pPr>
          </w:p>
        </w:tc>
        <w:tc>
          <w:tcPr>
            <w:tcW w:w="868" w:type="pct"/>
            <w:vMerge w:val="continue"/>
            <w:tcBorders>
              <w:tl2br w:val="nil"/>
              <w:tr2bl w:val="nil"/>
            </w:tcBorders>
            <w:noWrap w:val="0"/>
            <w:vAlign w:val="center"/>
          </w:tcPr>
          <w:p w14:paraId="3D5E6295">
            <w:pPr>
              <w:pStyle w:val="31"/>
              <w:bidi w:val="0"/>
              <w:rPr>
                <w:rFonts w:hint="default"/>
              </w:rPr>
            </w:pPr>
          </w:p>
        </w:tc>
        <w:tc>
          <w:tcPr>
            <w:tcW w:w="826" w:type="pct"/>
            <w:vMerge w:val="continue"/>
            <w:tcBorders>
              <w:tl2br w:val="nil"/>
              <w:tr2bl w:val="nil"/>
            </w:tcBorders>
            <w:noWrap w:val="0"/>
            <w:vAlign w:val="center"/>
          </w:tcPr>
          <w:p w14:paraId="770B1B38">
            <w:pPr>
              <w:pStyle w:val="31"/>
              <w:bidi w:val="0"/>
              <w:rPr>
                <w:rFonts w:hint="default"/>
              </w:rPr>
            </w:pPr>
          </w:p>
        </w:tc>
        <w:tc>
          <w:tcPr>
            <w:tcW w:w="913" w:type="pct"/>
            <w:tcBorders>
              <w:tl2br w:val="nil"/>
              <w:tr2bl w:val="nil"/>
            </w:tcBorders>
            <w:noWrap w:val="0"/>
            <w:vAlign w:val="center"/>
          </w:tcPr>
          <w:p w14:paraId="4BF13003">
            <w:pPr>
              <w:pStyle w:val="31"/>
              <w:bidi w:val="0"/>
              <w:rPr>
                <w:rFonts w:hint="default"/>
              </w:rPr>
            </w:pPr>
            <w:r>
              <w:rPr>
                <w:rFonts w:hint="default"/>
              </w:rPr>
              <w:t>第三时段</w:t>
            </w:r>
          </w:p>
        </w:tc>
        <w:tc>
          <w:tcPr>
            <w:tcW w:w="828" w:type="pct"/>
            <w:tcBorders>
              <w:tl2br w:val="nil"/>
              <w:tr2bl w:val="nil"/>
            </w:tcBorders>
            <w:noWrap w:val="0"/>
            <w:vAlign w:val="center"/>
          </w:tcPr>
          <w:p w14:paraId="5244BE38">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00EA1E16">
            <w:pPr>
              <w:pStyle w:val="31"/>
              <w:bidi w:val="0"/>
              <w:rPr>
                <w:rFonts w:hint="default"/>
              </w:rPr>
            </w:pPr>
          </w:p>
        </w:tc>
      </w:tr>
      <w:tr w14:paraId="4BAD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DCEB027">
            <w:pPr>
              <w:pStyle w:val="31"/>
              <w:bidi w:val="0"/>
              <w:rPr>
                <w:rFonts w:hint="default"/>
              </w:rPr>
            </w:pPr>
          </w:p>
        </w:tc>
        <w:tc>
          <w:tcPr>
            <w:tcW w:w="868" w:type="pct"/>
            <w:vMerge w:val="continue"/>
            <w:tcBorders>
              <w:tl2br w:val="nil"/>
              <w:tr2bl w:val="nil"/>
            </w:tcBorders>
            <w:noWrap w:val="0"/>
            <w:vAlign w:val="center"/>
          </w:tcPr>
          <w:p w14:paraId="4D489DEC">
            <w:pPr>
              <w:pStyle w:val="31"/>
              <w:bidi w:val="0"/>
              <w:rPr>
                <w:rFonts w:hint="default"/>
              </w:rPr>
            </w:pPr>
          </w:p>
        </w:tc>
        <w:tc>
          <w:tcPr>
            <w:tcW w:w="826" w:type="pct"/>
            <w:vMerge w:val="restart"/>
            <w:tcBorders>
              <w:tl2br w:val="nil"/>
              <w:tr2bl w:val="nil"/>
            </w:tcBorders>
            <w:noWrap w:val="0"/>
            <w:vAlign w:val="center"/>
          </w:tcPr>
          <w:p w14:paraId="4F50F0AD">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78E026D5">
            <w:pPr>
              <w:pStyle w:val="31"/>
              <w:bidi w:val="0"/>
              <w:rPr>
                <w:rFonts w:hint="default"/>
              </w:rPr>
            </w:pPr>
            <w:r>
              <w:rPr>
                <w:rFonts w:hint="default"/>
              </w:rPr>
              <w:t>第一时段</w:t>
            </w:r>
          </w:p>
        </w:tc>
        <w:tc>
          <w:tcPr>
            <w:tcW w:w="828" w:type="pct"/>
            <w:tcBorders>
              <w:tl2br w:val="nil"/>
              <w:tr2bl w:val="nil"/>
            </w:tcBorders>
            <w:noWrap w:val="0"/>
            <w:vAlign w:val="center"/>
          </w:tcPr>
          <w:p w14:paraId="7922E73C">
            <w:pPr>
              <w:pStyle w:val="31"/>
              <w:bidi w:val="0"/>
              <w:rPr>
                <w:rFonts w:hint="default"/>
                <w:lang w:val="en-US" w:eastAsia="zh-CN"/>
              </w:rPr>
            </w:pPr>
            <w:r>
              <w:rPr>
                <w:rFonts w:hint="default"/>
                <w:lang w:val="en-US" w:eastAsia="zh-CN"/>
              </w:rPr>
              <w:t>0.411</w:t>
            </w:r>
          </w:p>
        </w:tc>
        <w:tc>
          <w:tcPr>
            <w:tcW w:w="821" w:type="pct"/>
            <w:vMerge w:val="restart"/>
            <w:tcBorders>
              <w:tl2br w:val="nil"/>
              <w:tr2bl w:val="nil"/>
            </w:tcBorders>
            <w:noWrap w:val="0"/>
            <w:vAlign w:val="center"/>
          </w:tcPr>
          <w:p w14:paraId="54244530">
            <w:pPr>
              <w:pStyle w:val="31"/>
              <w:bidi w:val="0"/>
              <w:rPr>
                <w:rFonts w:hint="default"/>
                <w:lang w:val="en-US" w:eastAsia="zh-CN"/>
              </w:rPr>
            </w:pPr>
            <w:r>
              <w:rPr>
                <w:rFonts w:hint="default"/>
                <w:lang w:val="en-US" w:eastAsia="zh-CN"/>
              </w:rPr>
              <w:t>1.0</w:t>
            </w:r>
          </w:p>
        </w:tc>
      </w:tr>
      <w:tr w14:paraId="5B412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813648F">
            <w:pPr>
              <w:pStyle w:val="31"/>
              <w:bidi w:val="0"/>
              <w:rPr>
                <w:rFonts w:hint="default"/>
              </w:rPr>
            </w:pPr>
          </w:p>
        </w:tc>
        <w:tc>
          <w:tcPr>
            <w:tcW w:w="868" w:type="pct"/>
            <w:vMerge w:val="continue"/>
            <w:tcBorders>
              <w:tl2br w:val="nil"/>
              <w:tr2bl w:val="nil"/>
            </w:tcBorders>
            <w:noWrap w:val="0"/>
            <w:vAlign w:val="center"/>
          </w:tcPr>
          <w:p w14:paraId="2168EF5B">
            <w:pPr>
              <w:pStyle w:val="31"/>
              <w:bidi w:val="0"/>
              <w:rPr>
                <w:rFonts w:hint="default"/>
              </w:rPr>
            </w:pPr>
          </w:p>
        </w:tc>
        <w:tc>
          <w:tcPr>
            <w:tcW w:w="826" w:type="pct"/>
            <w:vMerge w:val="continue"/>
            <w:tcBorders>
              <w:tl2br w:val="nil"/>
              <w:tr2bl w:val="nil"/>
            </w:tcBorders>
            <w:noWrap w:val="0"/>
            <w:vAlign w:val="center"/>
          </w:tcPr>
          <w:p w14:paraId="0617FACD">
            <w:pPr>
              <w:pStyle w:val="31"/>
              <w:bidi w:val="0"/>
              <w:rPr>
                <w:rFonts w:hint="default"/>
              </w:rPr>
            </w:pPr>
          </w:p>
        </w:tc>
        <w:tc>
          <w:tcPr>
            <w:tcW w:w="913" w:type="pct"/>
            <w:tcBorders>
              <w:tl2br w:val="nil"/>
              <w:tr2bl w:val="nil"/>
            </w:tcBorders>
            <w:noWrap w:val="0"/>
            <w:vAlign w:val="center"/>
          </w:tcPr>
          <w:p w14:paraId="6954A6EF">
            <w:pPr>
              <w:pStyle w:val="31"/>
              <w:bidi w:val="0"/>
              <w:rPr>
                <w:rFonts w:hint="default"/>
              </w:rPr>
            </w:pPr>
            <w:r>
              <w:rPr>
                <w:rFonts w:hint="default"/>
              </w:rPr>
              <w:t>第二时段</w:t>
            </w:r>
          </w:p>
        </w:tc>
        <w:tc>
          <w:tcPr>
            <w:tcW w:w="828" w:type="pct"/>
            <w:tcBorders>
              <w:tl2br w:val="nil"/>
              <w:tr2bl w:val="nil"/>
            </w:tcBorders>
            <w:noWrap w:val="0"/>
            <w:vAlign w:val="center"/>
          </w:tcPr>
          <w:p w14:paraId="6DE684FE">
            <w:pPr>
              <w:pStyle w:val="31"/>
              <w:bidi w:val="0"/>
              <w:rPr>
                <w:rFonts w:hint="default"/>
                <w:lang w:val="en-US" w:eastAsia="zh-CN"/>
              </w:rPr>
            </w:pPr>
            <w:r>
              <w:rPr>
                <w:rFonts w:hint="default"/>
                <w:lang w:val="en-US" w:eastAsia="zh-CN"/>
              </w:rPr>
              <w:t>0.430</w:t>
            </w:r>
          </w:p>
        </w:tc>
        <w:tc>
          <w:tcPr>
            <w:tcW w:w="821" w:type="pct"/>
            <w:vMerge w:val="continue"/>
            <w:tcBorders>
              <w:tl2br w:val="nil"/>
              <w:tr2bl w:val="nil"/>
            </w:tcBorders>
            <w:noWrap w:val="0"/>
            <w:vAlign w:val="center"/>
          </w:tcPr>
          <w:p w14:paraId="33A6DFA7">
            <w:pPr>
              <w:pStyle w:val="31"/>
              <w:bidi w:val="0"/>
              <w:rPr>
                <w:rFonts w:hint="default"/>
                <w:lang w:val="en-US" w:eastAsia="zh-CN"/>
              </w:rPr>
            </w:pPr>
          </w:p>
        </w:tc>
      </w:tr>
      <w:tr w14:paraId="07CF7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8250A71">
            <w:pPr>
              <w:pStyle w:val="31"/>
              <w:bidi w:val="0"/>
              <w:rPr>
                <w:rFonts w:hint="default"/>
              </w:rPr>
            </w:pPr>
          </w:p>
        </w:tc>
        <w:tc>
          <w:tcPr>
            <w:tcW w:w="868" w:type="pct"/>
            <w:vMerge w:val="continue"/>
            <w:tcBorders>
              <w:tl2br w:val="nil"/>
              <w:tr2bl w:val="nil"/>
            </w:tcBorders>
            <w:noWrap w:val="0"/>
            <w:vAlign w:val="center"/>
          </w:tcPr>
          <w:p w14:paraId="3BDB1963">
            <w:pPr>
              <w:pStyle w:val="31"/>
              <w:bidi w:val="0"/>
              <w:rPr>
                <w:rFonts w:hint="default"/>
              </w:rPr>
            </w:pPr>
          </w:p>
        </w:tc>
        <w:tc>
          <w:tcPr>
            <w:tcW w:w="826" w:type="pct"/>
            <w:vMerge w:val="continue"/>
            <w:tcBorders>
              <w:tl2br w:val="nil"/>
              <w:tr2bl w:val="nil"/>
            </w:tcBorders>
            <w:noWrap w:val="0"/>
            <w:vAlign w:val="center"/>
          </w:tcPr>
          <w:p w14:paraId="229FFD02">
            <w:pPr>
              <w:pStyle w:val="31"/>
              <w:bidi w:val="0"/>
              <w:rPr>
                <w:rFonts w:hint="default"/>
              </w:rPr>
            </w:pPr>
          </w:p>
        </w:tc>
        <w:tc>
          <w:tcPr>
            <w:tcW w:w="913" w:type="pct"/>
            <w:tcBorders>
              <w:tl2br w:val="nil"/>
              <w:tr2bl w:val="nil"/>
            </w:tcBorders>
            <w:noWrap w:val="0"/>
            <w:vAlign w:val="center"/>
          </w:tcPr>
          <w:p w14:paraId="55E70571">
            <w:pPr>
              <w:pStyle w:val="31"/>
              <w:bidi w:val="0"/>
              <w:rPr>
                <w:rFonts w:hint="default"/>
              </w:rPr>
            </w:pPr>
            <w:r>
              <w:rPr>
                <w:rFonts w:hint="default"/>
              </w:rPr>
              <w:t>第三时段</w:t>
            </w:r>
          </w:p>
        </w:tc>
        <w:tc>
          <w:tcPr>
            <w:tcW w:w="828" w:type="pct"/>
            <w:tcBorders>
              <w:tl2br w:val="nil"/>
              <w:tr2bl w:val="nil"/>
            </w:tcBorders>
            <w:noWrap w:val="0"/>
            <w:vAlign w:val="center"/>
          </w:tcPr>
          <w:p w14:paraId="6FE6C686">
            <w:pPr>
              <w:pStyle w:val="31"/>
              <w:bidi w:val="0"/>
              <w:rPr>
                <w:rFonts w:hint="default"/>
                <w:lang w:val="en-US" w:eastAsia="zh-CN"/>
              </w:rPr>
            </w:pPr>
            <w:r>
              <w:rPr>
                <w:rFonts w:hint="default"/>
                <w:lang w:val="en-US" w:eastAsia="zh-CN"/>
              </w:rPr>
              <w:t>0.395</w:t>
            </w:r>
          </w:p>
        </w:tc>
        <w:tc>
          <w:tcPr>
            <w:tcW w:w="821" w:type="pct"/>
            <w:vMerge w:val="continue"/>
            <w:tcBorders>
              <w:tl2br w:val="nil"/>
              <w:tr2bl w:val="nil"/>
            </w:tcBorders>
            <w:noWrap w:val="0"/>
            <w:vAlign w:val="center"/>
          </w:tcPr>
          <w:p w14:paraId="4FF4F66E">
            <w:pPr>
              <w:pStyle w:val="31"/>
              <w:bidi w:val="0"/>
              <w:rPr>
                <w:rFonts w:hint="default"/>
                <w:lang w:val="en-US" w:eastAsia="zh-CN"/>
              </w:rPr>
            </w:pPr>
          </w:p>
        </w:tc>
      </w:tr>
      <w:tr w14:paraId="169AF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AE70509">
            <w:pPr>
              <w:pStyle w:val="31"/>
              <w:bidi w:val="0"/>
              <w:rPr>
                <w:rFonts w:hint="default"/>
              </w:rPr>
            </w:pPr>
          </w:p>
        </w:tc>
        <w:tc>
          <w:tcPr>
            <w:tcW w:w="868" w:type="pct"/>
            <w:vMerge w:val="continue"/>
            <w:tcBorders>
              <w:tl2br w:val="nil"/>
              <w:tr2bl w:val="nil"/>
            </w:tcBorders>
            <w:noWrap w:val="0"/>
            <w:vAlign w:val="center"/>
          </w:tcPr>
          <w:p w14:paraId="1AFADEE9">
            <w:pPr>
              <w:pStyle w:val="31"/>
              <w:bidi w:val="0"/>
              <w:rPr>
                <w:rFonts w:hint="default"/>
              </w:rPr>
            </w:pPr>
          </w:p>
        </w:tc>
        <w:tc>
          <w:tcPr>
            <w:tcW w:w="826" w:type="pct"/>
            <w:vMerge w:val="restart"/>
            <w:tcBorders>
              <w:tl2br w:val="nil"/>
              <w:tr2bl w:val="nil"/>
            </w:tcBorders>
            <w:noWrap w:val="0"/>
            <w:vAlign w:val="center"/>
          </w:tcPr>
          <w:p w14:paraId="0CB2C842">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7EEF63E5">
            <w:pPr>
              <w:pStyle w:val="31"/>
              <w:bidi w:val="0"/>
              <w:rPr>
                <w:rFonts w:hint="default"/>
              </w:rPr>
            </w:pPr>
            <w:r>
              <w:rPr>
                <w:rFonts w:hint="default"/>
              </w:rPr>
              <w:t>第一时段</w:t>
            </w:r>
          </w:p>
        </w:tc>
        <w:tc>
          <w:tcPr>
            <w:tcW w:w="828" w:type="pct"/>
            <w:tcBorders>
              <w:tl2br w:val="nil"/>
              <w:tr2bl w:val="nil"/>
            </w:tcBorders>
            <w:noWrap w:val="0"/>
            <w:vAlign w:val="center"/>
          </w:tcPr>
          <w:p w14:paraId="3EEA6817">
            <w:pPr>
              <w:pStyle w:val="31"/>
              <w:bidi w:val="0"/>
              <w:rPr>
                <w:rFonts w:hint="default"/>
                <w:lang w:val="en-US" w:eastAsia="zh-CN"/>
              </w:rPr>
            </w:pPr>
            <w:r>
              <w:rPr>
                <w:rFonts w:hint="default"/>
                <w:lang w:val="en-US" w:eastAsia="zh-CN"/>
              </w:rPr>
              <w:t>0.51</w:t>
            </w:r>
          </w:p>
        </w:tc>
        <w:tc>
          <w:tcPr>
            <w:tcW w:w="821" w:type="pct"/>
            <w:vMerge w:val="restart"/>
            <w:tcBorders>
              <w:tl2br w:val="nil"/>
              <w:tr2bl w:val="nil"/>
            </w:tcBorders>
            <w:noWrap w:val="0"/>
            <w:vAlign w:val="center"/>
          </w:tcPr>
          <w:p w14:paraId="1897711A">
            <w:pPr>
              <w:pStyle w:val="31"/>
              <w:bidi w:val="0"/>
              <w:rPr>
                <w:rFonts w:hint="default"/>
                <w:lang w:val="en-US" w:eastAsia="zh-CN"/>
              </w:rPr>
            </w:pPr>
            <w:r>
              <w:rPr>
                <w:rFonts w:hint="default"/>
                <w:lang w:val="en-US" w:eastAsia="zh-CN"/>
              </w:rPr>
              <w:t>2.0</w:t>
            </w:r>
          </w:p>
        </w:tc>
      </w:tr>
      <w:tr w14:paraId="3117B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5C9DB6A">
            <w:pPr>
              <w:pStyle w:val="31"/>
              <w:bidi w:val="0"/>
              <w:rPr>
                <w:rFonts w:hint="default"/>
              </w:rPr>
            </w:pPr>
          </w:p>
        </w:tc>
        <w:tc>
          <w:tcPr>
            <w:tcW w:w="868" w:type="pct"/>
            <w:vMerge w:val="continue"/>
            <w:tcBorders>
              <w:tl2br w:val="nil"/>
              <w:tr2bl w:val="nil"/>
            </w:tcBorders>
            <w:noWrap w:val="0"/>
            <w:vAlign w:val="center"/>
          </w:tcPr>
          <w:p w14:paraId="6C3B4033">
            <w:pPr>
              <w:pStyle w:val="31"/>
              <w:bidi w:val="0"/>
              <w:rPr>
                <w:rFonts w:hint="default"/>
              </w:rPr>
            </w:pPr>
          </w:p>
        </w:tc>
        <w:tc>
          <w:tcPr>
            <w:tcW w:w="826" w:type="pct"/>
            <w:vMerge w:val="continue"/>
            <w:tcBorders>
              <w:tl2br w:val="nil"/>
              <w:tr2bl w:val="nil"/>
            </w:tcBorders>
            <w:noWrap w:val="0"/>
            <w:vAlign w:val="center"/>
          </w:tcPr>
          <w:p w14:paraId="3DC1607A">
            <w:pPr>
              <w:pStyle w:val="31"/>
              <w:bidi w:val="0"/>
              <w:rPr>
                <w:rFonts w:hint="default"/>
              </w:rPr>
            </w:pPr>
          </w:p>
        </w:tc>
        <w:tc>
          <w:tcPr>
            <w:tcW w:w="913" w:type="pct"/>
            <w:tcBorders>
              <w:tl2br w:val="nil"/>
              <w:tr2bl w:val="nil"/>
            </w:tcBorders>
            <w:noWrap w:val="0"/>
            <w:vAlign w:val="center"/>
          </w:tcPr>
          <w:p w14:paraId="1F6AC9A1">
            <w:pPr>
              <w:pStyle w:val="31"/>
              <w:bidi w:val="0"/>
              <w:rPr>
                <w:rFonts w:hint="default"/>
              </w:rPr>
            </w:pPr>
            <w:r>
              <w:rPr>
                <w:rFonts w:hint="default"/>
              </w:rPr>
              <w:t>第二时段</w:t>
            </w:r>
          </w:p>
        </w:tc>
        <w:tc>
          <w:tcPr>
            <w:tcW w:w="828" w:type="pct"/>
            <w:tcBorders>
              <w:tl2br w:val="nil"/>
              <w:tr2bl w:val="nil"/>
            </w:tcBorders>
            <w:noWrap w:val="0"/>
            <w:vAlign w:val="center"/>
          </w:tcPr>
          <w:p w14:paraId="01DD9A88">
            <w:pPr>
              <w:pStyle w:val="31"/>
              <w:bidi w:val="0"/>
              <w:rPr>
                <w:rFonts w:hint="default"/>
                <w:lang w:val="en-US" w:eastAsia="zh-CN"/>
              </w:rPr>
            </w:pPr>
            <w:r>
              <w:rPr>
                <w:rFonts w:hint="default"/>
                <w:lang w:val="en-US" w:eastAsia="zh-CN"/>
              </w:rPr>
              <w:t>0.55</w:t>
            </w:r>
          </w:p>
        </w:tc>
        <w:tc>
          <w:tcPr>
            <w:tcW w:w="821" w:type="pct"/>
            <w:vMerge w:val="continue"/>
            <w:tcBorders>
              <w:tl2br w:val="nil"/>
              <w:tr2bl w:val="nil"/>
            </w:tcBorders>
            <w:noWrap w:val="0"/>
            <w:vAlign w:val="center"/>
          </w:tcPr>
          <w:p w14:paraId="5D271428">
            <w:pPr>
              <w:pStyle w:val="31"/>
              <w:bidi w:val="0"/>
              <w:rPr>
                <w:rFonts w:hint="default"/>
                <w:lang w:val="en-US" w:eastAsia="zh-CN"/>
              </w:rPr>
            </w:pPr>
          </w:p>
        </w:tc>
      </w:tr>
      <w:tr w14:paraId="15171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54830D5">
            <w:pPr>
              <w:pStyle w:val="31"/>
              <w:bidi w:val="0"/>
              <w:rPr>
                <w:rFonts w:hint="default"/>
              </w:rPr>
            </w:pPr>
          </w:p>
        </w:tc>
        <w:tc>
          <w:tcPr>
            <w:tcW w:w="868" w:type="pct"/>
            <w:vMerge w:val="continue"/>
            <w:tcBorders>
              <w:tl2br w:val="nil"/>
              <w:tr2bl w:val="nil"/>
            </w:tcBorders>
            <w:noWrap w:val="0"/>
            <w:vAlign w:val="center"/>
          </w:tcPr>
          <w:p w14:paraId="0A373C70">
            <w:pPr>
              <w:pStyle w:val="31"/>
              <w:bidi w:val="0"/>
              <w:rPr>
                <w:rFonts w:hint="default"/>
              </w:rPr>
            </w:pPr>
          </w:p>
        </w:tc>
        <w:tc>
          <w:tcPr>
            <w:tcW w:w="826" w:type="pct"/>
            <w:vMerge w:val="continue"/>
            <w:tcBorders>
              <w:tl2br w:val="nil"/>
              <w:tr2bl w:val="nil"/>
            </w:tcBorders>
            <w:noWrap w:val="0"/>
            <w:vAlign w:val="center"/>
          </w:tcPr>
          <w:p w14:paraId="23CED673">
            <w:pPr>
              <w:pStyle w:val="31"/>
              <w:bidi w:val="0"/>
              <w:rPr>
                <w:rFonts w:hint="default"/>
              </w:rPr>
            </w:pPr>
          </w:p>
        </w:tc>
        <w:tc>
          <w:tcPr>
            <w:tcW w:w="913" w:type="pct"/>
            <w:tcBorders>
              <w:tl2br w:val="nil"/>
              <w:tr2bl w:val="nil"/>
            </w:tcBorders>
            <w:noWrap w:val="0"/>
            <w:vAlign w:val="center"/>
          </w:tcPr>
          <w:p w14:paraId="64E56137">
            <w:pPr>
              <w:pStyle w:val="31"/>
              <w:bidi w:val="0"/>
              <w:rPr>
                <w:rFonts w:hint="default"/>
              </w:rPr>
            </w:pPr>
            <w:r>
              <w:rPr>
                <w:rFonts w:hint="default"/>
              </w:rPr>
              <w:t>第三时段</w:t>
            </w:r>
          </w:p>
        </w:tc>
        <w:tc>
          <w:tcPr>
            <w:tcW w:w="828" w:type="pct"/>
            <w:tcBorders>
              <w:tl2br w:val="nil"/>
              <w:tr2bl w:val="nil"/>
            </w:tcBorders>
            <w:noWrap w:val="0"/>
            <w:vAlign w:val="center"/>
          </w:tcPr>
          <w:p w14:paraId="3B7BDCD0">
            <w:pPr>
              <w:pStyle w:val="31"/>
              <w:bidi w:val="0"/>
              <w:rPr>
                <w:rFonts w:hint="default"/>
                <w:lang w:val="en-US" w:eastAsia="zh-CN"/>
              </w:rPr>
            </w:pPr>
            <w:r>
              <w:rPr>
                <w:rFonts w:hint="default"/>
                <w:lang w:val="en-US" w:eastAsia="zh-CN"/>
              </w:rPr>
              <w:t>0.52</w:t>
            </w:r>
          </w:p>
        </w:tc>
        <w:tc>
          <w:tcPr>
            <w:tcW w:w="821" w:type="pct"/>
            <w:vMerge w:val="continue"/>
            <w:tcBorders>
              <w:tl2br w:val="nil"/>
              <w:tr2bl w:val="nil"/>
            </w:tcBorders>
            <w:noWrap w:val="0"/>
            <w:vAlign w:val="center"/>
          </w:tcPr>
          <w:p w14:paraId="3941A591">
            <w:pPr>
              <w:pStyle w:val="31"/>
              <w:bidi w:val="0"/>
              <w:rPr>
                <w:rFonts w:hint="default"/>
                <w:lang w:val="en-US" w:eastAsia="zh-CN"/>
              </w:rPr>
            </w:pPr>
          </w:p>
        </w:tc>
      </w:tr>
      <w:tr w14:paraId="055D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E89D443">
            <w:pPr>
              <w:pStyle w:val="31"/>
              <w:bidi w:val="0"/>
              <w:rPr>
                <w:rFonts w:hint="default"/>
                <w:lang w:val="en-US" w:eastAsia="zh-CN"/>
              </w:rPr>
            </w:pPr>
          </w:p>
        </w:tc>
        <w:tc>
          <w:tcPr>
            <w:tcW w:w="868" w:type="pct"/>
            <w:vMerge w:val="restart"/>
            <w:tcBorders>
              <w:tl2br w:val="nil"/>
              <w:tr2bl w:val="nil"/>
            </w:tcBorders>
            <w:noWrap w:val="0"/>
            <w:vAlign w:val="center"/>
          </w:tcPr>
          <w:p w14:paraId="63E21B17">
            <w:pPr>
              <w:pStyle w:val="31"/>
              <w:bidi w:val="0"/>
              <w:rPr>
                <w:rFonts w:hint="default"/>
                <w:lang w:val="en-US" w:eastAsia="zh-CN"/>
              </w:rPr>
            </w:pPr>
            <w:r>
              <w:rPr>
                <w:rFonts w:hint="default"/>
                <w:lang w:val="en-US" w:eastAsia="zh-CN"/>
              </w:rPr>
              <w:t>厂界西侧10m处○3#</w:t>
            </w:r>
          </w:p>
        </w:tc>
        <w:tc>
          <w:tcPr>
            <w:tcW w:w="826" w:type="pct"/>
            <w:vMerge w:val="restart"/>
            <w:tcBorders>
              <w:tl2br w:val="nil"/>
              <w:tr2bl w:val="nil"/>
            </w:tcBorders>
            <w:noWrap w:val="0"/>
            <w:vAlign w:val="center"/>
          </w:tcPr>
          <w:p w14:paraId="1CEDF254">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2AEEC7A7">
            <w:pPr>
              <w:pStyle w:val="31"/>
              <w:bidi w:val="0"/>
              <w:rPr>
                <w:rFonts w:hint="default"/>
              </w:rPr>
            </w:pPr>
            <w:r>
              <w:rPr>
                <w:rFonts w:hint="default"/>
              </w:rPr>
              <w:t>第一时段</w:t>
            </w:r>
          </w:p>
        </w:tc>
        <w:tc>
          <w:tcPr>
            <w:tcW w:w="828" w:type="pct"/>
            <w:tcBorders>
              <w:tl2br w:val="nil"/>
              <w:tr2bl w:val="nil"/>
            </w:tcBorders>
            <w:noWrap w:val="0"/>
            <w:vAlign w:val="center"/>
          </w:tcPr>
          <w:p w14:paraId="2164F76B">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3C564F6A">
            <w:pPr>
              <w:pStyle w:val="31"/>
              <w:bidi w:val="0"/>
              <w:rPr>
                <w:rFonts w:hint="default"/>
                <w:lang w:val="en-US" w:eastAsia="zh-CN"/>
              </w:rPr>
            </w:pPr>
            <w:r>
              <w:rPr>
                <w:rFonts w:hint="default"/>
                <w:lang w:val="en-US" w:eastAsia="zh-CN"/>
              </w:rPr>
              <w:t>2.4</w:t>
            </w:r>
          </w:p>
        </w:tc>
      </w:tr>
      <w:tr w14:paraId="6C7C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6789E54">
            <w:pPr>
              <w:pStyle w:val="31"/>
              <w:bidi w:val="0"/>
              <w:rPr>
                <w:rFonts w:hint="default"/>
              </w:rPr>
            </w:pPr>
          </w:p>
        </w:tc>
        <w:tc>
          <w:tcPr>
            <w:tcW w:w="868" w:type="pct"/>
            <w:vMerge w:val="continue"/>
            <w:tcBorders>
              <w:tl2br w:val="nil"/>
              <w:tr2bl w:val="nil"/>
            </w:tcBorders>
            <w:noWrap w:val="0"/>
            <w:vAlign w:val="center"/>
          </w:tcPr>
          <w:p w14:paraId="260F10DC">
            <w:pPr>
              <w:pStyle w:val="31"/>
              <w:bidi w:val="0"/>
              <w:rPr>
                <w:rFonts w:hint="default"/>
              </w:rPr>
            </w:pPr>
          </w:p>
        </w:tc>
        <w:tc>
          <w:tcPr>
            <w:tcW w:w="826" w:type="pct"/>
            <w:vMerge w:val="continue"/>
            <w:tcBorders>
              <w:tl2br w:val="nil"/>
              <w:tr2bl w:val="nil"/>
            </w:tcBorders>
            <w:noWrap w:val="0"/>
            <w:vAlign w:val="center"/>
          </w:tcPr>
          <w:p w14:paraId="33B48C62">
            <w:pPr>
              <w:pStyle w:val="31"/>
              <w:bidi w:val="0"/>
              <w:rPr>
                <w:rFonts w:hint="default"/>
              </w:rPr>
            </w:pPr>
          </w:p>
        </w:tc>
        <w:tc>
          <w:tcPr>
            <w:tcW w:w="913" w:type="pct"/>
            <w:tcBorders>
              <w:tl2br w:val="nil"/>
              <w:tr2bl w:val="nil"/>
            </w:tcBorders>
            <w:noWrap w:val="0"/>
            <w:vAlign w:val="center"/>
          </w:tcPr>
          <w:p w14:paraId="626E57FC">
            <w:pPr>
              <w:pStyle w:val="31"/>
              <w:bidi w:val="0"/>
              <w:rPr>
                <w:rFonts w:hint="default"/>
              </w:rPr>
            </w:pPr>
            <w:r>
              <w:rPr>
                <w:rFonts w:hint="default"/>
              </w:rPr>
              <w:t>第二时段</w:t>
            </w:r>
          </w:p>
        </w:tc>
        <w:tc>
          <w:tcPr>
            <w:tcW w:w="828" w:type="pct"/>
            <w:tcBorders>
              <w:tl2br w:val="nil"/>
              <w:tr2bl w:val="nil"/>
            </w:tcBorders>
            <w:noWrap w:val="0"/>
            <w:vAlign w:val="center"/>
          </w:tcPr>
          <w:p w14:paraId="7F53D459">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190688DD">
            <w:pPr>
              <w:pStyle w:val="31"/>
              <w:bidi w:val="0"/>
              <w:rPr>
                <w:rFonts w:hint="default"/>
              </w:rPr>
            </w:pPr>
          </w:p>
        </w:tc>
      </w:tr>
      <w:tr w14:paraId="11FC7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0374164">
            <w:pPr>
              <w:pStyle w:val="31"/>
              <w:bidi w:val="0"/>
              <w:rPr>
                <w:rFonts w:hint="default"/>
              </w:rPr>
            </w:pPr>
          </w:p>
        </w:tc>
        <w:tc>
          <w:tcPr>
            <w:tcW w:w="868" w:type="pct"/>
            <w:vMerge w:val="continue"/>
            <w:tcBorders>
              <w:tl2br w:val="nil"/>
              <w:tr2bl w:val="nil"/>
            </w:tcBorders>
            <w:noWrap w:val="0"/>
            <w:vAlign w:val="center"/>
          </w:tcPr>
          <w:p w14:paraId="491A708B">
            <w:pPr>
              <w:pStyle w:val="31"/>
              <w:bidi w:val="0"/>
              <w:rPr>
                <w:rFonts w:hint="default"/>
              </w:rPr>
            </w:pPr>
          </w:p>
        </w:tc>
        <w:tc>
          <w:tcPr>
            <w:tcW w:w="826" w:type="pct"/>
            <w:vMerge w:val="continue"/>
            <w:tcBorders>
              <w:tl2br w:val="nil"/>
              <w:tr2bl w:val="nil"/>
            </w:tcBorders>
            <w:noWrap w:val="0"/>
            <w:vAlign w:val="center"/>
          </w:tcPr>
          <w:p w14:paraId="0C59E189">
            <w:pPr>
              <w:pStyle w:val="31"/>
              <w:bidi w:val="0"/>
              <w:rPr>
                <w:rFonts w:hint="default"/>
              </w:rPr>
            </w:pPr>
          </w:p>
        </w:tc>
        <w:tc>
          <w:tcPr>
            <w:tcW w:w="913" w:type="pct"/>
            <w:tcBorders>
              <w:tl2br w:val="nil"/>
              <w:tr2bl w:val="nil"/>
            </w:tcBorders>
            <w:noWrap w:val="0"/>
            <w:vAlign w:val="center"/>
          </w:tcPr>
          <w:p w14:paraId="5A2B82D3">
            <w:pPr>
              <w:pStyle w:val="31"/>
              <w:bidi w:val="0"/>
              <w:rPr>
                <w:rFonts w:hint="default"/>
              </w:rPr>
            </w:pPr>
            <w:r>
              <w:rPr>
                <w:rFonts w:hint="default"/>
              </w:rPr>
              <w:t>第三时段</w:t>
            </w:r>
          </w:p>
        </w:tc>
        <w:tc>
          <w:tcPr>
            <w:tcW w:w="828" w:type="pct"/>
            <w:tcBorders>
              <w:tl2br w:val="nil"/>
              <w:tr2bl w:val="nil"/>
            </w:tcBorders>
            <w:noWrap w:val="0"/>
            <w:vAlign w:val="center"/>
          </w:tcPr>
          <w:p w14:paraId="0AE646F9">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2357AA54">
            <w:pPr>
              <w:pStyle w:val="31"/>
              <w:bidi w:val="0"/>
              <w:rPr>
                <w:rFonts w:hint="default"/>
              </w:rPr>
            </w:pPr>
          </w:p>
        </w:tc>
      </w:tr>
      <w:tr w14:paraId="3E92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AD41372">
            <w:pPr>
              <w:pStyle w:val="31"/>
              <w:bidi w:val="0"/>
              <w:rPr>
                <w:rFonts w:hint="default"/>
              </w:rPr>
            </w:pPr>
          </w:p>
        </w:tc>
        <w:tc>
          <w:tcPr>
            <w:tcW w:w="868" w:type="pct"/>
            <w:vMerge w:val="continue"/>
            <w:tcBorders>
              <w:tl2br w:val="nil"/>
              <w:tr2bl w:val="nil"/>
            </w:tcBorders>
            <w:noWrap w:val="0"/>
            <w:vAlign w:val="center"/>
          </w:tcPr>
          <w:p w14:paraId="26617D9A">
            <w:pPr>
              <w:pStyle w:val="31"/>
              <w:bidi w:val="0"/>
              <w:rPr>
                <w:rFonts w:hint="default"/>
              </w:rPr>
            </w:pPr>
          </w:p>
        </w:tc>
        <w:tc>
          <w:tcPr>
            <w:tcW w:w="826" w:type="pct"/>
            <w:vMerge w:val="restart"/>
            <w:tcBorders>
              <w:tl2br w:val="nil"/>
              <w:tr2bl w:val="nil"/>
            </w:tcBorders>
            <w:noWrap w:val="0"/>
            <w:vAlign w:val="center"/>
          </w:tcPr>
          <w:p w14:paraId="74B7CB48">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7BC818D5">
            <w:pPr>
              <w:pStyle w:val="31"/>
              <w:bidi w:val="0"/>
              <w:rPr>
                <w:rFonts w:hint="default"/>
              </w:rPr>
            </w:pPr>
            <w:r>
              <w:rPr>
                <w:rFonts w:hint="default"/>
              </w:rPr>
              <w:t>第一时段</w:t>
            </w:r>
          </w:p>
        </w:tc>
        <w:tc>
          <w:tcPr>
            <w:tcW w:w="828" w:type="pct"/>
            <w:tcBorders>
              <w:tl2br w:val="nil"/>
              <w:tr2bl w:val="nil"/>
            </w:tcBorders>
            <w:noWrap w:val="0"/>
            <w:vAlign w:val="center"/>
          </w:tcPr>
          <w:p w14:paraId="72D5DAD4">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78DDBE70">
            <w:pPr>
              <w:pStyle w:val="31"/>
              <w:bidi w:val="0"/>
              <w:rPr>
                <w:rFonts w:hint="default"/>
                <w:lang w:val="en-US" w:eastAsia="zh-CN"/>
              </w:rPr>
            </w:pPr>
            <w:r>
              <w:rPr>
                <w:rFonts w:hint="default"/>
                <w:lang w:val="en-US" w:eastAsia="zh-CN"/>
              </w:rPr>
              <w:t>1.2</w:t>
            </w:r>
          </w:p>
        </w:tc>
      </w:tr>
      <w:tr w14:paraId="73339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9DA093B">
            <w:pPr>
              <w:pStyle w:val="31"/>
              <w:bidi w:val="0"/>
              <w:rPr>
                <w:rFonts w:hint="default"/>
              </w:rPr>
            </w:pPr>
          </w:p>
        </w:tc>
        <w:tc>
          <w:tcPr>
            <w:tcW w:w="868" w:type="pct"/>
            <w:vMerge w:val="continue"/>
            <w:tcBorders>
              <w:tl2br w:val="nil"/>
              <w:tr2bl w:val="nil"/>
            </w:tcBorders>
            <w:noWrap w:val="0"/>
            <w:vAlign w:val="center"/>
          </w:tcPr>
          <w:p w14:paraId="0FEB5024">
            <w:pPr>
              <w:pStyle w:val="31"/>
              <w:bidi w:val="0"/>
              <w:rPr>
                <w:rFonts w:hint="default"/>
              </w:rPr>
            </w:pPr>
          </w:p>
        </w:tc>
        <w:tc>
          <w:tcPr>
            <w:tcW w:w="826" w:type="pct"/>
            <w:vMerge w:val="continue"/>
            <w:tcBorders>
              <w:tl2br w:val="nil"/>
              <w:tr2bl w:val="nil"/>
            </w:tcBorders>
            <w:noWrap w:val="0"/>
            <w:vAlign w:val="center"/>
          </w:tcPr>
          <w:p w14:paraId="41E011E9">
            <w:pPr>
              <w:pStyle w:val="31"/>
              <w:bidi w:val="0"/>
              <w:rPr>
                <w:rFonts w:hint="default"/>
              </w:rPr>
            </w:pPr>
          </w:p>
        </w:tc>
        <w:tc>
          <w:tcPr>
            <w:tcW w:w="913" w:type="pct"/>
            <w:tcBorders>
              <w:tl2br w:val="nil"/>
              <w:tr2bl w:val="nil"/>
            </w:tcBorders>
            <w:noWrap w:val="0"/>
            <w:vAlign w:val="center"/>
          </w:tcPr>
          <w:p w14:paraId="02D61A57">
            <w:pPr>
              <w:pStyle w:val="31"/>
              <w:bidi w:val="0"/>
              <w:rPr>
                <w:rFonts w:hint="default"/>
              </w:rPr>
            </w:pPr>
            <w:r>
              <w:rPr>
                <w:rFonts w:hint="default"/>
              </w:rPr>
              <w:t>第二时段</w:t>
            </w:r>
          </w:p>
        </w:tc>
        <w:tc>
          <w:tcPr>
            <w:tcW w:w="828" w:type="pct"/>
            <w:tcBorders>
              <w:tl2br w:val="nil"/>
              <w:tr2bl w:val="nil"/>
            </w:tcBorders>
            <w:noWrap w:val="0"/>
            <w:vAlign w:val="center"/>
          </w:tcPr>
          <w:p w14:paraId="18D959AA">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6BD03314">
            <w:pPr>
              <w:pStyle w:val="31"/>
              <w:bidi w:val="0"/>
              <w:rPr>
                <w:rFonts w:hint="default"/>
              </w:rPr>
            </w:pPr>
          </w:p>
        </w:tc>
      </w:tr>
      <w:tr w14:paraId="1625E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186A5D1">
            <w:pPr>
              <w:pStyle w:val="31"/>
              <w:bidi w:val="0"/>
              <w:rPr>
                <w:rFonts w:hint="default"/>
              </w:rPr>
            </w:pPr>
          </w:p>
        </w:tc>
        <w:tc>
          <w:tcPr>
            <w:tcW w:w="868" w:type="pct"/>
            <w:vMerge w:val="continue"/>
            <w:tcBorders>
              <w:tl2br w:val="nil"/>
              <w:tr2bl w:val="nil"/>
            </w:tcBorders>
            <w:noWrap w:val="0"/>
            <w:vAlign w:val="center"/>
          </w:tcPr>
          <w:p w14:paraId="4B24D500">
            <w:pPr>
              <w:pStyle w:val="31"/>
              <w:bidi w:val="0"/>
              <w:rPr>
                <w:rFonts w:hint="default"/>
              </w:rPr>
            </w:pPr>
          </w:p>
        </w:tc>
        <w:tc>
          <w:tcPr>
            <w:tcW w:w="826" w:type="pct"/>
            <w:vMerge w:val="continue"/>
            <w:tcBorders>
              <w:tl2br w:val="nil"/>
              <w:tr2bl w:val="nil"/>
            </w:tcBorders>
            <w:noWrap w:val="0"/>
            <w:vAlign w:val="center"/>
          </w:tcPr>
          <w:p w14:paraId="3DA348D7">
            <w:pPr>
              <w:pStyle w:val="31"/>
              <w:bidi w:val="0"/>
              <w:rPr>
                <w:rFonts w:hint="default"/>
              </w:rPr>
            </w:pPr>
          </w:p>
        </w:tc>
        <w:tc>
          <w:tcPr>
            <w:tcW w:w="913" w:type="pct"/>
            <w:tcBorders>
              <w:tl2br w:val="nil"/>
              <w:tr2bl w:val="nil"/>
            </w:tcBorders>
            <w:noWrap w:val="0"/>
            <w:vAlign w:val="center"/>
          </w:tcPr>
          <w:p w14:paraId="43EFD65D">
            <w:pPr>
              <w:pStyle w:val="31"/>
              <w:bidi w:val="0"/>
              <w:rPr>
                <w:rFonts w:hint="default"/>
              </w:rPr>
            </w:pPr>
            <w:r>
              <w:rPr>
                <w:rFonts w:hint="default"/>
              </w:rPr>
              <w:t>第三时段</w:t>
            </w:r>
          </w:p>
        </w:tc>
        <w:tc>
          <w:tcPr>
            <w:tcW w:w="828" w:type="pct"/>
            <w:tcBorders>
              <w:tl2br w:val="nil"/>
              <w:tr2bl w:val="nil"/>
            </w:tcBorders>
            <w:noWrap w:val="0"/>
            <w:vAlign w:val="center"/>
          </w:tcPr>
          <w:p w14:paraId="666B6E0E">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5E7BFE11">
            <w:pPr>
              <w:pStyle w:val="31"/>
              <w:bidi w:val="0"/>
              <w:rPr>
                <w:rFonts w:hint="default"/>
              </w:rPr>
            </w:pPr>
          </w:p>
        </w:tc>
      </w:tr>
      <w:tr w14:paraId="28E20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2A020FE">
            <w:pPr>
              <w:pStyle w:val="31"/>
              <w:bidi w:val="0"/>
              <w:rPr>
                <w:rFonts w:hint="default"/>
              </w:rPr>
            </w:pPr>
          </w:p>
        </w:tc>
        <w:tc>
          <w:tcPr>
            <w:tcW w:w="868" w:type="pct"/>
            <w:vMerge w:val="continue"/>
            <w:tcBorders>
              <w:tl2br w:val="nil"/>
              <w:tr2bl w:val="nil"/>
            </w:tcBorders>
            <w:noWrap w:val="0"/>
            <w:vAlign w:val="center"/>
          </w:tcPr>
          <w:p w14:paraId="2A7BBAA7">
            <w:pPr>
              <w:pStyle w:val="31"/>
              <w:bidi w:val="0"/>
              <w:rPr>
                <w:rFonts w:hint="default"/>
              </w:rPr>
            </w:pPr>
          </w:p>
        </w:tc>
        <w:tc>
          <w:tcPr>
            <w:tcW w:w="826" w:type="pct"/>
            <w:vMerge w:val="restart"/>
            <w:tcBorders>
              <w:tl2br w:val="nil"/>
              <w:tr2bl w:val="nil"/>
            </w:tcBorders>
            <w:noWrap w:val="0"/>
            <w:vAlign w:val="center"/>
          </w:tcPr>
          <w:p w14:paraId="2E5F6756">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767677F7">
            <w:pPr>
              <w:pStyle w:val="31"/>
              <w:bidi w:val="0"/>
              <w:rPr>
                <w:rFonts w:hint="default"/>
              </w:rPr>
            </w:pPr>
            <w:r>
              <w:rPr>
                <w:rFonts w:hint="default"/>
              </w:rPr>
              <w:t>第一时段</w:t>
            </w:r>
          </w:p>
        </w:tc>
        <w:tc>
          <w:tcPr>
            <w:tcW w:w="828" w:type="pct"/>
            <w:tcBorders>
              <w:tl2br w:val="nil"/>
              <w:tr2bl w:val="nil"/>
            </w:tcBorders>
            <w:noWrap w:val="0"/>
            <w:vAlign w:val="center"/>
          </w:tcPr>
          <w:p w14:paraId="4A6D2FB0">
            <w:pPr>
              <w:pStyle w:val="31"/>
              <w:bidi w:val="0"/>
              <w:rPr>
                <w:rFonts w:hint="default"/>
                <w:lang w:val="en-US" w:eastAsia="zh-CN"/>
              </w:rPr>
            </w:pPr>
            <w:r>
              <w:rPr>
                <w:rFonts w:hint="default"/>
                <w:lang w:val="en-US" w:eastAsia="zh-CN"/>
              </w:rPr>
              <w:t>0.359</w:t>
            </w:r>
          </w:p>
        </w:tc>
        <w:tc>
          <w:tcPr>
            <w:tcW w:w="821" w:type="pct"/>
            <w:vMerge w:val="restart"/>
            <w:tcBorders>
              <w:tl2br w:val="nil"/>
              <w:tr2bl w:val="nil"/>
            </w:tcBorders>
            <w:noWrap w:val="0"/>
            <w:vAlign w:val="center"/>
          </w:tcPr>
          <w:p w14:paraId="6B85CD5E">
            <w:pPr>
              <w:pStyle w:val="31"/>
              <w:bidi w:val="0"/>
              <w:rPr>
                <w:rFonts w:hint="default"/>
                <w:lang w:val="en-US" w:eastAsia="zh-CN"/>
              </w:rPr>
            </w:pPr>
            <w:r>
              <w:rPr>
                <w:rFonts w:hint="default"/>
                <w:lang w:val="en-US" w:eastAsia="zh-CN"/>
              </w:rPr>
              <w:t>1.0</w:t>
            </w:r>
          </w:p>
        </w:tc>
      </w:tr>
      <w:tr w14:paraId="2F91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35C6B59">
            <w:pPr>
              <w:pStyle w:val="31"/>
              <w:bidi w:val="0"/>
              <w:rPr>
                <w:rFonts w:hint="default"/>
              </w:rPr>
            </w:pPr>
          </w:p>
        </w:tc>
        <w:tc>
          <w:tcPr>
            <w:tcW w:w="868" w:type="pct"/>
            <w:vMerge w:val="continue"/>
            <w:tcBorders>
              <w:tl2br w:val="nil"/>
              <w:tr2bl w:val="nil"/>
            </w:tcBorders>
            <w:noWrap w:val="0"/>
            <w:vAlign w:val="center"/>
          </w:tcPr>
          <w:p w14:paraId="19158E69">
            <w:pPr>
              <w:pStyle w:val="31"/>
              <w:bidi w:val="0"/>
              <w:rPr>
                <w:rFonts w:hint="default"/>
              </w:rPr>
            </w:pPr>
          </w:p>
        </w:tc>
        <w:tc>
          <w:tcPr>
            <w:tcW w:w="826" w:type="pct"/>
            <w:vMerge w:val="continue"/>
            <w:tcBorders>
              <w:tl2br w:val="nil"/>
              <w:tr2bl w:val="nil"/>
            </w:tcBorders>
            <w:noWrap w:val="0"/>
            <w:vAlign w:val="center"/>
          </w:tcPr>
          <w:p w14:paraId="31A4F194">
            <w:pPr>
              <w:pStyle w:val="31"/>
              <w:bidi w:val="0"/>
              <w:rPr>
                <w:rFonts w:hint="default"/>
              </w:rPr>
            </w:pPr>
          </w:p>
        </w:tc>
        <w:tc>
          <w:tcPr>
            <w:tcW w:w="913" w:type="pct"/>
            <w:tcBorders>
              <w:tl2br w:val="nil"/>
              <w:tr2bl w:val="nil"/>
            </w:tcBorders>
            <w:noWrap w:val="0"/>
            <w:vAlign w:val="center"/>
          </w:tcPr>
          <w:p w14:paraId="4B8EC44E">
            <w:pPr>
              <w:pStyle w:val="31"/>
              <w:bidi w:val="0"/>
              <w:rPr>
                <w:rFonts w:hint="default"/>
              </w:rPr>
            </w:pPr>
            <w:r>
              <w:rPr>
                <w:rFonts w:hint="default"/>
              </w:rPr>
              <w:t>第二时段</w:t>
            </w:r>
          </w:p>
        </w:tc>
        <w:tc>
          <w:tcPr>
            <w:tcW w:w="828" w:type="pct"/>
            <w:tcBorders>
              <w:tl2br w:val="nil"/>
              <w:tr2bl w:val="nil"/>
            </w:tcBorders>
            <w:noWrap w:val="0"/>
            <w:vAlign w:val="center"/>
          </w:tcPr>
          <w:p w14:paraId="660C7A30">
            <w:pPr>
              <w:pStyle w:val="31"/>
              <w:bidi w:val="0"/>
              <w:rPr>
                <w:rFonts w:hint="default"/>
                <w:lang w:val="en-US" w:eastAsia="zh-CN"/>
              </w:rPr>
            </w:pPr>
            <w:r>
              <w:rPr>
                <w:rFonts w:hint="default"/>
                <w:lang w:val="en-US" w:eastAsia="zh-CN"/>
              </w:rPr>
              <w:t>0.396</w:t>
            </w:r>
          </w:p>
        </w:tc>
        <w:tc>
          <w:tcPr>
            <w:tcW w:w="821" w:type="pct"/>
            <w:vMerge w:val="continue"/>
            <w:tcBorders>
              <w:tl2br w:val="nil"/>
              <w:tr2bl w:val="nil"/>
            </w:tcBorders>
            <w:noWrap w:val="0"/>
            <w:vAlign w:val="center"/>
          </w:tcPr>
          <w:p w14:paraId="5DF73DDA">
            <w:pPr>
              <w:pStyle w:val="31"/>
              <w:bidi w:val="0"/>
              <w:rPr>
                <w:rFonts w:hint="default"/>
                <w:lang w:val="en-US" w:eastAsia="zh-CN"/>
              </w:rPr>
            </w:pPr>
          </w:p>
        </w:tc>
      </w:tr>
      <w:tr w14:paraId="5AA4E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993DC0C">
            <w:pPr>
              <w:pStyle w:val="31"/>
              <w:bidi w:val="0"/>
              <w:rPr>
                <w:rFonts w:hint="default"/>
              </w:rPr>
            </w:pPr>
          </w:p>
        </w:tc>
        <w:tc>
          <w:tcPr>
            <w:tcW w:w="868" w:type="pct"/>
            <w:vMerge w:val="continue"/>
            <w:tcBorders>
              <w:tl2br w:val="nil"/>
              <w:tr2bl w:val="nil"/>
            </w:tcBorders>
            <w:noWrap w:val="0"/>
            <w:vAlign w:val="center"/>
          </w:tcPr>
          <w:p w14:paraId="705D4957">
            <w:pPr>
              <w:pStyle w:val="31"/>
              <w:bidi w:val="0"/>
              <w:rPr>
                <w:rFonts w:hint="default"/>
              </w:rPr>
            </w:pPr>
          </w:p>
        </w:tc>
        <w:tc>
          <w:tcPr>
            <w:tcW w:w="826" w:type="pct"/>
            <w:vMerge w:val="continue"/>
            <w:tcBorders>
              <w:tl2br w:val="nil"/>
              <w:tr2bl w:val="nil"/>
            </w:tcBorders>
            <w:noWrap w:val="0"/>
            <w:vAlign w:val="center"/>
          </w:tcPr>
          <w:p w14:paraId="4C50C065">
            <w:pPr>
              <w:pStyle w:val="31"/>
              <w:bidi w:val="0"/>
              <w:rPr>
                <w:rFonts w:hint="default"/>
              </w:rPr>
            </w:pPr>
          </w:p>
        </w:tc>
        <w:tc>
          <w:tcPr>
            <w:tcW w:w="913" w:type="pct"/>
            <w:tcBorders>
              <w:tl2br w:val="nil"/>
              <w:tr2bl w:val="nil"/>
            </w:tcBorders>
            <w:noWrap w:val="0"/>
            <w:vAlign w:val="center"/>
          </w:tcPr>
          <w:p w14:paraId="43C5B771">
            <w:pPr>
              <w:pStyle w:val="31"/>
              <w:bidi w:val="0"/>
              <w:rPr>
                <w:rFonts w:hint="default"/>
              </w:rPr>
            </w:pPr>
            <w:r>
              <w:rPr>
                <w:rFonts w:hint="default"/>
              </w:rPr>
              <w:t>第三时段</w:t>
            </w:r>
          </w:p>
        </w:tc>
        <w:tc>
          <w:tcPr>
            <w:tcW w:w="828" w:type="pct"/>
            <w:tcBorders>
              <w:tl2br w:val="nil"/>
              <w:tr2bl w:val="nil"/>
            </w:tcBorders>
            <w:noWrap w:val="0"/>
            <w:vAlign w:val="center"/>
          </w:tcPr>
          <w:p w14:paraId="7DA622F0">
            <w:pPr>
              <w:pStyle w:val="31"/>
              <w:bidi w:val="0"/>
              <w:rPr>
                <w:rFonts w:hint="default"/>
                <w:lang w:val="en-US" w:eastAsia="zh-CN"/>
              </w:rPr>
            </w:pPr>
            <w:r>
              <w:rPr>
                <w:rFonts w:hint="default"/>
                <w:lang w:val="en-US" w:eastAsia="zh-CN"/>
              </w:rPr>
              <w:t>0.343</w:t>
            </w:r>
          </w:p>
        </w:tc>
        <w:tc>
          <w:tcPr>
            <w:tcW w:w="821" w:type="pct"/>
            <w:vMerge w:val="continue"/>
            <w:tcBorders>
              <w:tl2br w:val="nil"/>
              <w:tr2bl w:val="nil"/>
            </w:tcBorders>
            <w:noWrap w:val="0"/>
            <w:vAlign w:val="center"/>
          </w:tcPr>
          <w:p w14:paraId="4BFC91A6">
            <w:pPr>
              <w:pStyle w:val="31"/>
              <w:bidi w:val="0"/>
              <w:rPr>
                <w:rFonts w:hint="default"/>
                <w:lang w:val="en-US" w:eastAsia="zh-CN"/>
              </w:rPr>
            </w:pPr>
          </w:p>
        </w:tc>
      </w:tr>
      <w:tr w14:paraId="023A8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A66E68C">
            <w:pPr>
              <w:pStyle w:val="31"/>
              <w:bidi w:val="0"/>
              <w:rPr>
                <w:rFonts w:hint="default"/>
              </w:rPr>
            </w:pPr>
          </w:p>
        </w:tc>
        <w:tc>
          <w:tcPr>
            <w:tcW w:w="868" w:type="pct"/>
            <w:vMerge w:val="continue"/>
            <w:tcBorders>
              <w:tl2br w:val="nil"/>
              <w:tr2bl w:val="nil"/>
            </w:tcBorders>
            <w:noWrap w:val="0"/>
            <w:vAlign w:val="center"/>
          </w:tcPr>
          <w:p w14:paraId="192DABAF">
            <w:pPr>
              <w:pStyle w:val="31"/>
              <w:bidi w:val="0"/>
              <w:rPr>
                <w:rFonts w:hint="default"/>
              </w:rPr>
            </w:pPr>
          </w:p>
        </w:tc>
        <w:tc>
          <w:tcPr>
            <w:tcW w:w="826" w:type="pct"/>
            <w:vMerge w:val="restart"/>
            <w:tcBorders>
              <w:tl2br w:val="nil"/>
              <w:tr2bl w:val="nil"/>
            </w:tcBorders>
            <w:noWrap w:val="0"/>
            <w:vAlign w:val="center"/>
          </w:tcPr>
          <w:p w14:paraId="77544E74">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168BFFAA">
            <w:pPr>
              <w:pStyle w:val="31"/>
              <w:bidi w:val="0"/>
              <w:rPr>
                <w:rFonts w:hint="default"/>
              </w:rPr>
            </w:pPr>
            <w:r>
              <w:rPr>
                <w:rFonts w:hint="default"/>
              </w:rPr>
              <w:t>第一时段</w:t>
            </w:r>
          </w:p>
        </w:tc>
        <w:tc>
          <w:tcPr>
            <w:tcW w:w="828" w:type="pct"/>
            <w:tcBorders>
              <w:tl2br w:val="nil"/>
              <w:tr2bl w:val="nil"/>
            </w:tcBorders>
            <w:noWrap w:val="0"/>
            <w:vAlign w:val="center"/>
          </w:tcPr>
          <w:p w14:paraId="53756797">
            <w:pPr>
              <w:pStyle w:val="31"/>
              <w:bidi w:val="0"/>
              <w:rPr>
                <w:rFonts w:hint="default"/>
                <w:lang w:val="en-US" w:eastAsia="zh-CN"/>
              </w:rPr>
            </w:pPr>
            <w:r>
              <w:rPr>
                <w:rFonts w:hint="default"/>
                <w:lang w:val="en-US" w:eastAsia="zh-CN"/>
              </w:rPr>
              <w:t>0.45</w:t>
            </w:r>
          </w:p>
        </w:tc>
        <w:tc>
          <w:tcPr>
            <w:tcW w:w="821" w:type="pct"/>
            <w:vMerge w:val="restart"/>
            <w:tcBorders>
              <w:tl2br w:val="nil"/>
              <w:tr2bl w:val="nil"/>
            </w:tcBorders>
            <w:noWrap w:val="0"/>
            <w:vAlign w:val="center"/>
          </w:tcPr>
          <w:p w14:paraId="2C175A5F">
            <w:pPr>
              <w:pStyle w:val="31"/>
              <w:bidi w:val="0"/>
              <w:rPr>
                <w:rFonts w:hint="default"/>
                <w:lang w:val="en-US" w:eastAsia="zh-CN"/>
              </w:rPr>
            </w:pPr>
            <w:r>
              <w:rPr>
                <w:rFonts w:hint="default"/>
                <w:lang w:val="en-US" w:eastAsia="zh-CN"/>
              </w:rPr>
              <w:t>2.0</w:t>
            </w:r>
          </w:p>
        </w:tc>
      </w:tr>
      <w:tr w14:paraId="4CD0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962D7D4">
            <w:pPr>
              <w:pStyle w:val="31"/>
              <w:bidi w:val="0"/>
              <w:rPr>
                <w:rFonts w:hint="default"/>
              </w:rPr>
            </w:pPr>
          </w:p>
        </w:tc>
        <w:tc>
          <w:tcPr>
            <w:tcW w:w="868" w:type="pct"/>
            <w:vMerge w:val="continue"/>
            <w:tcBorders>
              <w:tl2br w:val="nil"/>
              <w:tr2bl w:val="nil"/>
            </w:tcBorders>
            <w:noWrap w:val="0"/>
            <w:vAlign w:val="center"/>
          </w:tcPr>
          <w:p w14:paraId="182CEC86">
            <w:pPr>
              <w:pStyle w:val="31"/>
              <w:bidi w:val="0"/>
              <w:rPr>
                <w:rFonts w:hint="default"/>
              </w:rPr>
            </w:pPr>
          </w:p>
        </w:tc>
        <w:tc>
          <w:tcPr>
            <w:tcW w:w="826" w:type="pct"/>
            <w:vMerge w:val="continue"/>
            <w:tcBorders>
              <w:tl2br w:val="nil"/>
              <w:tr2bl w:val="nil"/>
            </w:tcBorders>
            <w:noWrap w:val="0"/>
            <w:vAlign w:val="center"/>
          </w:tcPr>
          <w:p w14:paraId="2A29CC83">
            <w:pPr>
              <w:pStyle w:val="31"/>
              <w:bidi w:val="0"/>
              <w:rPr>
                <w:rFonts w:hint="default"/>
              </w:rPr>
            </w:pPr>
          </w:p>
        </w:tc>
        <w:tc>
          <w:tcPr>
            <w:tcW w:w="913" w:type="pct"/>
            <w:tcBorders>
              <w:tl2br w:val="nil"/>
              <w:tr2bl w:val="nil"/>
            </w:tcBorders>
            <w:noWrap w:val="0"/>
            <w:vAlign w:val="center"/>
          </w:tcPr>
          <w:p w14:paraId="7E9161AF">
            <w:pPr>
              <w:pStyle w:val="31"/>
              <w:bidi w:val="0"/>
              <w:rPr>
                <w:rFonts w:hint="default"/>
              </w:rPr>
            </w:pPr>
            <w:r>
              <w:rPr>
                <w:rFonts w:hint="default"/>
              </w:rPr>
              <w:t>第二时段</w:t>
            </w:r>
          </w:p>
        </w:tc>
        <w:tc>
          <w:tcPr>
            <w:tcW w:w="828" w:type="pct"/>
            <w:tcBorders>
              <w:tl2br w:val="nil"/>
              <w:tr2bl w:val="nil"/>
            </w:tcBorders>
            <w:noWrap w:val="0"/>
            <w:vAlign w:val="center"/>
          </w:tcPr>
          <w:p w14:paraId="64D00A95">
            <w:pPr>
              <w:pStyle w:val="31"/>
              <w:bidi w:val="0"/>
              <w:rPr>
                <w:rFonts w:hint="default"/>
                <w:lang w:val="en-US" w:eastAsia="zh-CN"/>
              </w:rPr>
            </w:pPr>
            <w:r>
              <w:rPr>
                <w:rFonts w:hint="default"/>
                <w:lang w:val="en-US" w:eastAsia="zh-CN"/>
              </w:rPr>
              <w:t>0.45</w:t>
            </w:r>
          </w:p>
        </w:tc>
        <w:tc>
          <w:tcPr>
            <w:tcW w:w="821" w:type="pct"/>
            <w:vMerge w:val="continue"/>
            <w:tcBorders>
              <w:tl2br w:val="nil"/>
              <w:tr2bl w:val="nil"/>
            </w:tcBorders>
            <w:noWrap w:val="0"/>
            <w:vAlign w:val="center"/>
          </w:tcPr>
          <w:p w14:paraId="472530E5">
            <w:pPr>
              <w:pStyle w:val="31"/>
              <w:bidi w:val="0"/>
              <w:rPr>
                <w:rFonts w:hint="default"/>
                <w:lang w:val="en-US" w:eastAsia="zh-CN"/>
              </w:rPr>
            </w:pPr>
          </w:p>
        </w:tc>
      </w:tr>
      <w:tr w14:paraId="532E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0AFC5D1A">
            <w:pPr>
              <w:pStyle w:val="31"/>
              <w:bidi w:val="0"/>
              <w:rPr>
                <w:rFonts w:hint="default"/>
              </w:rPr>
            </w:pPr>
          </w:p>
        </w:tc>
        <w:tc>
          <w:tcPr>
            <w:tcW w:w="868" w:type="pct"/>
            <w:vMerge w:val="continue"/>
            <w:tcBorders>
              <w:tl2br w:val="nil"/>
              <w:tr2bl w:val="nil"/>
            </w:tcBorders>
            <w:noWrap w:val="0"/>
            <w:vAlign w:val="center"/>
          </w:tcPr>
          <w:p w14:paraId="4EEAA5D9">
            <w:pPr>
              <w:pStyle w:val="31"/>
              <w:bidi w:val="0"/>
              <w:rPr>
                <w:rFonts w:hint="default"/>
              </w:rPr>
            </w:pPr>
          </w:p>
        </w:tc>
        <w:tc>
          <w:tcPr>
            <w:tcW w:w="826" w:type="pct"/>
            <w:vMerge w:val="continue"/>
            <w:tcBorders>
              <w:tl2br w:val="nil"/>
              <w:tr2bl w:val="nil"/>
            </w:tcBorders>
            <w:noWrap w:val="0"/>
            <w:vAlign w:val="center"/>
          </w:tcPr>
          <w:p w14:paraId="4AAAEE7D">
            <w:pPr>
              <w:pStyle w:val="31"/>
              <w:bidi w:val="0"/>
              <w:rPr>
                <w:rFonts w:hint="default"/>
              </w:rPr>
            </w:pPr>
          </w:p>
        </w:tc>
        <w:tc>
          <w:tcPr>
            <w:tcW w:w="913" w:type="pct"/>
            <w:tcBorders>
              <w:tl2br w:val="nil"/>
              <w:tr2bl w:val="nil"/>
            </w:tcBorders>
            <w:noWrap w:val="0"/>
            <w:vAlign w:val="center"/>
          </w:tcPr>
          <w:p w14:paraId="73FC1821">
            <w:pPr>
              <w:pStyle w:val="31"/>
              <w:bidi w:val="0"/>
              <w:rPr>
                <w:rFonts w:hint="default"/>
              </w:rPr>
            </w:pPr>
            <w:r>
              <w:rPr>
                <w:rFonts w:hint="default"/>
              </w:rPr>
              <w:t>第三时段</w:t>
            </w:r>
          </w:p>
        </w:tc>
        <w:tc>
          <w:tcPr>
            <w:tcW w:w="828" w:type="pct"/>
            <w:tcBorders>
              <w:tl2br w:val="nil"/>
              <w:tr2bl w:val="nil"/>
            </w:tcBorders>
            <w:noWrap w:val="0"/>
            <w:vAlign w:val="center"/>
          </w:tcPr>
          <w:p w14:paraId="4A33DEBA">
            <w:pPr>
              <w:pStyle w:val="31"/>
              <w:bidi w:val="0"/>
              <w:rPr>
                <w:rFonts w:hint="default"/>
                <w:lang w:val="en-US" w:eastAsia="zh-CN"/>
              </w:rPr>
            </w:pPr>
            <w:r>
              <w:rPr>
                <w:rFonts w:hint="default"/>
                <w:lang w:val="en-US" w:eastAsia="zh-CN"/>
              </w:rPr>
              <w:t>0.44</w:t>
            </w:r>
          </w:p>
        </w:tc>
        <w:tc>
          <w:tcPr>
            <w:tcW w:w="821" w:type="pct"/>
            <w:vMerge w:val="continue"/>
            <w:tcBorders>
              <w:tl2br w:val="nil"/>
              <w:tr2bl w:val="nil"/>
            </w:tcBorders>
            <w:noWrap w:val="0"/>
            <w:vAlign w:val="center"/>
          </w:tcPr>
          <w:p w14:paraId="1F3F5E39">
            <w:pPr>
              <w:pStyle w:val="31"/>
              <w:bidi w:val="0"/>
              <w:rPr>
                <w:rFonts w:hint="default"/>
                <w:lang w:val="en-US" w:eastAsia="zh-CN"/>
              </w:rPr>
            </w:pPr>
          </w:p>
        </w:tc>
      </w:tr>
      <w:tr w14:paraId="634B2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7F77BCE2">
            <w:pPr>
              <w:pStyle w:val="31"/>
              <w:bidi w:val="0"/>
              <w:rPr>
                <w:rFonts w:hint="default"/>
                <w:lang w:val="en-US" w:eastAsia="zh-CN"/>
              </w:rPr>
            </w:pPr>
          </w:p>
        </w:tc>
        <w:tc>
          <w:tcPr>
            <w:tcW w:w="868" w:type="pct"/>
            <w:vMerge w:val="restart"/>
            <w:tcBorders>
              <w:tl2br w:val="nil"/>
              <w:tr2bl w:val="nil"/>
            </w:tcBorders>
            <w:noWrap w:val="0"/>
            <w:vAlign w:val="center"/>
          </w:tcPr>
          <w:p w14:paraId="398A7221">
            <w:pPr>
              <w:pStyle w:val="31"/>
              <w:bidi w:val="0"/>
              <w:rPr>
                <w:rFonts w:hint="default"/>
                <w:lang w:val="en-US" w:eastAsia="zh-CN"/>
              </w:rPr>
            </w:pPr>
            <w:r>
              <w:rPr>
                <w:rFonts w:hint="default"/>
                <w:lang w:val="en-US" w:eastAsia="zh-CN"/>
              </w:rPr>
              <w:t>厂界北侧10m处○4#</w:t>
            </w:r>
          </w:p>
        </w:tc>
        <w:tc>
          <w:tcPr>
            <w:tcW w:w="826" w:type="pct"/>
            <w:vMerge w:val="restart"/>
            <w:tcBorders>
              <w:tl2br w:val="nil"/>
              <w:tr2bl w:val="nil"/>
            </w:tcBorders>
            <w:noWrap w:val="0"/>
            <w:vAlign w:val="center"/>
          </w:tcPr>
          <w:p w14:paraId="151822F7">
            <w:pPr>
              <w:pStyle w:val="31"/>
              <w:bidi w:val="0"/>
              <w:rPr>
                <w:rFonts w:hint="default"/>
                <w:lang w:val="en-US" w:eastAsia="zh-CN"/>
              </w:rPr>
            </w:pPr>
            <w:r>
              <w:rPr>
                <w:rFonts w:hint="default"/>
                <w:lang w:val="en-US" w:eastAsia="zh-CN"/>
              </w:rPr>
              <w:t>甲苯</w:t>
            </w:r>
          </w:p>
        </w:tc>
        <w:tc>
          <w:tcPr>
            <w:tcW w:w="913" w:type="pct"/>
            <w:tcBorders>
              <w:tl2br w:val="nil"/>
              <w:tr2bl w:val="nil"/>
            </w:tcBorders>
            <w:noWrap w:val="0"/>
            <w:vAlign w:val="center"/>
          </w:tcPr>
          <w:p w14:paraId="1DA67901">
            <w:pPr>
              <w:pStyle w:val="31"/>
              <w:bidi w:val="0"/>
              <w:rPr>
                <w:rFonts w:hint="default"/>
              </w:rPr>
            </w:pPr>
            <w:r>
              <w:rPr>
                <w:rFonts w:hint="default"/>
              </w:rPr>
              <w:t>第一时段</w:t>
            </w:r>
          </w:p>
        </w:tc>
        <w:tc>
          <w:tcPr>
            <w:tcW w:w="828" w:type="pct"/>
            <w:tcBorders>
              <w:tl2br w:val="nil"/>
              <w:tr2bl w:val="nil"/>
            </w:tcBorders>
            <w:noWrap w:val="0"/>
            <w:vAlign w:val="center"/>
          </w:tcPr>
          <w:p w14:paraId="080F13BB">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5416FBFA">
            <w:pPr>
              <w:pStyle w:val="31"/>
              <w:bidi w:val="0"/>
              <w:rPr>
                <w:rFonts w:hint="default"/>
                <w:lang w:val="en-US" w:eastAsia="zh-CN"/>
              </w:rPr>
            </w:pPr>
            <w:r>
              <w:rPr>
                <w:rFonts w:hint="default"/>
                <w:lang w:val="en-US" w:eastAsia="zh-CN"/>
              </w:rPr>
              <w:t>2.4</w:t>
            </w:r>
          </w:p>
        </w:tc>
      </w:tr>
      <w:tr w14:paraId="138AC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41BA1E58">
            <w:pPr>
              <w:pStyle w:val="31"/>
              <w:bidi w:val="0"/>
              <w:rPr>
                <w:rFonts w:hint="default"/>
              </w:rPr>
            </w:pPr>
          </w:p>
        </w:tc>
        <w:tc>
          <w:tcPr>
            <w:tcW w:w="868" w:type="pct"/>
            <w:vMerge w:val="continue"/>
            <w:tcBorders>
              <w:tl2br w:val="nil"/>
              <w:tr2bl w:val="nil"/>
            </w:tcBorders>
            <w:noWrap w:val="0"/>
            <w:vAlign w:val="center"/>
          </w:tcPr>
          <w:p w14:paraId="3804DBA0">
            <w:pPr>
              <w:pStyle w:val="31"/>
              <w:bidi w:val="0"/>
              <w:rPr>
                <w:rFonts w:hint="default"/>
              </w:rPr>
            </w:pPr>
          </w:p>
        </w:tc>
        <w:tc>
          <w:tcPr>
            <w:tcW w:w="826" w:type="pct"/>
            <w:vMerge w:val="continue"/>
            <w:tcBorders>
              <w:tl2br w:val="nil"/>
              <w:tr2bl w:val="nil"/>
            </w:tcBorders>
            <w:noWrap w:val="0"/>
            <w:vAlign w:val="center"/>
          </w:tcPr>
          <w:p w14:paraId="098FAEE8">
            <w:pPr>
              <w:pStyle w:val="31"/>
              <w:bidi w:val="0"/>
              <w:rPr>
                <w:rFonts w:hint="default"/>
              </w:rPr>
            </w:pPr>
          </w:p>
        </w:tc>
        <w:tc>
          <w:tcPr>
            <w:tcW w:w="913" w:type="pct"/>
            <w:tcBorders>
              <w:tl2br w:val="nil"/>
              <w:tr2bl w:val="nil"/>
            </w:tcBorders>
            <w:noWrap w:val="0"/>
            <w:vAlign w:val="center"/>
          </w:tcPr>
          <w:p w14:paraId="724114C7">
            <w:pPr>
              <w:pStyle w:val="31"/>
              <w:bidi w:val="0"/>
              <w:rPr>
                <w:rFonts w:hint="default"/>
              </w:rPr>
            </w:pPr>
            <w:r>
              <w:rPr>
                <w:rFonts w:hint="default"/>
              </w:rPr>
              <w:t>第二时段</w:t>
            </w:r>
          </w:p>
        </w:tc>
        <w:tc>
          <w:tcPr>
            <w:tcW w:w="828" w:type="pct"/>
            <w:tcBorders>
              <w:tl2br w:val="nil"/>
              <w:tr2bl w:val="nil"/>
            </w:tcBorders>
            <w:noWrap w:val="0"/>
            <w:vAlign w:val="center"/>
          </w:tcPr>
          <w:p w14:paraId="4C8CA353">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2244003">
            <w:pPr>
              <w:pStyle w:val="31"/>
              <w:bidi w:val="0"/>
              <w:rPr>
                <w:rFonts w:hint="default"/>
              </w:rPr>
            </w:pPr>
          </w:p>
        </w:tc>
      </w:tr>
      <w:tr w14:paraId="419AA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17949C6E">
            <w:pPr>
              <w:pStyle w:val="31"/>
              <w:bidi w:val="0"/>
              <w:rPr>
                <w:rFonts w:hint="default"/>
              </w:rPr>
            </w:pPr>
          </w:p>
        </w:tc>
        <w:tc>
          <w:tcPr>
            <w:tcW w:w="868" w:type="pct"/>
            <w:vMerge w:val="continue"/>
            <w:tcBorders>
              <w:tl2br w:val="nil"/>
              <w:tr2bl w:val="nil"/>
            </w:tcBorders>
            <w:noWrap w:val="0"/>
            <w:vAlign w:val="center"/>
          </w:tcPr>
          <w:p w14:paraId="4DC506AB">
            <w:pPr>
              <w:pStyle w:val="31"/>
              <w:bidi w:val="0"/>
              <w:rPr>
                <w:rFonts w:hint="default"/>
              </w:rPr>
            </w:pPr>
          </w:p>
        </w:tc>
        <w:tc>
          <w:tcPr>
            <w:tcW w:w="826" w:type="pct"/>
            <w:vMerge w:val="continue"/>
            <w:tcBorders>
              <w:tl2br w:val="nil"/>
              <w:tr2bl w:val="nil"/>
            </w:tcBorders>
            <w:noWrap w:val="0"/>
            <w:vAlign w:val="center"/>
          </w:tcPr>
          <w:p w14:paraId="065607B8">
            <w:pPr>
              <w:pStyle w:val="31"/>
              <w:bidi w:val="0"/>
              <w:rPr>
                <w:rFonts w:hint="default"/>
              </w:rPr>
            </w:pPr>
          </w:p>
        </w:tc>
        <w:tc>
          <w:tcPr>
            <w:tcW w:w="913" w:type="pct"/>
            <w:tcBorders>
              <w:tl2br w:val="nil"/>
              <w:tr2bl w:val="nil"/>
            </w:tcBorders>
            <w:noWrap w:val="0"/>
            <w:vAlign w:val="center"/>
          </w:tcPr>
          <w:p w14:paraId="0A5CB552">
            <w:pPr>
              <w:pStyle w:val="31"/>
              <w:bidi w:val="0"/>
              <w:rPr>
                <w:rFonts w:hint="default"/>
              </w:rPr>
            </w:pPr>
            <w:r>
              <w:rPr>
                <w:rFonts w:hint="default"/>
              </w:rPr>
              <w:t>第三时段</w:t>
            </w:r>
          </w:p>
        </w:tc>
        <w:tc>
          <w:tcPr>
            <w:tcW w:w="828" w:type="pct"/>
            <w:tcBorders>
              <w:tl2br w:val="nil"/>
              <w:tr2bl w:val="nil"/>
            </w:tcBorders>
            <w:noWrap w:val="0"/>
            <w:vAlign w:val="center"/>
          </w:tcPr>
          <w:p w14:paraId="0B97C5FF">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70EF4090">
            <w:pPr>
              <w:pStyle w:val="31"/>
              <w:bidi w:val="0"/>
              <w:rPr>
                <w:rFonts w:hint="default"/>
              </w:rPr>
            </w:pPr>
          </w:p>
        </w:tc>
      </w:tr>
      <w:tr w14:paraId="629A4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AA79CBD">
            <w:pPr>
              <w:pStyle w:val="31"/>
              <w:bidi w:val="0"/>
              <w:rPr>
                <w:rFonts w:hint="default"/>
              </w:rPr>
            </w:pPr>
          </w:p>
        </w:tc>
        <w:tc>
          <w:tcPr>
            <w:tcW w:w="868" w:type="pct"/>
            <w:vMerge w:val="continue"/>
            <w:tcBorders>
              <w:tl2br w:val="nil"/>
              <w:tr2bl w:val="nil"/>
            </w:tcBorders>
            <w:noWrap w:val="0"/>
            <w:vAlign w:val="center"/>
          </w:tcPr>
          <w:p w14:paraId="63F45A16">
            <w:pPr>
              <w:pStyle w:val="31"/>
              <w:bidi w:val="0"/>
              <w:rPr>
                <w:rFonts w:hint="default"/>
              </w:rPr>
            </w:pPr>
          </w:p>
        </w:tc>
        <w:tc>
          <w:tcPr>
            <w:tcW w:w="826" w:type="pct"/>
            <w:vMerge w:val="restart"/>
            <w:tcBorders>
              <w:tl2br w:val="nil"/>
              <w:tr2bl w:val="nil"/>
            </w:tcBorders>
            <w:noWrap w:val="0"/>
            <w:vAlign w:val="center"/>
          </w:tcPr>
          <w:p w14:paraId="5CF71E8D">
            <w:pPr>
              <w:pStyle w:val="31"/>
              <w:bidi w:val="0"/>
              <w:rPr>
                <w:rFonts w:hint="default"/>
                <w:lang w:val="en-US" w:eastAsia="zh-CN"/>
              </w:rPr>
            </w:pPr>
            <w:r>
              <w:rPr>
                <w:rFonts w:hint="default"/>
                <w:lang w:val="en-US" w:eastAsia="zh-CN"/>
              </w:rPr>
              <w:t>二甲苯</w:t>
            </w:r>
          </w:p>
        </w:tc>
        <w:tc>
          <w:tcPr>
            <w:tcW w:w="913" w:type="pct"/>
            <w:tcBorders>
              <w:tl2br w:val="nil"/>
              <w:tr2bl w:val="nil"/>
            </w:tcBorders>
            <w:noWrap w:val="0"/>
            <w:vAlign w:val="center"/>
          </w:tcPr>
          <w:p w14:paraId="16D216A0">
            <w:pPr>
              <w:pStyle w:val="31"/>
              <w:bidi w:val="0"/>
              <w:rPr>
                <w:rFonts w:hint="default"/>
              </w:rPr>
            </w:pPr>
            <w:r>
              <w:rPr>
                <w:rFonts w:hint="default"/>
              </w:rPr>
              <w:t>第一时段</w:t>
            </w:r>
          </w:p>
        </w:tc>
        <w:tc>
          <w:tcPr>
            <w:tcW w:w="828" w:type="pct"/>
            <w:tcBorders>
              <w:tl2br w:val="nil"/>
              <w:tr2bl w:val="nil"/>
            </w:tcBorders>
            <w:noWrap w:val="0"/>
            <w:vAlign w:val="center"/>
          </w:tcPr>
          <w:p w14:paraId="743425F2">
            <w:pPr>
              <w:pStyle w:val="31"/>
              <w:bidi w:val="0"/>
              <w:rPr>
                <w:rFonts w:hint="default"/>
              </w:rPr>
            </w:pPr>
            <w:r>
              <w:rPr>
                <w:rFonts w:hint="default"/>
                <w:lang w:val="en-US" w:eastAsia="zh-CN"/>
              </w:rPr>
              <w:t>ND</w:t>
            </w:r>
          </w:p>
        </w:tc>
        <w:tc>
          <w:tcPr>
            <w:tcW w:w="821" w:type="pct"/>
            <w:vMerge w:val="restart"/>
            <w:tcBorders>
              <w:tl2br w:val="nil"/>
              <w:tr2bl w:val="nil"/>
            </w:tcBorders>
            <w:noWrap w:val="0"/>
            <w:vAlign w:val="center"/>
          </w:tcPr>
          <w:p w14:paraId="24280C29">
            <w:pPr>
              <w:pStyle w:val="31"/>
              <w:bidi w:val="0"/>
              <w:rPr>
                <w:rFonts w:hint="default"/>
                <w:lang w:val="en-US" w:eastAsia="zh-CN"/>
              </w:rPr>
            </w:pPr>
            <w:r>
              <w:rPr>
                <w:rFonts w:hint="default"/>
                <w:lang w:val="en-US" w:eastAsia="zh-CN"/>
              </w:rPr>
              <w:t>1.2</w:t>
            </w:r>
          </w:p>
        </w:tc>
      </w:tr>
      <w:tr w14:paraId="5BE9E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C781482">
            <w:pPr>
              <w:pStyle w:val="31"/>
              <w:bidi w:val="0"/>
              <w:rPr>
                <w:rFonts w:hint="default"/>
              </w:rPr>
            </w:pPr>
          </w:p>
        </w:tc>
        <w:tc>
          <w:tcPr>
            <w:tcW w:w="868" w:type="pct"/>
            <w:vMerge w:val="continue"/>
            <w:tcBorders>
              <w:tl2br w:val="nil"/>
              <w:tr2bl w:val="nil"/>
            </w:tcBorders>
            <w:noWrap w:val="0"/>
            <w:vAlign w:val="center"/>
          </w:tcPr>
          <w:p w14:paraId="35B037DD">
            <w:pPr>
              <w:pStyle w:val="31"/>
              <w:bidi w:val="0"/>
              <w:rPr>
                <w:rFonts w:hint="default"/>
              </w:rPr>
            </w:pPr>
          </w:p>
        </w:tc>
        <w:tc>
          <w:tcPr>
            <w:tcW w:w="826" w:type="pct"/>
            <w:vMerge w:val="continue"/>
            <w:tcBorders>
              <w:tl2br w:val="nil"/>
              <w:tr2bl w:val="nil"/>
            </w:tcBorders>
            <w:noWrap w:val="0"/>
            <w:vAlign w:val="center"/>
          </w:tcPr>
          <w:p w14:paraId="750DEC40">
            <w:pPr>
              <w:pStyle w:val="31"/>
              <w:bidi w:val="0"/>
              <w:rPr>
                <w:rFonts w:hint="default"/>
              </w:rPr>
            </w:pPr>
          </w:p>
        </w:tc>
        <w:tc>
          <w:tcPr>
            <w:tcW w:w="913" w:type="pct"/>
            <w:tcBorders>
              <w:tl2br w:val="nil"/>
              <w:tr2bl w:val="nil"/>
            </w:tcBorders>
            <w:noWrap w:val="0"/>
            <w:vAlign w:val="center"/>
          </w:tcPr>
          <w:p w14:paraId="37941B5E">
            <w:pPr>
              <w:pStyle w:val="31"/>
              <w:bidi w:val="0"/>
              <w:rPr>
                <w:rFonts w:hint="default"/>
              </w:rPr>
            </w:pPr>
            <w:r>
              <w:rPr>
                <w:rFonts w:hint="default"/>
              </w:rPr>
              <w:t>第二时段</w:t>
            </w:r>
          </w:p>
        </w:tc>
        <w:tc>
          <w:tcPr>
            <w:tcW w:w="828" w:type="pct"/>
            <w:tcBorders>
              <w:tl2br w:val="nil"/>
              <w:tr2bl w:val="nil"/>
            </w:tcBorders>
            <w:noWrap w:val="0"/>
            <w:vAlign w:val="center"/>
          </w:tcPr>
          <w:p w14:paraId="1B36C7DC">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42A6CDDD">
            <w:pPr>
              <w:pStyle w:val="31"/>
              <w:bidi w:val="0"/>
              <w:rPr>
                <w:rFonts w:hint="default"/>
              </w:rPr>
            </w:pPr>
          </w:p>
        </w:tc>
      </w:tr>
      <w:tr w14:paraId="020E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jc w:val="center"/>
        </w:trPr>
        <w:tc>
          <w:tcPr>
            <w:tcW w:w="741" w:type="pct"/>
            <w:vMerge w:val="continue"/>
            <w:tcBorders>
              <w:tl2br w:val="nil"/>
              <w:tr2bl w:val="nil"/>
            </w:tcBorders>
            <w:noWrap w:val="0"/>
            <w:vAlign w:val="center"/>
          </w:tcPr>
          <w:p w14:paraId="7E658CAD">
            <w:pPr>
              <w:pStyle w:val="31"/>
              <w:bidi w:val="0"/>
              <w:rPr>
                <w:rFonts w:hint="default"/>
              </w:rPr>
            </w:pPr>
          </w:p>
        </w:tc>
        <w:tc>
          <w:tcPr>
            <w:tcW w:w="868" w:type="pct"/>
            <w:vMerge w:val="continue"/>
            <w:tcBorders>
              <w:tl2br w:val="nil"/>
              <w:tr2bl w:val="nil"/>
            </w:tcBorders>
            <w:noWrap w:val="0"/>
            <w:vAlign w:val="center"/>
          </w:tcPr>
          <w:p w14:paraId="36E2B375">
            <w:pPr>
              <w:pStyle w:val="31"/>
              <w:bidi w:val="0"/>
              <w:rPr>
                <w:rFonts w:hint="default"/>
              </w:rPr>
            </w:pPr>
          </w:p>
        </w:tc>
        <w:tc>
          <w:tcPr>
            <w:tcW w:w="826" w:type="pct"/>
            <w:vMerge w:val="continue"/>
            <w:tcBorders>
              <w:tl2br w:val="nil"/>
              <w:tr2bl w:val="nil"/>
            </w:tcBorders>
            <w:noWrap w:val="0"/>
            <w:vAlign w:val="center"/>
          </w:tcPr>
          <w:p w14:paraId="32260436">
            <w:pPr>
              <w:pStyle w:val="31"/>
              <w:bidi w:val="0"/>
              <w:rPr>
                <w:rFonts w:hint="default"/>
              </w:rPr>
            </w:pPr>
          </w:p>
        </w:tc>
        <w:tc>
          <w:tcPr>
            <w:tcW w:w="913" w:type="pct"/>
            <w:tcBorders>
              <w:tl2br w:val="nil"/>
              <w:tr2bl w:val="nil"/>
            </w:tcBorders>
            <w:noWrap w:val="0"/>
            <w:vAlign w:val="center"/>
          </w:tcPr>
          <w:p w14:paraId="61B17588">
            <w:pPr>
              <w:pStyle w:val="31"/>
              <w:bidi w:val="0"/>
              <w:rPr>
                <w:rFonts w:hint="default"/>
              </w:rPr>
            </w:pPr>
            <w:r>
              <w:rPr>
                <w:rFonts w:hint="default"/>
              </w:rPr>
              <w:t>第三时段</w:t>
            </w:r>
          </w:p>
        </w:tc>
        <w:tc>
          <w:tcPr>
            <w:tcW w:w="828" w:type="pct"/>
            <w:tcBorders>
              <w:tl2br w:val="nil"/>
              <w:tr2bl w:val="nil"/>
            </w:tcBorders>
            <w:noWrap w:val="0"/>
            <w:vAlign w:val="center"/>
          </w:tcPr>
          <w:p w14:paraId="46C0A869">
            <w:pPr>
              <w:pStyle w:val="31"/>
              <w:bidi w:val="0"/>
              <w:rPr>
                <w:rFonts w:hint="default"/>
              </w:rPr>
            </w:pPr>
            <w:r>
              <w:rPr>
                <w:rFonts w:hint="default"/>
                <w:lang w:val="en-US" w:eastAsia="zh-CN"/>
              </w:rPr>
              <w:t>ND</w:t>
            </w:r>
          </w:p>
        </w:tc>
        <w:tc>
          <w:tcPr>
            <w:tcW w:w="821" w:type="pct"/>
            <w:vMerge w:val="continue"/>
            <w:tcBorders>
              <w:tl2br w:val="nil"/>
              <w:tr2bl w:val="nil"/>
            </w:tcBorders>
            <w:noWrap w:val="0"/>
            <w:vAlign w:val="center"/>
          </w:tcPr>
          <w:p w14:paraId="216D56DA">
            <w:pPr>
              <w:pStyle w:val="31"/>
              <w:bidi w:val="0"/>
              <w:rPr>
                <w:rFonts w:hint="default"/>
              </w:rPr>
            </w:pPr>
          </w:p>
        </w:tc>
      </w:tr>
      <w:tr w14:paraId="6EE6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5B3651C3">
            <w:pPr>
              <w:pStyle w:val="31"/>
              <w:bidi w:val="0"/>
              <w:rPr>
                <w:rFonts w:hint="default"/>
              </w:rPr>
            </w:pPr>
          </w:p>
        </w:tc>
        <w:tc>
          <w:tcPr>
            <w:tcW w:w="868" w:type="pct"/>
            <w:vMerge w:val="continue"/>
            <w:tcBorders>
              <w:tl2br w:val="nil"/>
              <w:tr2bl w:val="nil"/>
            </w:tcBorders>
            <w:noWrap w:val="0"/>
            <w:vAlign w:val="center"/>
          </w:tcPr>
          <w:p w14:paraId="6DE78D73">
            <w:pPr>
              <w:pStyle w:val="31"/>
              <w:bidi w:val="0"/>
              <w:rPr>
                <w:rFonts w:hint="default"/>
              </w:rPr>
            </w:pPr>
          </w:p>
        </w:tc>
        <w:tc>
          <w:tcPr>
            <w:tcW w:w="826" w:type="pct"/>
            <w:vMerge w:val="restart"/>
            <w:tcBorders>
              <w:tl2br w:val="nil"/>
              <w:tr2bl w:val="nil"/>
            </w:tcBorders>
            <w:noWrap w:val="0"/>
            <w:vAlign w:val="center"/>
          </w:tcPr>
          <w:p w14:paraId="416B93C9">
            <w:pPr>
              <w:pStyle w:val="31"/>
              <w:bidi w:val="0"/>
              <w:rPr>
                <w:rFonts w:hint="default"/>
                <w:lang w:val="en-US" w:eastAsia="zh-CN"/>
              </w:rPr>
            </w:pPr>
            <w:r>
              <w:rPr>
                <w:rFonts w:hint="default"/>
                <w:lang w:val="en-US" w:eastAsia="zh-CN"/>
              </w:rPr>
              <w:t>TSP</w:t>
            </w:r>
          </w:p>
        </w:tc>
        <w:tc>
          <w:tcPr>
            <w:tcW w:w="913" w:type="pct"/>
            <w:tcBorders>
              <w:tl2br w:val="nil"/>
              <w:tr2bl w:val="nil"/>
            </w:tcBorders>
            <w:noWrap w:val="0"/>
            <w:vAlign w:val="center"/>
          </w:tcPr>
          <w:p w14:paraId="48CA9579">
            <w:pPr>
              <w:pStyle w:val="31"/>
              <w:bidi w:val="0"/>
              <w:rPr>
                <w:rFonts w:hint="default"/>
              </w:rPr>
            </w:pPr>
            <w:r>
              <w:rPr>
                <w:rFonts w:hint="default"/>
              </w:rPr>
              <w:t>第一时段</w:t>
            </w:r>
          </w:p>
        </w:tc>
        <w:tc>
          <w:tcPr>
            <w:tcW w:w="828" w:type="pct"/>
            <w:tcBorders>
              <w:tl2br w:val="nil"/>
              <w:tr2bl w:val="nil"/>
            </w:tcBorders>
            <w:noWrap w:val="0"/>
            <w:vAlign w:val="center"/>
          </w:tcPr>
          <w:p w14:paraId="3E934DCB">
            <w:pPr>
              <w:pStyle w:val="31"/>
              <w:bidi w:val="0"/>
              <w:rPr>
                <w:rFonts w:hint="default"/>
                <w:lang w:val="en-US" w:eastAsia="zh-CN"/>
              </w:rPr>
            </w:pPr>
            <w:r>
              <w:rPr>
                <w:rFonts w:hint="default"/>
                <w:lang w:val="en-US" w:eastAsia="zh-CN"/>
              </w:rPr>
              <w:t>0.188</w:t>
            </w:r>
          </w:p>
        </w:tc>
        <w:tc>
          <w:tcPr>
            <w:tcW w:w="821" w:type="pct"/>
            <w:vMerge w:val="restart"/>
            <w:tcBorders>
              <w:tl2br w:val="nil"/>
              <w:tr2bl w:val="nil"/>
            </w:tcBorders>
            <w:noWrap w:val="0"/>
            <w:vAlign w:val="center"/>
          </w:tcPr>
          <w:p w14:paraId="59E8A91C">
            <w:pPr>
              <w:pStyle w:val="31"/>
              <w:bidi w:val="0"/>
              <w:rPr>
                <w:rFonts w:hint="default"/>
                <w:lang w:val="en-US" w:eastAsia="zh-CN"/>
              </w:rPr>
            </w:pPr>
            <w:r>
              <w:rPr>
                <w:rFonts w:hint="default"/>
                <w:lang w:val="en-US" w:eastAsia="zh-CN"/>
              </w:rPr>
              <w:t>1.0</w:t>
            </w:r>
          </w:p>
        </w:tc>
      </w:tr>
      <w:tr w14:paraId="031E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FC63959">
            <w:pPr>
              <w:pStyle w:val="31"/>
              <w:bidi w:val="0"/>
              <w:rPr>
                <w:rFonts w:hint="default"/>
              </w:rPr>
            </w:pPr>
          </w:p>
        </w:tc>
        <w:tc>
          <w:tcPr>
            <w:tcW w:w="868" w:type="pct"/>
            <w:vMerge w:val="continue"/>
            <w:tcBorders>
              <w:tl2br w:val="nil"/>
              <w:tr2bl w:val="nil"/>
            </w:tcBorders>
            <w:noWrap w:val="0"/>
            <w:vAlign w:val="center"/>
          </w:tcPr>
          <w:p w14:paraId="29CD21D3">
            <w:pPr>
              <w:pStyle w:val="31"/>
              <w:bidi w:val="0"/>
              <w:rPr>
                <w:rFonts w:hint="default"/>
              </w:rPr>
            </w:pPr>
          </w:p>
        </w:tc>
        <w:tc>
          <w:tcPr>
            <w:tcW w:w="826" w:type="pct"/>
            <w:vMerge w:val="continue"/>
            <w:tcBorders>
              <w:tl2br w:val="nil"/>
              <w:tr2bl w:val="nil"/>
            </w:tcBorders>
            <w:noWrap w:val="0"/>
            <w:vAlign w:val="center"/>
          </w:tcPr>
          <w:p w14:paraId="55F51A79">
            <w:pPr>
              <w:pStyle w:val="31"/>
              <w:bidi w:val="0"/>
              <w:rPr>
                <w:rFonts w:hint="default"/>
              </w:rPr>
            </w:pPr>
          </w:p>
        </w:tc>
        <w:tc>
          <w:tcPr>
            <w:tcW w:w="913" w:type="pct"/>
            <w:tcBorders>
              <w:tl2br w:val="nil"/>
              <w:tr2bl w:val="nil"/>
            </w:tcBorders>
            <w:noWrap w:val="0"/>
            <w:vAlign w:val="center"/>
          </w:tcPr>
          <w:p w14:paraId="22ECA4CB">
            <w:pPr>
              <w:pStyle w:val="31"/>
              <w:bidi w:val="0"/>
              <w:rPr>
                <w:rFonts w:hint="default"/>
              </w:rPr>
            </w:pPr>
            <w:r>
              <w:rPr>
                <w:rFonts w:hint="default"/>
              </w:rPr>
              <w:t>第二时段</w:t>
            </w:r>
          </w:p>
        </w:tc>
        <w:tc>
          <w:tcPr>
            <w:tcW w:w="828" w:type="pct"/>
            <w:tcBorders>
              <w:tl2br w:val="nil"/>
              <w:tr2bl w:val="nil"/>
            </w:tcBorders>
            <w:noWrap w:val="0"/>
            <w:vAlign w:val="center"/>
          </w:tcPr>
          <w:p w14:paraId="38EAF7D0">
            <w:pPr>
              <w:pStyle w:val="31"/>
              <w:bidi w:val="0"/>
              <w:rPr>
                <w:rFonts w:hint="default"/>
                <w:lang w:val="en-US" w:eastAsia="zh-CN"/>
              </w:rPr>
            </w:pPr>
            <w:r>
              <w:rPr>
                <w:rFonts w:hint="default"/>
                <w:lang w:val="en-US" w:eastAsia="zh-CN"/>
              </w:rPr>
              <w:t>0.172</w:t>
            </w:r>
          </w:p>
        </w:tc>
        <w:tc>
          <w:tcPr>
            <w:tcW w:w="821" w:type="pct"/>
            <w:vMerge w:val="continue"/>
            <w:tcBorders>
              <w:tl2br w:val="nil"/>
              <w:tr2bl w:val="nil"/>
            </w:tcBorders>
            <w:noWrap w:val="0"/>
            <w:vAlign w:val="center"/>
          </w:tcPr>
          <w:p w14:paraId="39BF26CB">
            <w:pPr>
              <w:pStyle w:val="31"/>
              <w:bidi w:val="0"/>
              <w:rPr>
                <w:rFonts w:hint="default"/>
                <w:lang w:val="en-US" w:eastAsia="zh-CN"/>
              </w:rPr>
            </w:pPr>
          </w:p>
        </w:tc>
      </w:tr>
      <w:tr w14:paraId="2656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25E925C3">
            <w:pPr>
              <w:pStyle w:val="31"/>
              <w:bidi w:val="0"/>
              <w:rPr>
                <w:rFonts w:hint="default"/>
              </w:rPr>
            </w:pPr>
          </w:p>
        </w:tc>
        <w:tc>
          <w:tcPr>
            <w:tcW w:w="868" w:type="pct"/>
            <w:vMerge w:val="continue"/>
            <w:tcBorders>
              <w:tl2br w:val="nil"/>
              <w:tr2bl w:val="nil"/>
            </w:tcBorders>
            <w:noWrap w:val="0"/>
            <w:vAlign w:val="center"/>
          </w:tcPr>
          <w:p w14:paraId="693D5FA2">
            <w:pPr>
              <w:pStyle w:val="31"/>
              <w:bidi w:val="0"/>
              <w:rPr>
                <w:rFonts w:hint="default"/>
              </w:rPr>
            </w:pPr>
          </w:p>
        </w:tc>
        <w:tc>
          <w:tcPr>
            <w:tcW w:w="826" w:type="pct"/>
            <w:vMerge w:val="continue"/>
            <w:tcBorders>
              <w:tl2br w:val="nil"/>
              <w:tr2bl w:val="nil"/>
            </w:tcBorders>
            <w:noWrap w:val="0"/>
            <w:vAlign w:val="center"/>
          </w:tcPr>
          <w:p w14:paraId="434D06BB">
            <w:pPr>
              <w:pStyle w:val="31"/>
              <w:bidi w:val="0"/>
              <w:rPr>
                <w:rFonts w:hint="default"/>
              </w:rPr>
            </w:pPr>
          </w:p>
        </w:tc>
        <w:tc>
          <w:tcPr>
            <w:tcW w:w="913" w:type="pct"/>
            <w:tcBorders>
              <w:tl2br w:val="nil"/>
              <w:tr2bl w:val="nil"/>
            </w:tcBorders>
            <w:noWrap w:val="0"/>
            <w:vAlign w:val="center"/>
          </w:tcPr>
          <w:p w14:paraId="7971FADE">
            <w:pPr>
              <w:pStyle w:val="31"/>
              <w:bidi w:val="0"/>
              <w:rPr>
                <w:rFonts w:hint="default"/>
              </w:rPr>
            </w:pPr>
            <w:r>
              <w:rPr>
                <w:rFonts w:hint="default"/>
              </w:rPr>
              <w:t>第三时段</w:t>
            </w:r>
          </w:p>
        </w:tc>
        <w:tc>
          <w:tcPr>
            <w:tcW w:w="828" w:type="pct"/>
            <w:tcBorders>
              <w:tl2br w:val="nil"/>
              <w:tr2bl w:val="nil"/>
            </w:tcBorders>
            <w:noWrap w:val="0"/>
            <w:vAlign w:val="center"/>
          </w:tcPr>
          <w:p w14:paraId="05EC2B4F">
            <w:pPr>
              <w:pStyle w:val="31"/>
              <w:bidi w:val="0"/>
              <w:rPr>
                <w:rFonts w:hint="default"/>
                <w:lang w:val="en-US" w:eastAsia="zh-CN"/>
              </w:rPr>
            </w:pPr>
            <w:r>
              <w:rPr>
                <w:rFonts w:hint="default"/>
                <w:lang w:val="en-US" w:eastAsia="zh-CN"/>
              </w:rPr>
              <w:t>0.160</w:t>
            </w:r>
          </w:p>
        </w:tc>
        <w:tc>
          <w:tcPr>
            <w:tcW w:w="821" w:type="pct"/>
            <w:vMerge w:val="continue"/>
            <w:tcBorders>
              <w:tl2br w:val="nil"/>
              <w:tr2bl w:val="nil"/>
            </w:tcBorders>
            <w:noWrap w:val="0"/>
            <w:vAlign w:val="center"/>
          </w:tcPr>
          <w:p w14:paraId="2FB153B8">
            <w:pPr>
              <w:pStyle w:val="31"/>
              <w:bidi w:val="0"/>
              <w:rPr>
                <w:rFonts w:hint="default"/>
                <w:lang w:val="en-US" w:eastAsia="zh-CN"/>
              </w:rPr>
            </w:pPr>
          </w:p>
        </w:tc>
      </w:tr>
      <w:tr w14:paraId="09E9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683C28F">
            <w:pPr>
              <w:pStyle w:val="31"/>
              <w:bidi w:val="0"/>
              <w:rPr>
                <w:rFonts w:hint="default"/>
              </w:rPr>
            </w:pPr>
          </w:p>
        </w:tc>
        <w:tc>
          <w:tcPr>
            <w:tcW w:w="868" w:type="pct"/>
            <w:vMerge w:val="continue"/>
            <w:tcBorders>
              <w:tl2br w:val="nil"/>
              <w:tr2bl w:val="nil"/>
            </w:tcBorders>
            <w:noWrap w:val="0"/>
            <w:vAlign w:val="center"/>
          </w:tcPr>
          <w:p w14:paraId="5969EB3C">
            <w:pPr>
              <w:pStyle w:val="31"/>
              <w:bidi w:val="0"/>
              <w:rPr>
                <w:rFonts w:hint="default"/>
              </w:rPr>
            </w:pPr>
          </w:p>
        </w:tc>
        <w:tc>
          <w:tcPr>
            <w:tcW w:w="826" w:type="pct"/>
            <w:vMerge w:val="restart"/>
            <w:tcBorders>
              <w:tl2br w:val="nil"/>
              <w:tr2bl w:val="nil"/>
            </w:tcBorders>
            <w:noWrap w:val="0"/>
            <w:vAlign w:val="center"/>
          </w:tcPr>
          <w:p w14:paraId="3CFF2CFA">
            <w:pPr>
              <w:pStyle w:val="31"/>
              <w:bidi w:val="0"/>
              <w:rPr>
                <w:rFonts w:hint="default"/>
                <w:lang w:val="en-US" w:eastAsia="zh-CN"/>
              </w:rPr>
            </w:pPr>
            <w:r>
              <w:rPr>
                <w:rFonts w:hint="default"/>
                <w:lang w:val="en-US" w:eastAsia="zh-CN"/>
              </w:rPr>
              <w:t>VOCs</w:t>
            </w:r>
          </w:p>
        </w:tc>
        <w:tc>
          <w:tcPr>
            <w:tcW w:w="913" w:type="pct"/>
            <w:tcBorders>
              <w:tl2br w:val="nil"/>
              <w:tr2bl w:val="nil"/>
            </w:tcBorders>
            <w:noWrap w:val="0"/>
            <w:vAlign w:val="center"/>
          </w:tcPr>
          <w:p w14:paraId="347853BA">
            <w:pPr>
              <w:pStyle w:val="31"/>
              <w:bidi w:val="0"/>
              <w:rPr>
                <w:rFonts w:hint="default"/>
              </w:rPr>
            </w:pPr>
            <w:r>
              <w:rPr>
                <w:rFonts w:hint="default"/>
              </w:rPr>
              <w:t>第一时段</w:t>
            </w:r>
          </w:p>
        </w:tc>
        <w:tc>
          <w:tcPr>
            <w:tcW w:w="828" w:type="pct"/>
            <w:tcBorders>
              <w:tl2br w:val="nil"/>
              <w:tr2bl w:val="nil"/>
            </w:tcBorders>
            <w:noWrap w:val="0"/>
            <w:vAlign w:val="center"/>
          </w:tcPr>
          <w:p w14:paraId="561CA60C">
            <w:pPr>
              <w:pStyle w:val="31"/>
              <w:bidi w:val="0"/>
              <w:rPr>
                <w:rFonts w:hint="default"/>
                <w:lang w:val="en-US" w:eastAsia="zh-CN"/>
              </w:rPr>
            </w:pPr>
            <w:r>
              <w:rPr>
                <w:rFonts w:hint="default"/>
                <w:lang w:val="en-US" w:eastAsia="zh-CN"/>
              </w:rPr>
              <w:t>0.36</w:t>
            </w:r>
          </w:p>
        </w:tc>
        <w:tc>
          <w:tcPr>
            <w:tcW w:w="821" w:type="pct"/>
            <w:vMerge w:val="restart"/>
            <w:tcBorders>
              <w:tl2br w:val="nil"/>
              <w:tr2bl w:val="nil"/>
            </w:tcBorders>
            <w:noWrap w:val="0"/>
            <w:vAlign w:val="center"/>
          </w:tcPr>
          <w:p w14:paraId="27E8E882">
            <w:pPr>
              <w:pStyle w:val="31"/>
              <w:bidi w:val="0"/>
              <w:rPr>
                <w:rFonts w:hint="default"/>
                <w:lang w:val="en-US" w:eastAsia="zh-CN"/>
              </w:rPr>
            </w:pPr>
            <w:r>
              <w:rPr>
                <w:rFonts w:hint="default"/>
                <w:lang w:val="en-US" w:eastAsia="zh-CN"/>
              </w:rPr>
              <w:t>2.0</w:t>
            </w:r>
          </w:p>
        </w:tc>
      </w:tr>
      <w:tr w14:paraId="2B562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38180E48">
            <w:pPr>
              <w:pStyle w:val="31"/>
              <w:bidi w:val="0"/>
              <w:rPr>
                <w:rFonts w:hint="default"/>
              </w:rPr>
            </w:pPr>
          </w:p>
        </w:tc>
        <w:tc>
          <w:tcPr>
            <w:tcW w:w="868" w:type="pct"/>
            <w:vMerge w:val="continue"/>
            <w:tcBorders>
              <w:tl2br w:val="nil"/>
              <w:tr2bl w:val="nil"/>
            </w:tcBorders>
            <w:noWrap w:val="0"/>
            <w:vAlign w:val="center"/>
          </w:tcPr>
          <w:p w14:paraId="327A5C92">
            <w:pPr>
              <w:pStyle w:val="31"/>
              <w:bidi w:val="0"/>
              <w:rPr>
                <w:rFonts w:hint="default"/>
              </w:rPr>
            </w:pPr>
          </w:p>
        </w:tc>
        <w:tc>
          <w:tcPr>
            <w:tcW w:w="826" w:type="pct"/>
            <w:vMerge w:val="continue"/>
            <w:tcBorders>
              <w:tl2br w:val="nil"/>
              <w:tr2bl w:val="nil"/>
            </w:tcBorders>
            <w:noWrap w:val="0"/>
            <w:vAlign w:val="center"/>
          </w:tcPr>
          <w:p w14:paraId="604B1E77">
            <w:pPr>
              <w:pStyle w:val="31"/>
              <w:bidi w:val="0"/>
              <w:rPr>
                <w:rFonts w:hint="default"/>
              </w:rPr>
            </w:pPr>
          </w:p>
        </w:tc>
        <w:tc>
          <w:tcPr>
            <w:tcW w:w="913" w:type="pct"/>
            <w:tcBorders>
              <w:tl2br w:val="nil"/>
              <w:tr2bl w:val="nil"/>
            </w:tcBorders>
            <w:noWrap w:val="0"/>
            <w:vAlign w:val="center"/>
          </w:tcPr>
          <w:p w14:paraId="00DC4417">
            <w:pPr>
              <w:pStyle w:val="31"/>
              <w:bidi w:val="0"/>
              <w:rPr>
                <w:rFonts w:hint="default"/>
              </w:rPr>
            </w:pPr>
            <w:r>
              <w:rPr>
                <w:rFonts w:hint="default"/>
              </w:rPr>
              <w:t>第二时段</w:t>
            </w:r>
          </w:p>
        </w:tc>
        <w:tc>
          <w:tcPr>
            <w:tcW w:w="828" w:type="pct"/>
            <w:tcBorders>
              <w:tl2br w:val="nil"/>
              <w:tr2bl w:val="nil"/>
            </w:tcBorders>
            <w:noWrap w:val="0"/>
            <w:vAlign w:val="center"/>
          </w:tcPr>
          <w:p w14:paraId="2BD49DE2">
            <w:pPr>
              <w:pStyle w:val="31"/>
              <w:bidi w:val="0"/>
              <w:rPr>
                <w:rFonts w:hint="default"/>
                <w:lang w:val="en-US" w:eastAsia="zh-CN"/>
              </w:rPr>
            </w:pPr>
            <w:r>
              <w:rPr>
                <w:rFonts w:hint="default"/>
                <w:lang w:val="en-US" w:eastAsia="zh-CN"/>
              </w:rPr>
              <w:t>0.35</w:t>
            </w:r>
          </w:p>
        </w:tc>
        <w:tc>
          <w:tcPr>
            <w:tcW w:w="821" w:type="pct"/>
            <w:vMerge w:val="continue"/>
            <w:tcBorders>
              <w:tl2br w:val="nil"/>
              <w:tr2bl w:val="nil"/>
            </w:tcBorders>
            <w:noWrap w:val="0"/>
            <w:vAlign w:val="center"/>
          </w:tcPr>
          <w:p w14:paraId="7BCCA829">
            <w:pPr>
              <w:pStyle w:val="31"/>
              <w:bidi w:val="0"/>
              <w:rPr>
                <w:rFonts w:hint="default"/>
                <w:lang w:val="en-US" w:eastAsia="zh-CN"/>
              </w:rPr>
            </w:pPr>
          </w:p>
        </w:tc>
      </w:tr>
      <w:tr w14:paraId="5FB8B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41" w:type="pct"/>
            <w:vMerge w:val="continue"/>
            <w:tcBorders>
              <w:tl2br w:val="nil"/>
              <w:tr2bl w:val="nil"/>
            </w:tcBorders>
            <w:noWrap w:val="0"/>
            <w:vAlign w:val="center"/>
          </w:tcPr>
          <w:p w14:paraId="66641E27">
            <w:pPr>
              <w:pStyle w:val="31"/>
              <w:bidi w:val="0"/>
              <w:rPr>
                <w:rFonts w:hint="default"/>
              </w:rPr>
            </w:pPr>
          </w:p>
        </w:tc>
        <w:tc>
          <w:tcPr>
            <w:tcW w:w="868" w:type="pct"/>
            <w:vMerge w:val="continue"/>
            <w:tcBorders>
              <w:tl2br w:val="nil"/>
              <w:tr2bl w:val="nil"/>
            </w:tcBorders>
            <w:noWrap w:val="0"/>
            <w:vAlign w:val="center"/>
          </w:tcPr>
          <w:p w14:paraId="57F82F22">
            <w:pPr>
              <w:pStyle w:val="31"/>
              <w:bidi w:val="0"/>
              <w:rPr>
                <w:rFonts w:hint="default"/>
              </w:rPr>
            </w:pPr>
          </w:p>
        </w:tc>
        <w:tc>
          <w:tcPr>
            <w:tcW w:w="826" w:type="pct"/>
            <w:vMerge w:val="continue"/>
            <w:tcBorders>
              <w:tl2br w:val="nil"/>
              <w:tr2bl w:val="nil"/>
            </w:tcBorders>
            <w:noWrap w:val="0"/>
            <w:vAlign w:val="center"/>
          </w:tcPr>
          <w:p w14:paraId="29710C52">
            <w:pPr>
              <w:pStyle w:val="31"/>
              <w:bidi w:val="0"/>
              <w:rPr>
                <w:rFonts w:hint="default"/>
              </w:rPr>
            </w:pPr>
          </w:p>
        </w:tc>
        <w:tc>
          <w:tcPr>
            <w:tcW w:w="913" w:type="pct"/>
            <w:tcBorders>
              <w:tl2br w:val="nil"/>
              <w:tr2bl w:val="nil"/>
            </w:tcBorders>
            <w:noWrap w:val="0"/>
            <w:vAlign w:val="center"/>
          </w:tcPr>
          <w:p w14:paraId="5EED26F1">
            <w:pPr>
              <w:pStyle w:val="31"/>
              <w:bidi w:val="0"/>
              <w:rPr>
                <w:rFonts w:hint="default"/>
              </w:rPr>
            </w:pPr>
            <w:r>
              <w:rPr>
                <w:rFonts w:hint="default"/>
              </w:rPr>
              <w:t>第三时段</w:t>
            </w:r>
          </w:p>
        </w:tc>
        <w:tc>
          <w:tcPr>
            <w:tcW w:w="828" w:type="pct"/>
            <w:tcBorders>
              <w:tl2br w:val="nil"/>
              <w:tr2bl w:val="nil"/>
            </w:tcBorders>
            <w:noWrap w:val="0"/>
            <w:vAlign w:val="center"/>
          </w:tcPr>
          <w:p w14:paraId="2932A13B">
            <w:pPr>
              <w:pStyle w:val="31"/>
              <w:bidi w:val="0"/>
              <w:rPr>
                <w:rFonts w:hint="default"/>
                <w:lang w:val="en-US" w:eastAsia="zh-CN"/>
              </w:rPr>
            </w:pPr>
            <w:r>
              <w:rPr>
                <w:rFonts w:hint="default"/>
                <w:lang w:val="en-US" w:eastAsia="zh-CN"/>
              </w:rPr>
              <w:t>0.33</w:t>
            </w:r>
          </w:p>
        </w:tc>
        <w:tc>
          <w:tcPr>
            <w:tcW w:w="821" w:type="pct"/>
            <w:vMerge w:val="continue"/>
            <w:tcBorders>
              <w:tl2br w:val="nil"/>
              <w:tr2bl w:val="nil"/>
            </w:tcBorders>
            <w:noWrap w:val="0"/>
            <w:vAlign w:val="center"/>
          </w:tcPr>
          <w:p w14:paraId="4F829C2E">
            <w:pPr>
              <w:pStyle w:val="31"/>
              <w:bidi w:val="0"/>
              <w:rPr>
                <w:rFonts w:hint="default"/>
                <w:lang w:val="en-US" w:eastAsia="zh-CN"/>
              </w:rPr>
            </w:pPr>
          </w:p>
        </w:tc>
      </w:tr>
    </w:tbl>
    <w:p w14:paraId="04BBA0D6">
      <w:pPr>
        <w:pStyle w:val="21"/>
        <w:rPr>
          <w:rFonts w:hint="eastAsia"/>
          <w:lang w:val="en-US" w:eastAsia="zh-CN"/>
        </w:rPr>
      </w:pPr>
      <w:r>
        <w:rPr>
          <w:rFonts w:hint="eastAsia"/>
          <w:lang w:val="en-US" w:eastAsia="zh-CN"/>
        </w:rPr>
        <w:t>2、废水</w:t>
      </w:r>
    </w:p>
    <w:p w14:paraId="6E455549">
      <w:pPr>
        <w:pStyle w:val="21"/>
        <w:rPr>
          <w:rFonts w:hint="eastAsia"/>
          <w:lang w:val="en-US" w:eastAsia="zh-CN"/>
        </w:rPr>
      </w:pPr>
      <w:r>
        <w:rPr>
          <w:rFonts w:hint="eastAsia"/>
          <w:lang w:val="en-US" w:eastAsia="zh-CN"/>
        </w:rPr>
        <w:t>现有工程无生产废水排放，生活污水经化粪池处理后定期清掏用于农田施肥，不外排，因此验收期间未监测废水。</w:t>
      </w:r>
    </w:p>
    <w:p w14:paraId="0884E11C">
      <w:pPr>
        <w:pStyle w:val="21"/>
        <w:rPr>
          <w:rFonts w:hint="eastAsia"/>
          <w:lang w:val="en-US" w:eastAsia="zh-CN"/>
        </w:rPr>
      </w:pPr>
      <w:r>
        <w:rPr>
          <w:rFonts w:hint="eastAsia"/>
          <w:lang w:val="en-US" w:eastAsia="zh-CN"/>
        </w:rPr>
        <w:t>3、噪声</w:t>
      </w:r>
    </w:p>
    <w:p w14:paraId="34F36BE3">
      <w:pPr>
        <w:pStyle w:val="21"/>
        <w:bidi w:val="0"/>
        <w:rPr>
          <w:rFonts w:hint="default"/>
        </w:rPr>
      </w:pPr>
      <w:r>
        <w:rPr>
          <w:rFonts w:hint="default"/>
        </w:rPr>
        <w:t>验收监测期间厂界东</w:t>
      </w:r>
      <w:r>
        <w:rPr>
          <w:rFonts w:hint="eastAsia"/>
          <w:lang w:eastAsia="zh-CN"/>
        </w:rPr>
        <w:t>、南、西、</w:t>
      </w:r>
      <w:r>
        <w:rPr>
          <w:rFonts w:hint="eastAsia"/>
          <w:lang w:val="en-US" w:eastAsia="zh-CN"/>
        </w:rPr>
        <w:t>北</w:t>
      </w:r>
      <w:r>
        <w:rPr>
          <w:rFonts w:hint="eastAsia"/>
          <w:lang w:eastAsia="zh-CN"/>
        </w:rPr>
        <w:t>侧</w:t>
      </w:r>
      <w:r>
        <w:rPr>
          <w:rFonts w:hint="eastAsia"/>
          <w:lang w:val="en-US" w:eastAsia="zh-CN"/>
        </w:rPr>
        <w:t>4个</w:t>
      </w:r>
      <w:r>
        <w:rPr>
          <w:rFonts w:hint="default"/>
        </w:rPr>
        <w:t>监测点</w:t>
      </w:r>
      <w:r>
        <w:rPr>
          <w:rFonts w:hint="eastAsia"/>
          <w:lang w:eastAsia="zh-CN"/>
        </w:rPr>
        <w:t>的</w:t>
      </w:r>
      <w:r>
        <w:rPr>
          <w:rFonts w:hint="default"/>
        </w:rPr>
        <w:t>昼、夜间噪声均未超过《工业企业厂界环境噪声排放标准》（GB12348-2008）中</w:t>
      </w:r>
      <w:r>
        <w:rPr>
          <w:rFonts w:hint="eastAsia"/>
          <w:lang w:val="en-US" w:eastAsia="zh-CN"/>
        </w:rPr>
        <w:t>2</w:t>
      </w:r>
      <w:r>
        <w:rPr>
          <w:rFonts w:hint="default"/>
        </w:rPr>
        <w:t>类标准限值。</w:t>
      </w:r>
    </w:p>
    <w:p w14:paraId="2194AB7E">
      <w:pPr>
        <w:pStyle w:val="21"/>
        <w:bidi w:val="0"/>
        <w:rPr>
          <w:rFonts w:hint="default"/>
        </w:rPr>
      </w:pPr>
    </w:p>
    <w:p w14:paraId="754EB3B3">
      <w:pPr>
        <w:pStyle w:val="21"/>
        <w:bidi w:val="0"/>
        <w:rPr>
          <w:rFonts w:hint="default"/>
        </w:rPr>
      </w:pPr>
    </w:p>
    <w:p w14:paraId="68714AC5">
      <w:pPr>
        <w:pStyle w:val="23"/>
        <w:bidi w:val="0"/>
        <w:rPr>
          <w:rFonts w:hint="eastAsia"/>
          <w:lang w:val="en-US" w:eastAsia="zh-CN"/>
        </w:rPr>
      </w:pPr>
      <w:r>
        <w:rPr>
          <w:rFonts w:hint="eastAsia"/>
          <w:lang w:val="en-US" w:eastAsia="zh-CN"/>
        </w:rPr>
        <w:t>表3.1-10  厂界噪声监测结果表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7"/>
        <w:gridCol w:w="1249"/>
        <w:gridCol w:w="1251"/>
        <w:gridCol w:w="1249"/>
        <w:gridCol w:w="1254"/>
        <w:gridCol w:w="1839"/>
      </w:tblGrid>
      <w:tr w14:paraId="7AB9B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84" w:type="pct"/>
            <w:vMerge w:val="restart"/>
            <w:vAlign w:val="center"/>
          </w:tcPr>
          <w:p w14:paraId="51CDC28E">
            <w:pPr>
              <w:pStyle w:val="31"/>
              <w:bidi w:val="0"/>
              <w:rPr>
                <w:rFonts w:hint="default"/>
              </w:rPr>
            </w:pPr>
            <w:r>
              <w:rPr>
                <w:rFonts w:hint="default"/>
              </w:rPr>
              <w:t>测点方位</w:t>
            </w:r>
          </w:p>
        </w:tc>
        <w:tc>
          <w:tcPr>
            <w:tcW w:w="2936" w:type="pct"/>
            <w:gridSpan w:val="4"/>
            <w:vAlign w:val="center"/>
          </w:tcPr>
          <w:p w14:paraId="41B1CA35">
            <w:pPr>
              <w:pStyle w:val="31"/>
              <w:bidi w:val="0"/>
              <w:rPr>
                <w:rFonts w:hint="default"/>
              </w:rPr>
            </w:pPr>
            <w:r>
              <w:rPr>
                <w:rFonts w:hint="default"/>
              </w:rPr>
              <w:t>等效声级Leq，dB（A）</w:t>
            </w:r>
          </w:p>
        </w:tc>
        <w:tc>
          <w:tcPr>
            <w:tcW w:w="1079" w:type="pct"/>
            <w:vMerge w:val="restart"/>
            <w:vAlign w:val="center"/>
          </w:tcPr>
          <w:p w14:paraId="32699EA1">
            <w:pPr>
              <w:pStyle w:val="31"/>
              <w:bidi w:val="0"/>
              <w:rPr>
                <w:rFonts w:hint="default"/>
              </w:rPr>
            </w:pPr>
            <w:r>
              <w:rPr>
                <w:rFonts w:hint="default"/>
              </w:rPr>
              <w:t>标准限值</w:t>
            </w:r>
          </w:p>
          <w:p w14:paraId="78EB5F02">
            <w:pPr>
              <w:pStyle w:val="31"/>
              <w:bidi w:val="0"/>
              <w:rPr>
                <w:rFonts w:hint="default"/>
              </w:rPr>
            </w:pPr>
            <w:r>
              <w:rPr>
                <w:rFonts w:hint="default"/>
              </w:rPr>
              <w:t>Leq，dB（A）</w:t>
            </w:r>
          </w:p>
        </w:tc>
      </w:tr>
      <w:tr w14:paraId="354BD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84" w:type="pct"/>
            <w:vMerge w:val="continue"/>
            <w:vAlign w:val="center"/>
          </w:tcPr>
          <w:p w14:paraId="7A164383">
            <w:pPr>
              <w:pStyle w:val="31"/>
              <w:bidi w:val="0"/>
              <w:rPr>
                <w:rFonts w:hint="default"/>
              </w:rPr>
            </w:pPr>
          </w:p>
        </w:tc>
        <w:tc>
          <w:tcPr>
            <w:tcW w:w="1467" w:type="pct"/>
            <w:gridSpan w:val="2"/>
            <w:vAlign w:val="center"/>
          </w:tcPr>
          <w:p w14:paraId="43B4B7EE">
            <w:pPr>
              <w:pStyle w:val="31"/>
              <w:bidi w:val="0"/>
              <w:rPr>
                <w:rFonts w:hint="default"/>
                <w:lang w:val="en-US" w:eastAsia="zh-CN"/>
              </w:rPr>
            </w:pPr>
            <w:r>
              <w:rPr>
                <w:rFonts w:hint="eastAsia"/>
                <w:lang w:val="en-US" w:eastAsia="zh-CN"/>
              </w:rPr>
              <w:t>2020.11.23</w:t>
            </w:r>
          </w:p>
        </w:tc>
        <w:tc>
          <w:tcPr>
            <w:tcW w:w="1468" w:type="pct"/>
            <w:gridSpan w:val="2"/>
            <w:vAlign w:val="center"/>
          </w:tcPr>
          <w:p w14:paraId="17472093">
            <w:pPr>
              <w:pStyle w:val="31"/>
              <w:bidi w:val="0"/>
              <w:rPr>
                <w:rFonts w:hint="default"/>
                <w:lang w:val="en-US" w:eastAsia="zh-CN"/>
              </w:rPr>
            </w:pPr>
            <w:r>
              <w:rPr>
                <w:rFonts w:hint="eastAsia"/>
                <w:lang w:val="en-US" w:eastAsia="zh-CN"/>
              </w:rPr>
              <w:t>2020.11.24</w:t>
            </w:r>
          </w:p>
        </w:tc>
        <w:tc>
          <w:tcPr>
            <w:tcW w:w="1079" w:type="pct"/>
            <w:vMerge w:val="continue"/>
            <w:vAlign w:val="center"/>
          </w:tcPr>
          <w:p w14:paraId="6377A9C8">
            <w:pPr>
              <w:pStyle w:val="31"/>
              <w:bidi w:val="0"/>
              <w:rPr>
                <w:rFonts w:hint="default"/>
              </w:rPr>
            </w:pPr>
          </w:p>
        </w:tc>
      </w:tr>
      <w:tr w14:paraId="6F03F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84" w:type="pct"/>
            <w:vMerge w:val="continue"/>
            <w:vAlign w:val="center"/>
          </w:tcPr>
          <w:p w14:paraId="7F2FDCE9">
            <w:pPr>
              <w:pStyle w:val="31"/>
              <w:bidi w:val="0"/>
              <w:rPr>
                <w:rFonts w:hint="default"/>
              </w:rPr>
            </w:pPr>
          </w:p>
        </w:tc>
        <w:tc>
          <w:tcPr>
            <w:tcW w:w="733" w:type="pct"/>
            <w:vAlign w:val="center"/>
          </w:tcPr>
          <w:p w14:paraId="793FA310">
            <w:pPr>
              <w:pStyle w:val="31"/>
              <w:bidi w:val="0"/>
              <w:rPr>
                <w:rFonts w:hint="default"/>
              </w:rPr>
            </w:pPr>
            <w:r>
              <w:rPr>
                <w:rFonts w:hint="default"/>
              </w:rPr>
              <w:t>昼间</w:t>
            </w:r>
          </w:p>
        </w:tc>
        <w:tc>
          <w:tcPr>
            <w:tcW w:w="733" w:type="pct"/>
            <w:vAlign w:val="center"/>
          </w:tcPr>
          <w:p w14:paraId="15E5D13A">
            <w:pPr>
              <w:pStyle w:val="31"/>
              <w:bidi w:val="0"/>
              <w:rPr>
                <w:rFonts w:hint="default"/>
              </w:rPr>
            </w:pPr>
            <w:r>
              <w:rPr>
                <w:rFonts w:hint="default"/>
              </w:rPr>
              <w:t>夜间</w:t>
            </w:r>
          </w:p>
        </w:tc>
        <w:tc>
          <w:tcPr>
            <w:tcW w:w="733" w:type="pct"/>
            <w:vAlign w:val="center"/>
          </w:tcPr>
          <w:p w14:paraId="6A1B794A">
            <w:pPr>
              <w:pStyle w:val="31"/>
              <w:bidi w:val="0"/>
              <w:rPr>
                <w:rFonts w:hint="default"/>
              </w:rPr>
            </w:pPr>
            <w:r>
              <w:rPr>
                <w:rFonts w:hint="default"/>
              </w:rPr>
              <w:t>昼间</w:t>
            </w:r>
          </w:p>
        </w:tc>
        <w:tc>
          <w:tcPr>
            <w:tcW w:w="735" w:type="pct"/>
            <w:vAlign w:val="center"/>
          </w:tcPr>
          <w:p w14:paraId="46244F86">
            <w:pPr>
              <w:pStyle w:val="31"/>
              <w:bidi w:val="0"/>
              <w:rPr>
                <w:rFonts w:hint="default"/>
              </w:rPr>
            </w:pPr>
            <w:r>
              <w:rPr>
                <w:rFonts w:hint="default"/>
              </w:rPr>
              <w:t>夜间</w:t>
            </w:r>
          </w:p>
        </w:tc>
        <w:tc>
          <w:tcPr>
            <w:tcW w:w="1079" w:type="pct"/>
            <w:vMerge w:val="continue"/>
            <w:vAlign w:val="center"/>
          </w:tcPr>
          <w:p w14:paraId="5F1E1E3E">
            <w:pPr>
              <w:pStyle w:val="31"/>
              <w:bidi w:val="0"/>
              <w:rPr>
                <w:rFonts w:hint="default"/>
              </w:rPr>
            </w:pPr>
          </w:p>
        </w:tc>
      </w:tr>
      <w:tr w14:paraId="0CB2F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pct"/>
            <w:vAlign w:val="center"/>
          </w:tcPr>
          <w:p w14:paraId="16039537">
            <w:pPr>
              <w:pStyle w:val="31"/>
              <w:bidi w:val="0"/>
              <w:rPr>
                <w:rFonts w:hint="default"/>
                <w:lang w:val="en-US" w:eastAsia="zh-CN"/>
              </w:rPr>
            </w:pPr>
            <w:r>
              <w:rPr>
                <w:rFonts w:hint="default"/>
              </w:rPr>
              <w:t>厂界</w:t>
            </w:r>
            <w:r>
              <w:rPr>
                <w:rFonts w:hint="eastAsia"/>
              </w:rPr>
              <w:t>东侧</w:t>
            </w:r>
            <w:r>
              <w:rPr>
                <w:rFonts w:hint="default"/>
              </w:rPr>
              <w:t>1m处△</w:t>
            </w:r>
            <w:r>
              <w:rPr>
                <w:rFonts w:hint="eastAsia"/>
              </w:rPr>
              <w:t>N1</w:t>
            </w:r>
          </w:p>
        </w:tc>
        <w:tc>
          <w:tcPr>
            <w:tcW w:w="733" w:type="pct"/>
            <w:vAlign w:val="center"/>
          </w:tcPr>
          <w:p w14:paraId="2C221F90">
            <w:pPr>
              <w:pStyle w:val="31"/>
              <w:bidi w:val="0"/>
              <w:rPr>
                <w:rFonts w:hint="default"/>
                <w:lang w:val="en-US" w:eastAsia="zh-CN"/>
              </w:rPr>
            </w:pPr>
            <w:r>
              <w:rPr>
                <w:rFonts w:hint="eastAsia"/>
                <w:lang w:val="en-US" w:eastAsia="zh-CN"/>
              </w:rPr>
              <w:t>54</w:t>
            </w:r>
          </w:p>
        </w:tc>
        <w:tc>
          <w:tcPr>
            <w:tcW w:w="733" w:type="pct"/>
            <w:vAlign w:val="center"/>
          </w:tcPr>
          <w:p w14:paraId="313B4BC6">
            <w:pPr>
              <w:pStyle w:val="31"/>
              <w:bidi w:val="0"/>
              <w:rPr>
                <w:rFonts w:hint="default"/>
                <w:lang w:val="en-US" w:eastAsia="zh-CN"/>
              </w:rPr>
            </w:pPr>
            <w:r>
              <w:rPr>
                <w:rFonts w:hint="eastAsia"/>
                <w:lang w:val="en-US" w:eastAsia="zh-CN"/>
              </w:rPr>
              <w:t>45</w:t>
            </w:r>
          </w:p>
        </w:tc>
        <w:tc>
          <w:tcPr>
            <w:tcW w:w="733" w:type="pct"/>
            <w:vAlign w:val="center"/>
          </w:tcPr>
          <w:p w14:paraId="0C7C5974">
            <w:pPr>
              <w:pStyle w:val="31"/>
              <w:bidi w:val="0"/>
              <w:rPr>
                <w:rFonts w:hint="default"/>
                <w:lang w:val="en-US" w:eastAsia="zh-CN"/>
              </w:rPr>
            </w:pPr>
            <w:r>
              <w:rPr>
                <w:rFonts w:hint="eastAsia"/>
                <w:lang w:val="en-US" w:eastAsia="zh-CN"/>
              </w:rPr>
              <w:t>53</w:t>
            </w:r>
          </w:p>
        </w:tc>
        <w:tc>
          <w:tcPr>
            <w:tcW w:w="735" w:type="pct"/>
            <w:vAlign w:val="center"/>
          </w:tcPr>
          <w:p w14:paraId="2C499A64">
            <w:pPr>
              <w:pStyle w:val="31"/>
              <w:bidi w:val="0"/>
              <w:rPr>
                <w:rFonts w:hint="default"/>
                <w:lang w:val="en-US" w:eastAsia="zh-CN"/>
              </w:rPr>
            </w:pPr>
            <w:r>
              <w:rPr>
                <w:rFonts w:hint="eastAsia"/>
                <w:lang w:val="en-US" w:eastAsia="zh-CN"/>
              </w:rPr>
              <w:t>44</w:t>
            </w:r>
          </w:p>
        </w:tc>
        <w:tc>
          <w:tcPr>
            <w:tcW w:w="1079" w:type="pct"/>
            <w:vMerge w:val="restart"/>
            <w:vAlign w:val="center"/>
          </w:tcPr>
          <w:p w14:paraId="2C76F7E1">
            <w:pPr>
              <w:pStyle w:val="31"/>
              <w:bidi w:val="0"/>
              <w:rPr>
                <w:rFonts w:hint="default"/>
              </w:rPr>
            </w:pPr>
            <w:r>
              <w:rPr>
                <w:rFonts w:hint="default"/>
              </w:rPr>
              <w:t>昼间≤</w:t>
            </w:r>
            <w:r>
              <w:rPr>
                <w:rFonts w:hint="default"/>
                <w:lang w:val="en-US" w:eastAsia="zh-CN"/>
              </w:rPr>
              <w:t>6</w:t>
            </w:r>
            <w:r>
              <w:rPr>
                <w:rFonts w:hint="eastAsia"/>
                <w:lang w:val="en-US" w:eastAsia="zh-CN"/>
              </w:rPr>
              <w:t>0</w:t>
            </w:r>
            <w:r>
              <w:rPr>
                <w:rFonts w:hint="default"/>
              </w:rPr>
              <w:t>dB（A），夜间≤</w:t>
            </w:r>
            <w:r>
              <w:rPr>
                <w:rFonts w:hint="default"/>
                <w:lang w:val="en-US" w:eastAsia="zh-CN"/>
              </w:rPr>
              <w:t>5</w:t>
            </w:r>
            <w:r>
              <w:rPr>
                <w:rFonts w:hint="eastAsia"/>
                <w:lang w:val="en-US" w:eastAsia="zh-CN"/>
              </w:rPr>
              <w:t>0</w:t>
            </w:r>
            <w:r>
              <w:rPr>
                <w:rFonts w:hint="default"/>
              </w:rPr>
              <w:t>dB（A）</w:t>
            </w:r>
          </w:p>
        </w:tc>
      </w:tr>
      <w:tr w14:paraId="715DD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pct"/>
            <w:vAlign w:val="center"/>
          </w:tcPr>
          <w:p w14:paraId="67C3B3E2">
            <w:pPr>
              <w:pStyle w:val="31"/>
              <w:bidi w:val="0"/>
              <w:rPr>
                <w:rFonts w:hint="default"/>
                <w:lang w:val="en-US" w:eastAsia="zh-CN"/>
              </w:rPr>
            </w:pPr>
            <w:r>
              <w:rPr>
                <w:rFonts w:hint="default"/>
              </w:rPr>
              <w:t>厂界</w:t>
            </w:r>
            <w:r>
              <w:rPr>
                <w:rFonts w:hint="eastAsia"/>
              </w:rPr>
              <w:t>南侧</w:t>
            </w:r>
            <w:r>
              <w:rPr>
                <w:rFonts w:hint="default"/>
              </w:rPr>
              <w:t>1m处△</w:t>
            </w:r>
            <w:r>
              <w:rPr>
                <w:rFonts w:hint="eastAsia"/>
              </w:rPr>
              <w:t>N2</w:t>
            </w:r>
          </w:p>
        </w:tc>
        <w:tc>
          <w:tcPr>
            <w:tcW w:w="733" w:type="pct"/>
            <w:vAlign w:val="center"/>
          </w:tcPr>
          <w:p w14:paraId="1597F62F">
            <w:pPr>
              <w:pStyle w:val="31"/>
              <w:bidi w:val="0"/>
              <w:rPr>
                <w:rFonts w:hint="default"/>
                <w:lang w:val="en-US" w:eastAsia="zh-CN"/>
              </w:rPr>
            </w:pPr>
            <w:r>
              <w:rPr>
                <w:rFonts w:hint="eastAsia"/>
                <w:lang w:val="en-US" w:eastAsia="zh-CN"/>
              </w:rPr>
              <w:t>55</w:t>
            </w:r>
          </w:p>
        </w:tc>
        <w:tc>
          <w:tcPr>
            <w:tcW w:w="733" w:type="pct"/>
            <w:vAlign w:val="center"/>
          </w:tcPr>
          <w:p w14:paraId="3F5B8AD9">
            <w:pPr>
              <w:pStyle w:val="31"/>
              <w:bidi w:val="0"/>
              <w:rPr>
                <w:rFonts w:hint="default"/>
                <w:lang w:val="en-US" w:eastAsia="zh-CN"/>
              </w:rPr>
            </w:pPr>
            <w:r>
              <w:rPr>
                <w:rFonts w:hint="eastAsia"/>
                <w:lang w:val="en-US" w:eastAsia="zh-CN"/>
              </w:rPr>
              <w:t>44</w:t>
            </w:r>
          </w:p>
        </w:tc>
        <w:tc>
          <w:tcPr>
            <w:tcW w:w="733" w:type="pct"/>
            <w:vAlign w:val="center"/>
          </w:tcPr>
          <w:p w14:paraId="5C3EFBD7">
            <w:pPr>
              <w:pStyle w:val="31"/>
              <w:bidi w:val="0"/>
              <w:rPr>
                <w:rFonts w:hint="default"/>
                <w:lang w:val="en-US" w:eastAsia="zh-CN"/>
              </w:rPr>
            </w:pPr>
            <w:r>
              <w:rPr>
                <w:rFonts w:hint="eastAsia"/>
                <w:lang w:val="en-US" w:eastAsia="zh-CN"/>
              </w:rPr>
              <w:t>53</w:t>
            </w:r>
          </w:p>
        </w:tc>
        <w:tc>
          <w:tcPr>
            <w:tcW w:w="735" w:type="pct"/>
            <w:vAlign w:val="center"/>
          </w:tcPr>
          <w:p w14:paraId="4A7F3901">
            <w:pPr>
              <w:pStyle w:val="31"/>
              <w:bidi w:val="0"/>
              <w:rPr>
                <w:rFonts w:hint="default"/>
                <w:lang w:val="en-US" w:eastAsia="zh-CN"/>
              </w:rPr>
            </w:pPr>
            <w:r>
              <w:rPr>
                <w:rFonts w:hint="eastAsia"/>
                <w:lang w:val="en-US" w:eastAsia="zh-CN"/>
              </w:rPr>
              <w:t>45</w:t>
            </w:r>
          </w:p>
        </w:tc>
        <w:tc>
          <w:tcPr>
            <w:tcW w:w="1079" w:type="pct"/>
            <w:vMerge w:val="continue"/>
            <w:vAlign w:val="center"/>
          </w:tcPr>
          <w:p w14:paraId="05F0BAA6">
            <w:pPr>
              <w:pStyle w:val="31"/>
              <w:bidi w:val="0"/>
              <w:rPr>
                <w:rFonts w:hint="default"/>
              </w:rPr>
            </w:pPr>
          </w:p>
        </w:tc>
      </w:tr>
      <w:tr w14:paraId="30B0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pct"/>
            <w:vAlign w:val="center"/>
          </w:tcPr>
          <w:p w14:paraId="5188F5D4">
            <w:pPr>
              <w:pStyle w:val="31"/>
              <w:bidi w:val="0"/>
              <w:rPr>
                <w:rFonts w:hint="default"/>
                <w:lang w:val="en-US" w:eastAsia="zh-CN"/>
              </w:rPr>
            </w:pPr>
            <w:r>
              <w:rPr>
                <w:rFonts w:hint="default"/>
              </w:rPr>
              <w:t>厂界</w:t>
            </w:r>
            <w:r>
              <w:rPr>
                <w:rFonts w:hint="eastAsia"/>
              </w:rPr>
              <w:t>西侧</w:t>
            </w:r>
            <w:r>
              <w:rPr>
                <w:rFonts w:hint="default"/>
              </w:rPr>
              <w:t>1m处△</w:t>
            </w:r>
            <w:r>
              <w:rPr>
                <w:rFonts w:hint="eastAsia"/>
              </w:rPr>
              <w:t>N3</w:t>
            </w:r>
          </w:p>
        </w:tc>
        <w:tc>
          <w:tcPr>
            <w:tcW w:w="733" w:type="pct"/>
            <w:vAlign w:val="center"/>
          </w:tcPr>
          <w:p w14:paraId="1FC184D1">
            <w:pPr>
              <w:pStyle w:val="31"/>
              <w:bidi w:val="0"/>
              <w:rPr>
                <w:rFonts w:hint="default"/>
                <w:lang w:val="en-US" w:eastAsia="zh-CN"/>
              </w:rPr>
            </w:pPr>
            <w:r>
              <w:rPr>
                <w:rFonts w:hint="eastAsia"/>
                <w:lang w:val="en-US" w:eastAsia="zh-CN"/>
              </w:rPr>
              <w:t>54</w:t>
            </w:r>
          </w:p>
        </w:tc>
        <w:tc>
          <w:tcPr>
            <w:tcW w:w="733" w:type="pct"/>
            <w:vAlign w:val="center"/>
          </w:tcPr>
          <w:p w14:paraId="7093CFBD">
            <w:pPr>
              <w:pStyle w:val="31"/>
              <w:bidi w:val="0"/>
              <w:rPr>
                <w:rFonts w:hint="default"/>
                <w:lang w:val="en-US" w:eastAsia="zh-CN"/>
              </w:rPr>
            </w:pPr>
            <w:r>
              <w:rPr>
                <w:rFonts w:hint="eastAsia"/>
                <w:lang w:val="en-US" w:eastAsia="zh-CN"/>
              </w:rPr>
              <w:t>46</w:t>
            </w:r>
          </w:p>
        </w:tc>
        <w:tc>
          <w:tcPr>
            <w:tcW w:w="733" w:type="pct"/>
            <w:vAlign w:val="center"/>
          </w:tcPr>
          <w:p w14:paraId="709DCDD0">
            <w:pPr>
              <w:pStyle w:val="31"/>
              <w:bidi w:val="0"/>
              <w:rPr>
                <w:rFonts w:hint="default"/>
                <w:lang w:val="en-US" w:eastAsia="zh-CN"/>
              </w:rPr>
            </w:pPr>
            <w:r>
              <w:rPr>
                <w:rFonts w:hint="eastAsia"/>
                <w:lang w:val="en-US" w:eastAsia="zh-CN"/>
              </w:rPr>
              <w:t>55</w:t>
            </w:r>
          </w:p>
        </w:tc>
        <w:tc>
          <w:tcPr>
            <w:tcW w:w="735" w:type="pct"/>
            <w:vAlign w:val="center"/>
          </w:tcPr>
          <w:p w14:paraId="635E09C7">
            <w:pPr>
              <w:pStyle w:val="31"/>
              <w:bidi w:val="0"/>
              <w:rPr>
                <w:rFonts w:hint="default"/>
                <w:lang w:val="en-US" w:eastAsia="zh-CN"/>
              </w:rPr>
            </w:pPr>
            <w:r>
              <w:rPr>
                <w:rFonts w:hint="eastAsia"/>
                <w:lang w:val="en-US" w:eastAsia="zh-CN"/>
              </w:rPr>
              <w:t>46</w:t>
            </w:r>
          </w:p>
        </w:tc>
        <w:tc>
          <w:tcPr>
            <w:tcW w:w="1079" w:type="pct"/>
            <w:vMerge w:val="continue"/>
            <w:vAlign w:val="center"/>
          </w:tcPr>
          <w:p w14:paraId="0CF84A53">
            <w:pPr>
              <w:pStyle w:val="31"/>
              <w:bidi w:val="0"/>
              <w:rPr>
                <w:rFonts w:hint="default"/>
              </w:rPr>
            </w:pPr>
          </w:p>
        </w:tc>
      </w:tr>
      <w:tr w14:paraId="20239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4" w:type="pct"/>
            <w:vAlign w:val="center"/>
          </w:tcPr>
          <w:p w14:paraId="53CFE33F">
            <w:pPr>
              <w:pStyle w:val="31"/>
              <w:bidi w:val="0"/>
              <w:rPr>
                <w:rFonts w:hint="default"/>
                <w:lang w:val="en-US" w:eastAsia="zh-CN"/>
              </w:rPr>
            </w:pPr>
            <w:r>
              <w:rPr>
                <w:rFonts w:hint="default"/>
              </w:rPr>
              <w:t>厂界</w:t>
            </w:r>
            <w:r>
              <w:rPr>
                <w:rFonts w:hint="eastAsia"/>
              </w:rPr>
              <w:t>北侧</w:t>
            </w:r>
            <w:r>
              <w:rPr>
                <w:rFonts w:hint="default"/>
              </w:rPr>
              <w:t>1m处△</w:t>
            </w:r>
            <w:r>
              <w:rPr>
                <w:rFonts w:hint="eastAsia"/>
              </w:rPr>
              <w:t>N4</w:t>
            </w:r>
          </w:p>
        </w:tc>
        <w:tc>
          <w:tcPr>
            <w:tcW w:w="733" w:type="pct"/>
            <w:vAlign w:val="center"/>
          </w:tcPr>
          <w:p w14:paraId="50AC9337">
            <w:pPr>
              <w:pStyle w:val="31"/>
              <w:bidi w:val="0"/>
              <w:rPr>
                <w:rFonts w:hint="default"/>
                <w:lang w:val="en-US" w:eastAsia="zh-CN"/>
              </w:rPr>
            </w:pPr>
            <w:r>
              <w:rPr>
                <w:rFonts w:hint="eastAsia"/>
                <w:lang w:val="en-US" w:eastAsia="zh-CN"/>
              </w:rPr>
              <w:t>55</w:t>
            </w:r>
          </w:p>
        </w:tc>
        <w:tc>
          <w:tcPr>
            <w:tcW w:w="733" w:type="pct"/>
            <w:vAlign w:val="center"/>
          </w:tcPr>
          <w:p w14:paraId="4E6AA96B">
            <w:pPr>
              <w:pStyle w:val="31"/>
              <w:bidi w:val="0"/>
              <w:rPr>
                <w:rFonts w:hint="default"/>
                <w:lang w:val="en-US" w:eastAsia="zh-CN"/>
              </w:rPr>
            </w:pPr>
            <w:r>
              <w:rPr>
                <w:rFonts w:hint="eastAsia"/>
                <w:lang w:val="en-US" w:eastAsia="zh-CN"/>
              </w:rPr>
              <w:t>46</w:t>
            </w:r>
          </w:p>
        </w:tc>
        <w:tc>
          <w:tcPr>
            <w:tcW w:w="733" w:type="pct"/>
            <w:vAlign w:val="center"/>
          </w:tcPr>
          <w:p w14:paraId="05C167A6">
            <w:pPr>
              <w:pStyle w:val="31"/>
              <w:bidi w:val="0"/>
              <w:rPr>
                <w:rFonts w:hint="default"/>
                <w:lang w:val="en-US" w:eastAsia="zh-CN"/>
              </w:rPr>
            </w:pPr>
            <w:r>
              <w:rPr>
                <w:rFonts w:hint="eastAsia"/>
                <w:lang w:val="en-US" w:eastAsia="zh-CN"/>
              </w:rPr>
              <w:t>54</w:t>
            </w:r>
          </w:p>
        </w:tc>
        <w:tc>
          <w:tcPr>
            <w:tcW w:w="735" w:type="pct"/>
            <w:vAlign w:val="center"/>
          </w:tcPr>
          <w:p w14:paraId="62A98CBA">
            <w:pPr>
              <w:pStyle w:val="31"/>
              <w:bidi w:val="0"/>
              <w:rPr>
                <w:rFonts w:hint="default"/>
                <w:lang w:val="en-US" w:eastAsia="zh-CN"/>
              </w:rPr>
            </w:pPr>
            <w:r>
              <w:rPr>
                <w:rFonts w:hint="eastAsia"/>
                <w:lang w:val="en-US" w:eastAsia="zh-CN"/>
              </w:rPr>
              <w:t>45</w:t>
            </w:r>
          </w:p>
        </w:tc>
        <w:tc>
          <w:tcPr>
            <w:tcW w:w="1079" w:type="pct"/>
            <w:vMerge w:val="continue"/>
            <w:vAlign w:val="center"/>
          </w:tcPr>
          <w:p w14:paraId="4E6FB02B">
            <w:pPr>
              <w:pStyle w:val="31"/>
              <w:bidi w:val="0"/>
              <w:rPr>
                <w:rFonts w:hint="default"/>
              </w:rPr>
            </w:pPr>
          </w:p>
        </w:tc>
      </w:tr>
    </w:tbl>
    <w:p w14:paraId="00646284">
      <w:pPr>
        <w:pStyle w:val="21"/>
        <w:rPr>
          <w:rFonts w:hint="eastAsia"/>
          <w:lang w:val="en-US" w:eastAsia="zh-CN"/>
        </w:rPr>
      </w:pPr>
      <w:r>
        <w:rPr>
          <w:rFonts w:hint="eastAsia"/>
          <w:lang w:val="en-US" w:eastAsia="zh-CN"/>
        </w:rPr>
        <w:t>另外，本次环评委托景倡源检测(湖南)有限公司对现有工程厂界噪声进行了监测，监测期间项目仅昼间生产，因此本次仅采用昼间监测数据评价现有工程厂界噪声达标情况，具体如下：</w:t>
      </w:r>
    </w:p>
    <w:p w14:paraId="6032C5E1">
      <w:pPr>
        <w:pStyle w:val="23"/>
        <w:bidi w:val="0"/>
        <w:rPr>
          <w:rFonts w:hint="default"/>
          <w:lang w:val="en-US" w:eastAsia="zh-CN"/>
        </w:rPr>
      </w:pPr>
      <w:r>
        <w:rPr>
          <w:rFonts w:hint="eastAsia"/>
          <w:lang w:val="en-US" w:eastAsia="zh-CN"/>
        </w:rPr>
        <w:t>表3.1-11  现有工程厂界噪声监测结果    单位：dB(A)</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14:paraId="5A36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7BEDE46D">
            <w:pPr>
              <w:pStyle w:val="31"/>
              <w:bidi w:val="0"/>
              <w:rPr>
                <w:rFonts w:hint="default"/>
                <w:lang w:val="en-US" w:eastAsia="zh-CN"/>
              </w:rPr>
            </w:pPr>
            <w:r>
              <w:rPr>
                <w:rFonts w:hint="eastAsia"/>
                <w:lang w:val="en-US" w:eastAsia="zh-CN"/>
              </w:rPr>
              <w:t>监测点位</w:t>
            </w:r>
          </w:p>
        </w:tc>
        <w:tc>
          <w:tcPr>
            <w:tcW w:w="1703" w:type="dxa"/>
          </w:tcPr>
          <w:p w14:paraId="555FDD37">
            <w:pPr>
              <w:pStyle w:val="31"/>
              <w:bidi w:val="0"/>
              <w:rPr>
                <w:rFonts w:hint="default"/>
                <w:lang w:val="en-US" w:eastAsia="zh-CN"/>
              </w:rPr>
            </w:pPr>
            <w:r>
              <w:rPr>
                <w:rFonts w:hint="eastAsia"/>
                <w:lang w:val="en-US" w:eastAsia="zh-CN"/>
              </w:rPr>
              <w:t>监测日期</w:t>
            </w:r>
          </w:p>
        </w:tc>
        <w:tc>
          <w:tcPr>
            <w:tcW w:w="1704" w:type="dxa"/>
          </w:tcPr>
          <w:p w14:paraId="220E60D0">
            <w:pPr>
              <w:pStyle w:val="31"/>
              <w:bidi w:val="0"/>
              <w:rPr>
                <w:rFonts w:hint="default"/>
                <w:lang w:val="en-US" w:eastAsia="zh-CN"/>
              </w:rPr>
            </w:pPr>
            <w:r>
              <w:rPr>
                <w:rFonts w:hint="eastAsia"/>
                <w:lang w:val="en-US" w:eastAsia="zh-CN"/>
              </w:rPr>
              <w:t>昼间监测结果</w:t>
            </w:r>
          </w:p>
        </w:tc>
        <w:tc>
          <w:tcPr>
            <w:tcW w:w="1704" w:type="dxa"/>
          </w:tcPr>
          <w:p w14:paraId="46047D10">
            <w:pPr>
              <w:pStyle w:val="31"/>
              <w:bidi w:val="0"/>
              <w:rPr>
                <w:rFonts w:hint="default"/>
                <w:lang w:val="en-US" w:eastAsia="zh-CN"/>
              </w:rPr>
            </w:pPr>
            <w:r>
              <w:rPr>
                <w:rFonts w:hint="eastAsia"/>
                <w:lang w:val="en-US" w:eastAsia="zh-CN"/>
              </w:rPr>
              <w:t>标准限值</w:t>
            </w:r>
          </w:p>
        </w:tc>
        <w:tc>
          <w:tcPr>
            <w:tcW w:w="1704" w:type="dxa"/>
          </w:tcPr>
          <w:p w14:paraId="0E6A2014">
            <w:pPr>
              <w:pStyle w:val="31"/>
              <w:bidi w:val="0"/>
              <w:rPr>
                <w:rFonts w:hint="default"/>
                <w:lang w:val="en-US" w:eastAsia="zh-CN"/>
              </w:rPr>
            </w:pPr>
            <w:r>
              <w:rPr>
                <w:rFonts w:hint="eastAsia"/>
                <w:lang w:val="en-US" w:eastAsia="zh-CN"/>
              </w:rPr>
              <w:t>达标情况</w:t>
            </w:r>
          </w:p>
        </w:tc>
      </w:tr>
      <w:tr w14:paraId="3CD37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tcPr>
          <w:p w14:paraId="3B0237B5">
            <w:pPr>
              <w:pStyle w:val="31"/>
              <w:bidi w:val="0"/>
              <w:rPr>
                <w:rFonts w:hint="default"/>
                <w:lang w:val="en-US" w:eastAsia="zh-CN"/>
              </w:rPr>
            </w:pPr>
            <w:r>
              <w:rPr>
                <w:rFonts w:hint="eastAsia"/>
                <w:lang w:val="en-US" w:eastAsia="zh-CN"/>
              </w:rPr>
              <w:t>N1：项目厂界东侧</w:t>
            </w:r>
          </w:p>
        </w:tc>
        <w:tc>
          <w:tcPr>
            <w:tcW w:w="1703" w:type="dxa"/>
          </w:tcPr>
          <w:p w14:paraId="7C2EF6B6">
            <w:pPr>
              <w:pStyle w:val="31"/>
              <w:bidi w:val="0"/>
              <w:rPr>
                <w:rFonts w:hint="default"/>
                <w:lang w:val="en-US" w:eastAsia="zh-CN"/>
              </w:rPr>
            </w:pPr>
            <w:r>
              <w:rPr>
                <w:rFonts w:hint="eastAsia"/>
                <w:lang w:val="en-US" w:eastAsia="zh-CN"/>
              </w:rPr>
              <w:t>20250521</w:t>
            </w:r>
          </w:p>
        </w:tc>
        <w:tc>
          <w:tcPr>
            <w:tcW w:w="1704" w:type="dxa"/>
          </w:tcPr>
          <w:p w14:paraId="2A4F7C01">
            <w:pPr>
              <w:pStyle w:val="31"/>
              <w:bidi w:val="0"/>
              <w:rPr>
                <w:rFonts w:hint="default"/>
                <w:lang w:val="en-US" w:eastAsia="zh-CN"/>
              </w:rPr>
            </w:pPr>
            <w:r>
              <w:rPr>
                <w:rFonts w:hint="eastAsia"/>
                <w:lang w:val="en-US" w:eastAsia="zh-CN"/>
              </w:rPr>
              <w:t>55</w:t>
            </w:r>
          </w:p>
        </w:tc>
        <w:tc>
          <w:tcPr>
            <w:tcW w:w="1704" w:type="dxa"/>
          </w:tcPr>
          <w:p w14:paraId="06B9218A">
            <w:pPr>
              <w:pStyle w:val="31"/>
              <w:bidi w:val="0"/>
              <w:rPr>
                <w:rFonts w:hint="default"/>
                <w:lang w:val="en-US" w:eastAsia="zh-CN"/>
              </w:rPr>
            </w:pPr>
            <w:r>
              <w:rPr>
                <w:rFonts w:hint="eastAsia"/>
                <w:lang w:val="en-US" w:eastAsia="zh-CN"/>
              </w:rPr>
              <w:t>60</w:t>
            </w:r>
          </w:p>
        </w:tc>
        <w:tc>
          <w:tcPr>
            <w:tcW w:w="1704" w:type="dxa"/>
          </w:tcPr>
          <w:p w14:paraId="61889A5E">
            <w:pPr>
              <w:pStyle w:val="31"/>
              <w:bidi w:val="0"/>
              <w:rPr>
                <w:rFonts w:hint="default"/>
                <w:lang w:val="en-US" w:eastAsia="zh-CN"/>
              </w:rPr>
            </w:pPr>
            <w:r>
              <w:rPr>
                <w:rFonts w:hint="eastAsia"/>
                <w:lang w:val="en-US" w:eastAsia="zh-CN"/>
              </w:rPr>
              <w:t>达标</w:t>
            </w:r>
          </w:p>
        </w:tc>
      </w:tr>
      <w:tr w14:paraId="0AAAD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tcPr>
          <w:p w14:paraId="7731905C">
            <w:pPr>
              <w:pStyle w:val="31"/>
              <w:bidi w:val="0"/>
              <w:rPr>
                <w:rFonts w:hint="default"/>
                <w:lang w:val="en-US" w:eastAsia="zh-CN"/>
              </w:rPr>
            </w:pPr>
          </w:p>
        </w:tc>
        <w:tc>
          <w:tcPr>
            <w:tcW w:w="1703" w:type="dxa"/>
          </w:tcPr>
          <w:p w14:paraId="1D98546B">
            <w:pPr>
              <w:pStyle w:val="31"/>
              <w:bidi w:val="0"/>
              <w:rPr>
                <w:rFonts w:hint="default"/>
                <w:lang w:val="en-US" w:eastAsia="zh-CN"/>
              </w:rPr>
            </w:pPr>
            <w:r>
              <w:rPr>
                <w:rFonts w:hint="eastAsia"/>
                <w:lang w:val="en-US" w:eastAsia="zh-CN"/>
              </w:rPr>
              <w:t>20250522</w:t>
            </w:r>
          </w:p>
        </w:tc>
        <w:tc>
          <w:tcPr>
            <w:tcW w:w="1704" w:type="dxa"/>
          </w:tcPr>
          <w:p w14:paraId="3A804789">
            <w:pPr>
              <w:pStyle w:val="31"/>
              <w:bidi w:val="0"/>
              <w:rPr>
                <w:rFonts w:hint="default"/>
                <w:lang w:val="en-US" w:eastAsia="zh-CN"/>
              </w:rPr>
            </w:pPr>
            <w:r>
              <w:rPr>
                <w:rFonts w:hint="eastAsia"/>
                <w:lang w:val="en-US" w:eastAsia="zh-CN"/>
              </w:rPr>
              <w:t>57</w:t>
            </w:r>
          </w:p>
        </w:tc>
        <w:tc>
          <w:tcPr>
            <w:tcW w:w="1704" w:type="dxa"/>
          </w:tcPr>
          <w:p w14:paraId="17F90D99">
            <w:pPr>
              <w:pStyle w:val="31"/>
              <w:bidi w:val="0"/>
              <w:rPr>
                <w:rFonts w:hint="default"/>
                <w:lang w:val="en-US" w:eastAsia="zh-CN"/>
              </w:rPr>
            </w:pPr>
            <w:r>
              <w:rPr>
                <w:rFonts w:hint="eastAsia"/>
                <w:lang w:val="en-US" w:eastAsia="zh-CN"/>
              </w:rPr>
              <w:t>60</w:t>
            </w:r>
          </w:p>
        </w:tc>
        <w:tc>
          <w:tcPr>
            <w:tcW w:w="1704" w:type="dxa"/>
          </w:tcPr>
          <w:p w14:paraId="23A7465B">
            <w:pPr>
              <w:pStyle w:val="31"/>
              <w:bidi w:val="0"/>
              <w:rPr>
                <w:rFonts w:hint="default"/>
                <w:lang w:val="en-US" w:eastAsia="zh-CN"/>
              </w:rPr>
            </w:pPr>
            <w:r>
              <w:rPr>
                <w:rFonts w:hint="eastAsia"/>
                <w:lang w:val="en-US" w:eastAsia="zh-CN"/>
              </w:rPr>
              <w:t>达标</w:t>
            </w:r>
          </w:p>
        </w:tc>
      </w:tr>
      <w:tr w14:paraId="4BAAF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tcPr>
          <w:p w14:paraId="2BA36B16">
            <w:pPr>
              <w:pStyle w:val="31"/>
              <w:bidi w:val="0"/>
              <w:rPr>
                <w:rFonts w:hint="default"/>
                <w:lang w:val="en-US" w:eastAsia="zh-CN"/>
              </w:rPr>
            </w:pPr>
            <w:r>
              <w:rPr>
                <w:rFonts w:hint="eastAsia"/>
                <w:lang w:val="en-US" w:eastAsia="zh-CN"/>
              </w:rPr>
              <w:t>N2：项目厂界南侧</w:t>
            </w:r>
          </w:p>
        </w:tc>
        <w:tc>
          <w:tcPr>
            <w:tcW w:w="1703" w:type="dxa"/>
            <w:vAlign w:val="top"/>
          </w:tcPr>
          <w:p w14:paraId="14195BE1">
            <w:pPr>
              <w:pStyle w:val="31"/>
              <w:bidi w:val="0"/>
              <w:ind w:firstLine="0" w:firstLineChars="0"/>
              <w:rPr>
                <w:rFonts w:hint="default"/>
                <w:lang w:val="en-US" w:eastAsia="zh-CN"/>
              </w:rPr>
            </w:pPr>
            <w:r>
              <w:rPr>
                <w:rFonts w:hint="eastAsia"/>
                <w:lang w:val="en-US" w:eastAsia="zh-CN"/>
              </w:rPr>
              <w:t>20250521</w:t>
            </w:r>
          </w:p>
        </w:tc>
        <w:tc>
          <w:tcPr>
            <w:tcW w:w="1704" w:type="dxa"/>
          </w:tcPr>
          <w:p w14:paraId="716B517E">
            <w:pPr>
              <w:pStyle w:val="31"/>
              <w:bidi w:val="0"/>
              <w:rPr>
                <w:rFonts w:hint="default"/>
                <w:lang w:val="en-US" w:eastAsia="zh-CN"/>
              </w:rPr>
            </w:pPr>
            <w:r>
              <w:rPr>
                <w:rFonts w:hint="eastAsia"/>
                <w:lang w:val="en-US" w:eastAsia="zh-CN"/>
              </w:rPr>
              <w:t>53</w:t>
            </w:r>
          </w:p>
        </w:tc>
        <w:tc>
          <w:tcPr>
            <w:tcW w:w="1704" w:type="dxa"/>
          </w:tcPr>
          <w:p w14:paraId="2BB898AA">
            <w:pPr>
              <w:pStyle w:val="31"/>
              <w:bidi w:val="0"/>
              <w:rPr>
                <w:rFonts w:hint="default"/>
                <w:lang w:val="en-US" w:eastAsia="zh-CN"/>
              </w:rPr>
            </w:pPr>
            <w:r>
              <w:rPr>
                <w:rFonts w:hint="eastAsia"/>
                <w:lang w:val="en-US" w:eastAsia="zh-CN"/>
              </w:rPr>
              <w:t>60</w:t>
            </w:r>
          </w:p>
        </w:tc>
        <w:tc>
          <w:tcPr>
            <w:tcW w:w="1704" w:type="dxa"/>
          </w:tcPr>
          <w:p w14:paraId="41E7C476">
            <w:pPr>
              <w:pStyle w:val="31"/>
              <w:bidi w:val="0"/>
              <w:rPr>
                <w:rFonts w:hint="default"/>
                <w:lang w:val="en-US" w:eastAsia="zh-CN"/>
              </w:rPr>
            </w:pPr>
            <w:r>
              <w:rPr>
                <w:rFonts w:hint="eastAsia"/>
                <w:lang w:val="en-US" w:eastAsia="zh-CN"/>
              </w:rPr>
              <w:t>达标</w:t>
            </w:r>
          </w:p>
        </w:tc>
      </w:tr>
      <w:tr w14:paraId="0AE3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tcPr>
          <w:p w14:paraId="388A8366">
            <w:pPr>
              <w:pStyle w:val="31"/>
              <w:bidi w:val="0"/>
              <w:rPr>
                <w:rFonts w:hint="default"/>
                <w:lang w:val="en-US" w:eastAsia="zh-CN"/>
              </w:rPr>
            </w:pPr>
          </w:p>
        </w:tc>
        <w:tc>
          <w:tcPr>
            <w:tcW w:w="1703" w:type="dxa"/>
            <w:vAlign w:val="top"/>
          </w:tcPr>
          <w:p w14:paraId="38DE48C0">
            <w:pPr>
              <w:pStyle w:val="31"/>
              <w:bidi w:val="0"/>
              <w:ind w:firstLine="0" w:firstLineChars="0"/>
              <w:rPr>
                <w:rFonts w:hint="default"/>
                <w:lang w:val="en-US" w:eastAsia="zh-CN"/>
              </w:rPr>
            </w:pPr>
            <w:r>
              <w:rPr>
                <w:rFonts w:hint="eastAsia"/>
                <w:lang w:val="en-US" w:eastAsia="zh-CN"/>
              </w:rPr>
              <w:t>20250522</w:t>
            </w:r>
          </w:p>
        </w:tc>
        <w:tc>
          <w:tcPr>
            <w:tcW w:w="1704" w:type="dxa"/>
          </w:tcPr>
          <w:p w14:paraId="7EB2E0B2">
            <w:pPr>
              <w:pStyle w:val="31"/>
              <w:bidi w:val="0"/>
              <w:rPr>
                <w:rFonts w:hint="default"/>
                <w:lang w:val="en-US" w:eastAsia="zh-CN"/>
              </w:rPr>
            </w:pPr>
            <w:r>
              <w:rPr>
                <w:rFonts w:hint="eastAsia"/>
                <w:lang w:val="en-US" w:eastAsia="zh-CN"/>
              </w:rPr>
              <w:t>54</w:t>
            </w:r>
          </w:p>
        </w:tc>
        <w:tc>
          <w:tcPr>
            <w:tcW w:w="1704" w:type="dxa"/>
          </w:tcPr>
          <w:p w14:paraId="523D4733">
            <w:pPr>
              <w:pStyle w:val="31"/>
              <w:bidi w:val="0"/>
              <w:rPr>
                <w:rFonts w:hint="default"/>
                <w:lang w:val="en-US" w:eastAsia="zh-CN"/>
              </w:rPr>
            </w:pPr>
            <w:r>
              <w:rPr>
                <w:rFonts w:hint="eastAsia"/>
                <w:lang w:val="en-US" w:eastAsia="zh-CN"/>
              </w:rPr>
              <w:t>60</w:t>
            </w:r>
          </w:p>
        </w:tc>
        <w:tc>
          <w:tcPr>
            <w:tcW w:w="1704" w:type="dxa"/>
          </w:tcPr>
          <w:p w14:paraId="1899D293">
            <w:pPr>
              <w:pStyle w:val="31"/>
              <w:bidi w:val="0"/>
              <w:rPr>
                <w:rFonts w:hint="default"/>
                <w:lang w:val="en-US" w:eastAsia="zh-CN"/>
              </w:rPr>
            </w:pPr>
            <w:r>
              <w:rPr>
                <w:rFonts w:hint="eastAsia"/>
                <w:lang w:val="en-US" w:eastAsia="zh-CN"/>
              </w:rPr>
              <w:t>达标</w:t>
            </w:r>
          </w:p>
        </w:tc>
      </w:tr>
      <w:tr w14:paraId="674C7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tcPr>
          <w:p w14:paraId="1AEB38F2">
            <w:pPr>
              <w:pStyle w:val="31"/>
              <w:bidi w:val="0"/>
              <w:rPr>
                <w:rFonts w:hint="default"/>
                <w:lang w:val="en-US" w:eastAsia="zh-CN"/>
              </w:rPr>
            </w:pPr>
            <w:r>
              <w:rPr>
                <w:rFonts w:hint="eastAsia"/>
                <w:lang w:val="en-US" w:eastAsia="zh-CN"/>
              </w:rPr>
              <w:t>N3：项目厂界西侧</w:t>
            </w:r>
          </w:p>
        </w:tc>
        <w:tc>
          <w:tcPr>
            <w:tcW w:w="1703" w:type="dxa"/>
            <w:vAlign w:val="top"/>
          </w:tcPr>
          <w:p w14:paraId="04506CDB">
            <w:pPr>
              <w:pStyle w:val="31"/>
              <w:bidi w:val="0"/>
              <w:ind w:firstLine="0" w:firstLineChars="0"/>
              <w:rPr>
                <w:rFonts w:hint="default"/>
                <w:lang w:val="en-US" w:eastAsia="zh-CN"/>
              </w:rPr>
            </w:pPr>
            <w:r>
              <w:rPr>
                <w:rFonts w:hint="eastAsia"/>
                <w:lang w:val="en-US" w:eastAsia="zh-CN"/>
              </w:rPr>
              <w:t>20250521</w:t>
            </w:r>
          </w:p>
        </w:tc>
        <w:tc>
          <w:tcPr>
            <w:tcW w:w="1704" w:type="dxa"/>
          </w:tcPr>
          <w:p w14:paraId="01F6D60C">
            <w:pPr>
              <w:pStyle w:val="31"/>
              <w:bidi w:val="0"/>
              <w:rPr>
                <w:rFonts w:hint="default"/>
                <w:lang w:val="en-US" w:eastAsia="zh-CN"/>
              </w:rPr>
            </w:pPr>
            <w:r>
              <w:rPr>
                <w:rFonts w:hint="eastAsia"/>
                <w:lang w:val="en-US" w:eastAsia="zh-CN"/>
              </w:rPr>
              <w:t>54</w:t>
            </w:r>
          </w:p>
        </w:tc>
        <w:tc>
          <w:tcPr>
            <w:tcW w:w="1704" w:type="dxa"/>
          </w:tcPr>
          <w:p w14:paraId="7E9DDBDE">
            <w:pPr>
              <w:pStyle w:val="31"/>
              <w:bidi w:val="0"/>
              <w:rPr>
                <w:rFonts w:hint="default"/>
                <w:lang w:val="en-US" w:eastAsia="zh-CN"/>
              </w:rPr>
            </w:pPr>
            <w:r>
              <w:rPr>
                <w:rFonts w:hint="eastAsia"/>
                <w:lang w:val="en-US" w:eastAsia="zh-CN"/>
              </w:rPr>
              <w:t>60</w:t>
            </w:r>
          </w:p>
        </w:tc>
        <w:tc>
          <w:tcPr>
            <w:tcW w:w="1704" w:type="dxa"/>
          </w:tcPr>
          <w:p w14:paraId="73EB94DD">
            <w:pPr>
              <w:pStyle w:val="31"/>
              <w:bidi w:val="0"/>
              <w:rPr>
                <w:rFonts w:hint="default"/>
                <w:lang w:val="en-US" w:eastAsia="zh-CN"/>
              </w:rPr>
            </w:pPr>
            <w:r>
              <w:rPr>
                <w:rFonts w:hint="eastAsia"/>
                <w:lang w:val="en-US" w:eastAsia="zh-CN"/>
              </w:rPr>
              <w:t>达标</w:t>
            </w:r>
          </w:p>
        </w:tc>
      </w:tr>
      <w:tr w14:paraId="377D4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tcPr>
          <w:p w14:paraId="4B09C156">
            <w:pPr>
              <w:pStyle w:val="31"/>
              <w:bidi w:val="0"/>
              <w:rPr>
                <w:rFonts w:hint="default"/>
                <w:lang w:val="en-US" w:eastAsia="zh-CN"/>
              </w:rPr>
            </w:pPr>
          </w:p>
        </w:tc>
        <w:tc>
          <w:tcPr>
            <w:tcW w:w="1703" w:type="dxa"/>
            <w:vAlign w:val="top"/>
          </w:tcPr>
          <w:p w14:paraId="28D9DA4B">
            <w:pPr>
              <w:pStyle w:val="31"/>
              <w:bidi w:val="0"/>
              <w:ind w:firstLine="0" w:firstLineChars="0"/>
              <w:rPr>
                <w:rFonts w:hint="default"/>
                <w:lang w:val="en-US" w:eastAsia="zh-CN"/>
              </w:rPr>
            </w:pPr>
            <w:r>
              <w:rPr>
                <w:rFonts w:hint="eastAsia"/>
                <w:lang w:val="en-US" w:eastAsia="zh-CN"/>
              </w:rPr>
              <w:t>20250522</w:t>
            </w:r>
          </w:p>
        </w:tc>
        <w:tc>
          <w:tcPr>
            <w:tcW w:w="1704" w:type="dxa"/>
          </w:tcPr>
          <w:p w14:paraId="374379E5">
            <w:pPr>
              <w:pStyle w:val="31"/>
              <w:bidi w:val="0"/>
              <w:rPr>
                <w:rFonts w:hint="default"/>
                <w:lang w:val="en-US" w:eastAsia="zh-CN"/>
              </w:rPr>
            </w:pPr>
            <w:r>
              <w:rPr>
                <w:rFonts w:hint="eastAsia"/>
                <w:lang w:val="en-US" w:eastAsia="zh-CN"/>
              </w:rPr>
              <w:t>54</w:t>
            </w:r>
          </w:p>
        </w:tc>
        <w:tc>
          <w:tcPr>
            <w:tcW w:w="1704" w:type="dxa"/>
          </w:tcPr>
          <w:p w14:paraId="6FB18F27">
            <w:pPr>
              <w:pStyle w:val="31"/>
              <w:bidi w:val="0"/>
              <w:rPr>
                <w:rFonts w:hint="default"/>
                <w:lang w:val="en-US" w:eastAsia="zh-CN"/>
              </w:rPr>
            </w:pPr>
            <w:r>
              <w:rPr>
                <w:rFonts w:hint="eastAsia"/>
                <w:lang w:val="en-US" w:eastAsia="zh-CN"/>
              </w:rPr>
              <w:t>60</w:t>
            </w:r>
          </w:p>
        </w:tc>
        <w:tc>
          <w:tcPr>
            <w:tcW w:w="1704" w:type="dxa"/>
          </w:tcPr>
          <w:p w14:paraId="41838C19">
            <w:pPr>
              <w:pStyle w:val="31"/>
              <w:bidi w:val="0"/>
              <w:rPr>
                <w:rFonts w:hint="default"/>
                <w:lang w:val="en-US" w:eastAsia="zh-CN"/>
              </w:rPr>
            </w:pPr>
            <w:r>
              <w:rPr>
                <w:rFonts w:hint="eastAsia"/>
                <w:lang w:val="en-US" w:eastAsia="zh-CN"/>
              </w:rPr>
              <w:t>达标</w:t>
            </w:r>
          </w:p>
        </w:tc>
      </w:tr>
      <w:tr w14:paraId="50F2F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tcPr>
          <w:p w14:paraId="0E5C3842">
            <w:pPr>
              <w:pStyle w:val="31"/>
              <w:bidi w:val="0"/>
              <w:rPr>
                <w:rFonts w:hint="default"/>
                <w:lang w:val="en-US" w:eastAsia="zh-CN"/>
              </w:rPr>
            </w:pPr>
            <w:r>
              <w:rPr>
                <w:rFonts w:hint="eastAsia"/>
                <w:lang w:val="en-US" w:eastAsia="zh-CN"/>
              </w:rPr>
              <w:t>N4：项目厂界北侧</w:t>
            </w:r>
          </w:p>
        </w:tc>
        <w:tc>
          <w:tcPr>
            <w:tcW w:w="1703" w:type="dxa"/>
            <w:vAlign w:val="top"/>
          </w:tcPr>
          <w:p w14:paraId="3378A598">
            <w:pPr>
              <w:pStyle w:val="31"/>
              <w:bidi w:val="0"/>
              <w:ind w:firstLine="0" w:firstLineChars="0"/>
              <w:rPr>
                <w:rFonts w:hint="default"/>
                <w:lang w:val="en-US" w:eastAsia="zh-CN"/>
              </w:rPr>
            </w:pPr>
            <w:r>
              <w:rPr>
                <w:rFonts w:hint="eastAsia"/>
                <w:lang w:val="en-US" w:eastAsia="zh-CN"/>
              </w:rPr>
              <w:t>20250521</w:t>
            </w:r>
          </w:p>
        </w:tc>
        <w:tc>
          <w:tcPr>
            <w:tcW w:w="1704" w:type="dxa"/>
          </w:tcPr>
          <w:p w14:paraId="40EE7CAA">
            <w:pPr>
              <w:pStyle w:val="31"/>
              <w:bidi w:val="0"/>
              <w:rPr>
                <w:rFonts w:hint="default"/>
                <w:lang w:val="en-US" w:eastAsia="zh-CN"/>
              </w:rPr>
            </w:pPr>
            <w:r>
              <w:rPr>
                <w:rFonts w:hint="eastAsia"/>
                <w:lang w:val="en-US" w:eastAsia="zh-CN"/>
              </w:rPr>
              <w:t>52</w:t>
            </w:r>
          </w:p>
        </w:tc>
        <w:tc>
          <w:tcPr>
            <w:tcW w:w="1704" w:type="dxa"/>
          </w:tcPr>
          <w:p w14:paraId="5C40E451">
            <w:pPr>
              <w:pStyle w:val="31"/>
              <w:bidi w:val="0"/>
              <w:rPr>
                <w:rFonts w:hint="default"/>
                <w:lang w:val="en-US" w:eastAsia="zh-CN"/>
              </w:rPr>
            </w:pPr>
            <w:r>
              <w:rPr>
                <w:rFonts w:hint="eastAsia"/>
                <w:lang w:val="en-US" w:eastAsia="zh-CN"/>
              </w:rPr>
              <w:t>60</w:t>
            </w:r>
          </w:p>
        </w:tc>
        <w:tc>
          <w:tcPr>
            <w:tcW w:w="1704" w:type="dxa"/>
          </w:tcPr>
          <w:p w14:paraId="608B8860">
            <w:pPr>
              <w:pStyle w:val="31"/>
              <w:bidi w:val="0"/>
              <w:rPr>
                <w:rFonts w:hint="default"/>
                <w:lang w:val="en-US" w:eastAsia="zh-CN"/>
              </w:rPr>
            </w:pPr>
            <w:r>
              <w:rPr>
                <w:rFonts w:hint="eastAsia"/>
                <w:lang w:val="en-US" w:eastAsia="zh-CN"/>
              </w:rPr>
              <w:t>达标</w:t>
            </w:r>
          </w:p>
        </w:tc>
      </w:tr>
      <w:tr w14:paraId="6F752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tcPr>
          <w:p w14:paraId="360BDFF1">
            <w:pPr>
              <w:pStyle w:val="31"/>
              <w:bidi w:val="0"/>
              <w:rPr>
                <w:rFonts w:hint="default"/>
                <w:lang w:val="en-US" w:eastAsia="zh-CN"/>
              </w:rPr>
            </w:pPr>
          </w:p>
        </w:tc>
        <w:tc>
          <w:tcPr>
            <w:tcW w:w="1703" w:type="dxa"/>
            <w:vAlign w:val="top"/>
          </w:tcPr>
          <w:p w14:paraId="21D29D3A">
            <w:pPr>
              <w:pStyle w:val="31"/>
              <w:bidi w:val="0"/>
              <w:ind w:firstLine="0" w:firstLineChars="0"/>
              <w:rPr>
                <w:rFonts w:hint="default"/>
                <w:lang w:val="en-US" w:eastAsia="zh-CN"/>
              </w:rPr>
            </w:pPr>
            <w:r>
              <w:rPr>
                <w:rFonts w:hint="eastAsia"/>
                <w:lang w:val="en-US" w:eastAsia="zh-CN"/>
              </w:rPr>
              <w:t>20250522</w:t>
            </w:r>
          </w:p>
        </w:tc>
        <w:tc>
          <w:tcPr>
            <w:tcW w:w="1704" w:type="dxa"/>
          </w:tcPr>
          <w:p w14:paraId="3C4EDD74">
            <w:pPr>
              <w:pStyle w:val="31"/>
              <w:bidi w:val="0"/>
              <w:rPr>
                <w:rFonts w:hint="default"/>
                <w:lang w:val="en-US" w:eastAsia="zh-CN"/>
              </w:rPr>
            </w:pPr>
            <w:r>
              <w:rPr>
                <w:rFonts w:hint="eastAsia"/>
                <w:lang w:val="en-US" w:eastAsia="zh-CN"/>
              </w:rPr>
              <w:t>51</w:t>
            </w:r>
          </w:p>
        </w:tc>
        <w:tc>
          <w:tcPr>
            <w:tcW w:w="1704" w:type="dxa"/>
          </w:tcPr>
          <w:p w14:paraId="7BEAFD65">
            <w:pPr>
              <w:pStyle w:val="31"/>
              <w:bidi w:val="0"/>
              <w:rPr>
                <w:rFonts w:hint="default"/>
                <w:lang w:val="en-US" w:eastAsia="zh-CN"/>
              </w:rPr>
            </w:pPr>
            <w:r>
              <w:rPr>
                <w:rFonts w:hint="eastAsia"/>
                <w:lang w:val="en-US" w:eastAsia="zh-CN"/>
              </w:rPr>
              <w:t>60</w:t>
            </w:r>
          </w:p>
        </w:tc>
        <w:tc>
          <w:tcPr>
            <w:tcW w:w="1704" w:type="dxa"/>
          </w:tcPr>
          <w:p w14:paraId="4C42AEF0">
            <w:pPr>
              <w:pStyle w:val="31"/>
              <w:bidi w:val="0"/>
              <w:rPr>
                <w:rFonts w:hint="default"/>
                <w:lang w:val="en-US" w:eastAsia="zh-CN"/>
              </w:rPr>
            </w:pPr>
            <w:r>
              <w:rPr>
                <w:rFonts w:hint="eastAsia"/>
                <w:lang w:val="en-US" w:eastAsia="zh-CN"/>
              </w:rPr>
              <w:t>达标</w:t>
            </w:r>
          </w:p>
        </w:tc>
      </w:tr>
    </w:tbl>
    <w:p w14:paraId="1EABCC17">
      <w:pPr>
        <w:pStyle w:val="21"/>
        <w:rPr>
          <w:rFonts w:hint="eastAsia" w:eastAsia="宋体"/>
          <w:lang w:val="en-US" w:eastAsia="zh-CN"/>
        </w:rPr>
      </w:pPr>
      <w:r>
        <w:rPr>
          <w:rFonts w:hint="eastAsia"/>
          <w:lang w:val="en-US" w:eastAsia="zh-CN"/>
        </w:rPr>
        <w:t>根据监测结果，本次环评期间，现有工程昼间厂界噪声能够满足</w:t>
      </w:r>
      <w:r>
        <w:rPr>
          <w:rFonts w:hint="default"/>
        </w:rPr>
        <w:t>《工业企业厂界环境噪声排放标准》（GB12348-2008）中</w:t>
      </w:r>
      <w:r>
        <w:rPr>
          <w:rFonts w:hint="eastAsia"/>
          <w:lang w:val="en-US" w:eastAsia="zh-CN"/>
        </w:rPr>
        <w:t>2</w:t>
      </w:r>
      <w:r>
        <w:rPr>
          <w:rFonts w:hint="default"/>
        </w:rPr>
        <w:t>类标准限值</w:t>
      </w:r>
      <w:r>
        <w:rPr>
          <w:rFonts w:hint="eastAsia"/>
          <w:lang w:eastAsia="zh-CN"/>
        </w:rPr>
        <w:t>。</w:t>
      </w:r>
    </w:p>
    <w:p w14:paraId="0DCF3542">
      <w:pPr>
        <w:pStyle w:val="33"/>
        <w:bidi w:val="0"/>
        <w:rPr>
          <w:rFonts w:hint="eastAsia"/>
          <w:lang w:val="en-US" w:eastAsia="zh-CN"/>
        </w:rPr>
      </w:pPr>
      <w:bookmarkStart w:id="90" w:name="_Toc13765"/>
      <w:r>
        <w:rPr>
          <w:rFonts w:hint="eastAsia"/>
          <w:lang w:val="en-US" w:eastAsia="zh-CN"/>
        </w:rPr>
        <w:t>3.1.6现有工程污染物排放量核算</w:t>
      </w:r>
      <w:bookmarkEnd w:id="90"/>
    </w:p>
    <w:p w14:paraId="672B06EF">
      <w:pPr>
        <w:pStyle w:val="21"/>
        <w:rPr>
          <w:rFonts w:hint="eastAsia"/>
          <w:lang w:val="en-US" w:eastAsia="zh-CN"/>
        </w:rPr>
      </w:pPr>
      <w:r>
        <w:rPr>
          <w:rFonts w:hint="eastAsia"/>
          <w:lang w:val="en-US" w:eastAsia="zh-CN"/>
        </w:rPr>
        <w:t>由于现有工程废气均为无组织排放，无法通过检测数据准确核算现有工程废气污染物排放量，因此本次采用现有工程环评报告中核算数据作为现有工程废气污染物排放量；固体废物产排量按照企业2024年全年统计数据作为依据，具体如下：</w:t>
      </w:r>
    </w:p>
    <w:p w14:paraId="370C2783">
      <w:pPr>
        <w:pStyle w:val="23"/>
        <w:bidi w:val="0"/>
        <w:rPr>
          <w:rFonts w:hint="eastAsia"/>
          <w:lang w:val="en-US" w:eastAsia="zh-CN"/>
        </w:rPr>
      </w:pPr>
      <w:r>
        <w:rPr>
          <w:rFonts w:hint="eastAsia"/>
          <w:lang w:val="en-US" w:eastAsia="zh-CN"/>
        </w:rPr>
        <w:t>表3.1-12  现有工程污染物排放量统计表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2BC3A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339A591B">
            <w:pPr>
              <w:pStyle w:val="31"/>
              <w:bidi w:val="0"/>
              <w:jc w:val="center"/>
              <w:rPr>
                <w:rFonts w:hint="default"/>
                <w:lang w:val="en-US" w:eastAsia="zh-CN"/>
              </w:rPr>
            </w:pPr>
            <w:r>
              <w:rPr>
                <w:rFonts w:hint="eastAsia"/>
                <w:lang w:val="en-US" w:eastAsia="zh-CN"/>
              </w:rPr>
              <w:t>要素</w:t>
            </w:r>
          </w:p>
        </w:tc>
        <w:tc>
          <w:tcPr>
            <w:tcW w:w="2130" w:type="dxa"/>
            <w:vAlign w:val="center"/>
          </w:tcPr>
          <w:p w14:paraId="7AF842BD">
            <w:pPr>
              <w:pStyle w:val="31"/>
              <w:bidi w:val="0"/>
              <w:jc w:val="center"/>
              <w:rPr>
                <w:rFonts w:hint="default"/>
                <w:lang w:val="en-US" w:eastAsia="zh-CN"/>
              </w:rPr>
            </w:pPr>
            <w:r>
              <w:rPr>
                <w:rFonts w:hint="eastAsia"/>
                <w:lang w:val="en-US" w:eastAsia="zh-CN"/>
              </w:rPr>
              <w:t>污染物</w:t>
            </w:r>
          </w:p>
        </w:tc>
        <w:tc>
          <w:tcPr>
            <w:tcW w:w="2131" w:type="dxa"/>
            <w:vAlign w:val="center"/>
          </w:tcPr>
          <w:p w14:paraId="32373543">
            <w:pPr>
              <w:pStyle w:val="31"/>
              <w:bidi w:val="0"/>
              <w:jc w:val="center"/>
              <w:rPr>
                <w:rFonts w:hint="default"/>
                <w:lang w:val="en-US" w:eastAsia="zh-CN"/>
              </w:rPr>
            </w:pPr>
            <w:r>
              <w:rPr>
                <w:rFonts w:hint="eastAsia"/>
                <w:lang w:val="en-US" w:eastAsia="zh-CN"/>
              </w:rPr>
              <w:t>年排放量t/a</w:t>
            </w:r>
          </w:p>
        </w:tc>
        <w:tc>
          <w:tcPr>
            <w:tcW w:w="2131" w:type="dxa"/>
            <w:vAlign w:val="center"/>
          </w:tcPr>
          <w:p w14:paraId="4A59ECF3">
            <w:pPr>
              <w:pStyle w:val="31"/>
              <w:bidi w:val="0"/>
              <w:jc w:val="center"/>
              <w:rPr>
                <w:rFonts w:hint="default"/>
                <w:lang w:val="en-US" w:eastAsia="zh-CN"/>
              </w:rPr>
            </w:pPr>
            <w:r>
              <w:rPr>
                <w:rFonts w:hint="eastAsia"/>
                <w:lang w:val="en-US" w:eastAsia="zh-CN"/>
              </w:rPr>
              <w:t>排放方式及去向</w:t>
            </w:r>
          </w:p>
        </w:tc>
      </w:tr>
      <w:tr w14:paraId="25A89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vAlign w:val="center"/>
          </w:tcPr>
          <w:p w14:paraId="786117DD">
            <w:pPr>
              <w:pStyle w:val="31"/>
              <w:bidi w:val="0"/>
              <w:jc w:val="center"/>
              <w:rPr>
                <w:rFonts w:hint="default"/>
                <w:lang w:val="en-US" w:eastAsia="zh-CN"/>
              </w:rPr>
            </w:pPr>
            <w:r>
              <w:rPr>
                <w:rFonts w:hint="eastAsia"/>
                <w:lang w:val="en-US" w:eastAsia="zh-CN"/>
              </w:rPr>
              <w:t>废气</w:t>
            </w:r>
          </w:p>
        </w:tc>
        <w:tc>
          <w:tcPr>
            <w:tcW w:w="2130" w:type="dxa"/>
            <w:vAlign w:val="center"/>
          </w:tcPr>
          <w:p w14:paraId="531127A6">
            <w:pPr>
              <w:pStyle w:val="31"/>
              <w:bidi w:val="0"/>
              <w:jc w:val="center"/>
              <w:rPr>
                <w:rFonts w:hint="default"/>
                <w:lang w:val="en-US" w:eastAsia="zh-CN"/>
              </w:rPr>
            </w:pPr>
            <w:r>
              <w:rPr>
                <w:rFonts w:hint="eastAsia"/>
                <w:lang w:val="en-US" w:eastAsia="zh-CN"/>
              </w:rPr>
              <w:t>颗粒物</w:t>
            </w:r>
          </w:p>
        </w:tc>
        <w:tc>
          <w:tcPr>
            <w:tcW w:w="2131" w:type="dxa"/>
            <w:vAlign w:val="center"/>
          </w:tcPr>
          <w:p w14:paraId="6EABF9CB">
            <w:pPr>
              <w:pStyle w:val="31"/>
              <w:bidi w:val="0"/>
              <w:jc w:val="center"/>
              <w:rPr>
                <w:rFonts w:hint="default"/>
                <w:lang w:val="en-US" w:eastAsia="zh-CN"/>
              </w:rPr>
            </w:pPr>
            <w:r>
              <w:rPr>
                <w:rFonts w:hint="eastAsia"/>
                <w:lang w:val="en-US" w:eastAsia="zh-CN"/>
              </w:rPr>
              <w:t>0.31</w:t>
            </w:r>
          </w:p>
        </w:tc>
        <w:tc>
          <w:tcPr>
            <w:tcW w:w="2131" w:type="dxa"/>
            <w:vMerge w:val="restart"/>
            <w:vAlign w:val="center"/>
          </w:tcPr>
          <w:p w14:paraId="58466FEF">
            <w:pPr>
              <w:pStyle w:val="31"/>
              <w:bidi w:val="0"/>
              <w:jc w:val="center"/>
              <w:rPr>
                <w:rFonts w:hint="default"/>
                <w:lang w:val="en-US" w:eastAsia="zh-CN"/>
              </w:rPr>
            </w:pPr>
            <w:r>
              <w:rPr>
                <w:rFonts w:hint="eastAsia"/>
                <w:lang w:val="en-US" w:eastAsia="zh-CN"/>
              </w:rPr>
              <w:t>无组织排放</w:t>
            </w:r>
          </w:p>
        </w:tc>
      </w:tr>
      <w:tr w14:paraId="31B4D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3D2C026C">
            <w:pPr>
              <w:pStyle w:val="31"/>
              <w:bidi w:val="0"/>
              <w:jc w:val="center"/>
              <w:rPr>
                <w:rFonts w:hint="default"/>
                <w:lang w:val="en-US" w:eastAsia="zh-CN"/>
              </w:rPr>
            </w:pPr>
          </w:p>
        </w:tc>
        <w:tc>
          <w:tcPr>
            <w:tcW w:w="2130" w:type="dxa"/>
            <w:vAlign w:val="center"/>
          </w:tcPr>
          <w:p w14:paraId="48D4D534">
            <w:pPr>
              <w:pStyle w:val="31"/>
              <w:bidi w:val="0"/>
              <w:jc w:val="center"/>
              <w:rPr>
                <w:rFonts w:hint="default"/>
                <w:lang w:val="en-US" w:eastAsia="zh-CN"/>
              </w:rPr>
            </w:pPr>
            <w:r>
              <w:rPr>
                <w:rFonts w:hint="eastAsia"/>
                <w:lang w:val="en-US" w:eastAsia="zh-CN"/>
              </w:rPr>
              <w:t>VOCs</w:t>
            </w:r>
          </w:p>
        </w:tc>
        <w:tc>
          <w:tcPr>
            <w:tcW w:w="2131" w:type="dxa"/>
            <w:vAlign w:val="center"/>
          </w:tcPr>
          <w:p w14:paraId="6CEE3577">
            <w:pPr>
              <w:pStyle w:val="31"/>
              <w:bidi w:val="0"/>
              <w:jc w:val="center"/>
              <w:rPr>
                <w:rFonts w:hint="default"/>
                <w:lang w:val="en-US" w:eastAsia="zh-CN"/>
              </w:rPr>
            </w:pPr>
            <w:r>
              <w:rPr>
                <w:rFonts w:hint="eastAsia"/>
                <w:lang w:val="en-US" w:eastAsia="zh-CN"/>
              </w:rPr>
              <w:t>0.46</w:t>
            </w:r>
          </w:p>
        </w:tc>
        <w:tc>
          <w:tcPr>
            <w:tcW w:w="2131" w:type="dxa"/>
            <w:vMerge w:val="continue"/>
            <w:vAlign w:val="center"/>
          </w:tcPr>
          <w:p w14:paraId="3BFC3DF5">
            <w:pPr>
              <w:pStyle w:val="31"/>
              <w:bidi w:val="0"/>
              <w:jc w:val="center"/>
              <w:rPr>
                <w:rFonts w:hint="default"/>
                <w:lang w:val="en-US" w:eastAsia="zh-CN"/>
              </w:rPr>
            </w:pPr>
          </w:p>
        </w:tc>
      </w:tr>
      <w:tr w14:paraId="6A538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5AEC79CE">
            <w:pPr>
              <w:pStyle w:val="31"/>
              <w:bidi w:val="0"/>
              <w:jc w:val="center"/>
              <w:rPr>
                <w:rFonts w:hint="default"/>
                <w:lang w:val="en-US" w:eastAsia="zh-CN"/>
              </w:rPr>
            </w:pPr>
          </w:p>
        </w:tc>
        <w:tc>
          <w:tcPr>
            <w:tcW w:w="2130" w:type="dxa"/>
            <w:vAlign w:val="center"/>
          </w:tcPr>
          <w:p w14:paraId="7F84A231">
            <w:pPr>
              <w:pStyle w:val="31"/>
              <w:bidi w:val="0"/>
              <w:jc w:val="center"/>
              <w:rPr>
                <w:rFonts w:hint="default"/>
                <w:lang w:val="en-US" w:eastAsia="zh-CN"/>
              </w:rPr>
            </w:pPr>
            <w:r>
              <w:rPr>
                <w:rFonts w:hint="eastAsia"/>
                <w:lang w:val="en-US" w:eastAsia="zh-CN"/>
              </w:rPr>
              <w:t>甲苯</w:t>
            </w:r>
          </w:p>
        </w:tc>
        <w:tc>
          <w:tcPr>
            <w:tcW w:w="2131" w:type="dxa"/>
            <w:vAlign w:val="center"/>
          </w:tcPr>
          <w:p w14:paraId="137489D7">
            <w:pPr>
              <w:pStyle w:val="31"/>
              <w:bidi w:val="0"/>
              <w:jc w:val="center"/>
              <w:rPr>
                <w:rFonts w:hint="default"/>
                <w:lang w:val="en-US" w:eastAsia="zh-CN"/>
              </w:rPr>
            </w:pPr>
            <w:r>
              <w:rPr>
                <w:rFonts w:hint="eastAsia"/>
                <w:lang w:val="en-US" w:eastAsia="zh-CN"/>
              </w:rPr>
              <w:t>0.07</w:t>
            </w:r>
          </w:p>
        </w:tc>
        <w:tc>
          <w:tcPr>
            <w:tcW w:w="2131" w:type="dxa"/>
            <w:vMerge w:val="continue"/>
            <w:vAlign w:val="center"/>
          </w:tcPr>
          <w:p w14:paraId="074C14CD">
            <w:pPr>
              <w:pStyle w:val="31"/>
              <w:bidi w:val="0"/>
              <w:jc w:val="center"/>
              <w:rPr>
                <w:rFonts w:hint="default"/>
                <w:lang w:val="en-US" w:eastAsia="zh-CN"/>
              </w:rPr>
            </w:pPr>
          </w:p>
        </w:tc>
      </w:tr>
      <w:tr w14:paraId="5256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3955E1F1">
            <w:pPr>
              <w:pStyle w:val="31"/>
              <w:bidi w:val="0"/>
              <w:jc w:val="center"/>
              <w:rPr>
                <w:rFonts w:hint="default"/>
                <w:lang w:val="en-US" w:eastAsia="zh-CN"/>
              </w:rPr>
            </w:pPr>
          </w:p>
        </w:tc>
        <w:tc>
          <w:tcPr>
            <w:tcW w:w="2130" w:type="dxa"/>
            <w:vAlign w:val="center"/>
          </w:tcPr>
          <w:p w14:paraId="23866A77">
            <w:pPr>
              <w:pStyle w:val="31"/>
              <w:bidi w:val="0"/>
              <w:jc w:val="center"/>
              <w:rPr>
                <w:rFonts w:hint="default"/>
                <w:lang w:val="en-US" w:eastAsia="zh-CN"/>
              </w:rPr>
            </w:pPr>
            <w:r>
              <w:rPr>
                <w:rFonts w:hint="eastAsia"/>
                <w:lang w:val="en-US" w:eastAsia="zh-CN"/>
              </w:rPr>
              <w:t>二甲苯</w:t>
            </w:r>
          </w:p>
        </w:tc>
        <w:tc>
          <w:tcPr>
            <w:tcW w:w="2131" w:type="dxa"/>
            <w:vAlign w:val="center"/>
          </w:tcPr>
          <w:p w14:paraId="00F38D29">
            <w:pPr>
              <w:pStyle w:val="31"/>
              <w:bidi w:val="0"/>
              <w:jc w:val="center"/>
              <w:rPr>
                <w:rFonts w:hint="default"/>
                <w:lang w:val="en-US" w:eastAsia="zh-CN"/>
              </w:rPr>
            </w:pPr>
            <w:r>
              <w:rPr>
                <w:rFonts w:hint="eastAsia"/>
                <w:lang w:val="en-US" w:eastAsia="zh-CN"/>
              </w:rPr>
              <w:t>0.1</w:t>
            </w:r>
          </w:p>
        </w:tc>
        <w:tc>
          <w:tcPr>
            <w:tcW w:w="2131" w:type="dxa"/>
            <w:vMerge w:val="continue"/>
            <w:vAlign w:val="center"/>
          </w:tcPr>
          <w:p w14:paraId="5CEEC8D4">
            <w:pPr>
              <w:pStyle w:val="31"/>
              <w:bidi w:val="0"/>
              <w:jc w:val="center"/>
              <w:rPr>
                <w:rFonts w:hint="default"/>
                <w:lang w:val="en-US" w:eastAsia="zh-CN"/>
              </w:rPr>
            </w:pPr>
          </w:p>
        </w:tc>
      </w:tr>
      <w:tr w14:paraId="1957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vAlign w:val="center"/>
          </w:tcPr>
          <w:p w14:paraId="17951FE8">
            <w:pPr>
              <w:pStyle w:val="31"/>
              <w:bidi w:val="0"/>
              <w:jc w:val="center"/>
              <w:rPr>
                <w:rFonts w:hint="default"/>
                <w:lang w:val="en-US" w:eastAsia="zh-CN"/>
              </w:rPr>
            </w:pPr>
            <w:r>
              <w:rPr>
                <w:rFonts w:hint="eastAsia"/>
                <w:lang w:val="en-US" w:eastAsia="zh-CN"/>
              </w:rPr>
              <w:t>废水</w:t>
            </w:r>
          </w:p>
        </w:tc>
        <w:tc>
          <w:tcPr>
            <w:tcW w:w="2130" w:type="dxa"/>
            <w:vAlign w:val="center"/>
          </w:tcPr>
          <w:p w14:paraId="62CF6F80">
            <w:pPr>
              <w:pStyle w:val="31"/>
              <w:bidi w:val="0"/>
              <w:jc w:val="center"/>
              <w:rPr>
                <w:rFonts w:hint="default"/>
                <w:lang w:val="en-US" w:eastAsia="zh-CN"/>
              </w:rPr>
            </w:pPr>
            <w:r>
              <w:rPr>
                <w:rFonts w:hint="eastAsia"/>
                <w:lang w:val="en-US" w:eastAsia="zh-CN"/>
              </w:rPr>
              <w:t>生活污水</w:t>
            </w:r>
          </w:p>
        </w:tc>
        <w:tc>
          <w:tcPr>
            <w:tcW w:w="2131" w:type="dxa"/>
            <w:vAlign w:val="center"/>
          </w:tcPr>
          <w:p w14:paraId="187DD777">
            <w:pPr>
              <w:pStyle w:val="31"/>
              <w:bidi w:val="0"/>
              <w:jc w:val="center"/>
              <w:rPr>
                <w:rFonts w:hint="default"/>
                <w:lang w:val="en-US" w:eastAsia="zh-CN"/>
              </w:rPr>
            </w:pPr>
            <w:r>
              <w:rPr>
                <w:rFonts w:hint="eastAsia"/>
                <w:lang w:val="en-US" w:eastAsia="zh-CN"/>
              </w:rPr>
              <w:t>72</w:t>
            </w:r>
          </w:p>
        </w:tc>
        <w:tc>
          <w:tcPr>
            <w:tcW w:w="2131" w:type="dxa"/>
            <w:vAlign w:val="center"/>
          </w:tcPr>
          <w:p w14:paraId="0F03BE4B">
            <w:pPr>
              <w:pStyle w:val="31"/>
              <w:bidi w:val="0"/>
              <w:jc w:val="center"/>
              <w:rPr>
                <w:rFonts w:hint="default"/>
                <w:lang w:val="en-US" w:eastAsia="zh-CN"/>
              </w:rPr>
            </w:pPr>
            <w:r>
              <w:rPr>
                <w:rFonts w:hint="eastAsia"/>
                <w:lang w:val="en-US" w:eastAsia="zh-CN"/>
              </w:rPr>
              <w:t>定期清掏用作农肥</w:t>
            </w:r>
          </w:p>
        </w:tc>
      </w:tr>
      <w:tr w14:paraId="2D7F3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3EA8EC1C">
            <w:pPr>
              <w:pStyle w:val="31"/>
              <w:bidi w:val="0"/>
              <w:jc w:val="center"/>
              <w:rPr>
                <w:rFonts w:hint="default"/>
                <w:lang w:val="en-US" w:eastAsia="zh-CN"/>
              </w:rPr>
            </w:pPr>
          </w:p>
        </w:tc>
        <w:tc>
          <w:tcPr>
            <w:tcW w:w="2130" w:type="dxa"/>
            <w:vAlign w:val="center"/>
          </w:tcPr>
          <w:p w14:paraId="47744D54">
            <w:pPr>
              <w:pStyle w:val="31"/>
              <w:bidi w:val="0"/>
              <w:jc w:val="center"/>
              <w:rPr>
                <w:rFonts w:hint="default"/>
                <w:lang w:val="en-US" w:eastAsia="zh-CN"/>
              </w:rPr>
            </w:pPr>
            <w:r>
              <w:rPr>
                <w:rFonts w:hint="eastAsia"/>
                <w:lang w:val="en-US" w:eastAsia="zh-CN"/>
              </w:rPr>
              <w:t>初期雨水</w:t>
            </w:r>
          </w:p>
        </w:tc>
        <w:tc>
          <w:tcPr>
            <w:tcW w:w="2131" w:type="dxa"/>
            <w:vAlign w:val="center"/>
          </w:tcPr>
          <w:p w14:paraId="20AF7FFF">
            <w:pPr>
              <w:pStyle w:val="31"/>
              <w:bidi w:val="0"/>
              <w:jc w:val="center"/>
              <w:rPr>
                <w:rFonts w:hint="default"/>
                <w:lang w:val="en-US" w:eastAsia="zh-CN"/>
              </w:rPr>
            </w:pPr>
            <w:r>
              <w:rPr>
                <w:rFonts w:hint="eastAsia"/>
                <w:lang w:val="en-US" w:eastAsia="zh-CN"/>
              </w:rPr>
              <w:t>4500</w:t>
            </w:r>
          </w:p>
        </w:tc>
        <w:tc>
          <w:tcPr>
            <w:tcW w:w="2131" w:type="dxa"/>
            <w:vAlign w:val="center"/>
          </w:tcPr>
          <w:p w14:paraId="1D223865">
            <w:pPr>
              <w:pStyle w:val="31"/>
              <w:bidi w:val="0"/>
              <w:jc w:val="center"/>
              <w:rPr>
                <w:rFonts w:hint="default"/>
                <w:lang w:val="en-US" w:eastAsia="zh-CN"/>
              </w:rPr>
            </w:pPr>
            <w:r>
              <w:rPr>
                <w:rFonts w:hint="eastAsia"/>
                <w:lang w:val="en-US" w:eastAsia="zh-CN"/>
              </w:rPr>
              <w:t>回用于场地洒水降尘</w:t>
            </w:r>
          </w:p>
        </w:tc>
      </w:tr>
      <w:tr w14:paraId="3D5FB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vAlign w:val="center"/>
          </w:tcPr>
          <w:p w14:paraId="2D0F8250">
            <w:pPr>
              <w:pStyle w:val="31"/>
              <w:bidi w:val="0"/>
              <w:jc w:val="center"/>
              <w:rPr>
                <w:rFonts w:hint="default"/>
                <w:lang w:val="en-US" w:eastAsia="zh-CN"/>
              </w:rPr>
            </w:pPr>
            <w:r>
              <w:rPr>
                <w:rFonts w:hint="eastAsia"/>
                <w:lang w:val="en-US" w:eastAsia="zh-CN"/>
              </w:rPr>
              <w:t>固废</w:t>
            </w:r>
          </w:p>
        </w:tc>
        <w:tc>
          <w:tcPr>
            <w:tcW w:w="2130" w:type="dxa"/>
            <w:vAlign w:val="center"/>
          </w:tcPr>
          <w:p w14:paraId="08DAD033">
            <w:pPr>
              <w:pStyle w:val="31"/>
              <w:bidi w:val="0"/>
              <w:jc w:val="center"/>
              <w:rPr>
                <w:rFonts w:hint="default"/>
                <w:lang w:val="en-US" w:eastAsia="zh-CN"/>
              </w:rPr>
            </w:pPr>
            <w:r>
              <w:rPr>
                <w:rFonts w:hint="eastAsia"/>
                <w:lang w:val="en-US" w:eastAsia="zh-CN"/>
              </w:rPr>
              <w:t>废钢铁</w:t>
            </w:r>
          </w:p>
        </w:tc>
        <w:tc>
          <w:tcPr>
            <w:tcW w:w="2131" w:type="dxa"/>
            <w:vAlign w:val="center"/>
          </w:tcPr>
          <w:p w14:paraId="0019DBA4">
            <w:pPr>
              <w:pStyle w:val="31"/>
              <w:bidi w:val="0"/>
              <w:jc w:val="center"/>
              <w:rPr>
                <w:rFonts w:hint="default"/>
                <w:lang w:val="en-US" w:eastAsia="zh-CN"/>
              </w:rPr>
            </w:pPr>
            <w:r>
              <w:rPr>
                <w:rFonts w:hint="eastAsia"/>
                <w:lang w:val="en-US" w:eastAsia="zh-CN"/>
              </w:rPr>
              <w:t>110.6</w:t>
            </w:r>
          </w:p>
        </w:tc>
        <w:tc>
          <w:tcPr>
            <w:tcW w:w="2131" w:type="dxa"/>
            <w:vAlign w:val="center"/>
          </w:tcPr>
          <w:p w14:paraId="7458D1F6">
            <w:pPr>
              <w:pStyle w:val="31"/>
              <w:bidi w:val="0"/>
              <w:jc w:val="center"/>
              <w:rPr>
                <w:rFonts w:hint="default"/>
                <w:lang w:val="en-US" w:eastAsia="zh-CN"/>
              </w:rPr>
            </w:pPr>
            <w:r>
              <w:rPr>
                <w:rFonts w:hint="eastAsia"/>
                <w:lang w:val="en-US" w:eastAsia="zh-CN"/>
              </w:rPr>
              <w:t>外售</w:t>
            </w:r>
          </w:p>
        </w:tc>
      </w:tr>
      <w:tr w14:paraId="46883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4939D966">
            <w:pPr>
              <w:pStyle w:val="31"/>
              <w:bidi w:val="0"/>
              <w:jc w:val="center"/>
              <w:rPr>
                <w:rFonts w:hint="eastAsia"/>
                <w:lang w:val="en-US" w:eastAsia="zh-CN"/>
              </w:rPr>
            </w:pPr>
          </w:p>
        </w:tc>
        <w:tc>
          <w:tcPr>
            <w:tcW w:w="2130" w:type="dxa"/>
            <w:vAlign w:val="center"/>
          </w:tcPr>
          <w:p w14:paraId="4D89BB91">
            <w:pPr>
              <w:pStyle w:val="31"/>
              <w:bidi w:val="0"/>
              <w:jc w:val="center"/>
              <w:rPr>
                <w:rFonts w:hint="default"/>
                <w:lang w:val="en-US" w:eastAsia="zh-CN"/>
              </w:rPr>
            </w:pPr>
            <w:r>
              <w:rPr>
                <w:rFonts w:hint="eastAsia"/>
                <w:lang w:val="en-US" w:eastAsia="zh-CN"/>
              </w:rPr>
              <w:t>场地收集尘</w:t>
            </w:r>
          </w:p>
        </w:tc>
        <w:tc>
          <w:tcPr>
            <w:tcW w:w="2131" w:type="dxa"/>
            <w:vAlign w:val="center"/>
          </w:tcPr>
          <w:p w14:paraId="77BD9EAE">
            <w:pPr>
              <w:pStyle w:val="31"/>
              <w:bidi w:val="0"/>
              <w:jc w:val="center"/>
              <w:rPr>
                <w:rFonts w:hint="default"/>
                <w:lang w:val="en-US" w:eastAsia="zh-CN"/>
              </w:rPr>
            </w:pPr>
            <w:r>
              <w:rPr>
                <w:rFonts w:hint="eastAsia"/>
                <w:lang w:val="en-US" w:eastAsia="zh-CN"/>
              </w:rPr>
              <w:t>0.2</w:t>
            </w:r>
          </w:p>
        </w:tc>
        <w:tc>
          <w:tcPr>
            <w:tcW w:w="2131" w:type="dxa"/>
            <w:vAlign w:val="center"/>
          </w:tcPr>
          <w:p w14:paraId="19ACB82A">
            <w:pPr>
              <w:pStyle w:val="31"/>
              <w:bidi w:val="0"/>
              <w:jc w:val="center"/>
              <w:rPr>
                <w:rFonts w:hint="default"/>
                <w:lang w:val="en-US" w:eastAsia="zh-CN"/>
              </w:rPr>
            </w:pPr>
            <w:r>
              <w:rPr>
                <w:rFonts w:hint="eastAsia"/>
                <w:lang w:val="en-US" w:eastAsia="zh-CN"/>
              </w:rPr>
              <w:t>外售</w:t>
            </w:r>
          </w:p>
        </w:tc>
      </w:tr>
      <w:tr w14:paraId="6A0CB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2B2BC52E">
            <w:pPr>
              <w:pStyle w:val="31"/>
              <w:bidi w:val="0"/>
              <w:jc w:val="center"/>
              <w:rPr>
                <w:rFonts w:hint="eastAsia"/>
                <w:lang w:val="en-US" w:eastAsia="zh-CN"/>
              </w:rPr>
            </w:pPr>
          </w:p>
        </w:tc>
        <w:tc>
          <w:tcPr>
            <w:tcW w:w="2130" w:type="dxa"/>
            <w:vAlign w:val="center"/>
          </w:tcPr>
          <w:p w14:paraId="388F5F7D">
            <w:pPr>
              <w:pStyle w:val="31"/>
              <w:bidi w:val="0"/>
              <w:jc w:val="center"/>
              <w:rPr>
                <w:rFonts w:hint="default"/>
                <w:lang w:val="en-US" w:eastAsia="zh-CN"/>
              </w:rPr>
            </w:pPr>
            <w:r>
              <w:rPr>
                <w:rFonts w:hint="eastAsia"/>
                <w:lang w:val="en-US" w:eastAsia="zh-CN"/>
              </w:rPr>
              <w:t>废漆渣及废漆渣回收毯</w:t>
            </w:r>
          </w:p>
        </w:tc>
        <w:tc>
          <w:tcPr>
            <w:tcW w:w="2131" w:type="dxa"/>
            <w:vAlign w:val="center"/>
          </w:tcPr>
          <w:p w14:paraId="03B6B91C">
            <w:pPr>
              <w:pStyle w:val="31"/>
              <w:bidi w:val="0"/>
              <w:jc w:val="center"/>
              <w:rPr>
                <w:rFonts w:hint="default"/>
                <w:lang w:val="en-US" w:eastAsia="zh-CN"/>
              </w:rPr>
            </w:pPr>
            <w:r>
              <w:rPr>
                <w:rFonts w:hint="eastAsia"/>
                <w:lang w:val="en-US" w:eastAsia="zh-CN"/>
              </w:rPr>
              <w:t>0.64</w:t>
            </w:r>
          </w:p>
        </w:tc>
        <w:tc>
          <w:tcPr>
            <w:tcW w:w="2131" w:type="dxa"/>
            <w:vMerge w:val="restart"/>
            <w:vAlign w:val="center"/>
          </w:tcPr>
          <w:p w14:paraId="21F50FB4">
            <w:pPr>
              <w:pStyle w:val="31"/>
              <w:bidi w:val="0"/>
              <w:jc w:val="center"/>
              <w:rPr>
                <w:rFonts w:hint="default"/>
                <w:lang w:val="en-US" w:eastAsia="zh-CN"/>
              </w:rPr>
            </w:pPr>
            <w:r>
              <w:rPr>
                <w:rFonts w:hint="eastAsia"/>
                <w:lang w:val="en-US" w:eastAsia="zh-CN"/>
              </w:rPr>
              <w:t>委托湖南保蓝环境科技有限公司收集处置</w:t>
            </w:r>
          </w:p>
        </w:tc>
      </w:tr>
      <w:tr w14:paraId="6B21D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28F9CFB3">
            <w:pPr>
              <w:pStyle w:val="31"/>
              <w:bidi w:val="0"/>
              <w:jc w:val="center"/>
              <w:rPr>
                <w:rFonts w:hint="eastAsia"/>
                <w:lang w:val="en-US" w:eastAsia="zh-CN"/>
              </w:rPr>
            </w:pPr>
          </w:p>
        </w:tc>
        <w:tc>
          <w:tcPr>
            <w:tcW w:w="2130" w:type="dxa"/>
            <w:vAlign w:val="center"/>
          </w:tcPr>
          <w:p w14:paraId="49BE36B0">
            <w:pPr>
              <w:pStyle w:val="31"/>
              <w:bidi w:val="0"/>
              <w:jc w:val="center"/>
              <w:rPr>
                <w:rFonts w:hint="default"/>
                <w:lang w:val="en-US" w:eastAsia="zh-CN"/>
              </w:rPr>
            </w:pPr>
            <w:r>
              <w:rPr>
                <w:rFonts w:hint="eastAsia"/>
                <w:lang w:val="en-US" w:eastAsia="zh-CN"/>
              </w:rPr>
              <w:t>废油漆桶</w:t>
            </w:r>
          </w:p>
        </w:tc>
        <w:tc>
          <w:tcPr>
            <w:tcW w:w="2131" w:type="dxa"/>
            <w:vAlign w:val="center"/>
          </w:tcPr>
          <w:p w14:paraId="7FA51168">
            <w:pPr>
              <w:pStyle w:val="31"/>
              <w:bidi w:val="0"/>
              <w:jc w:val="center"/>
              <w:rPr>
                <w:rFonts w:hint="default"/>
                <w:lang w:val="en-US" w:eastAsia="zh-CN"/>
              </w:rPr>
            </w:pPr>
            <w:r>
              <w:rPr>
                <w:rFonts w:hint="eastAsia"/>
                <w:lang w:val="en-US" w:eastAsia="zh-CN"/>
              </w:rPr>
              <w:t>0.2</w:t>
            </w:r>
          </w:p>
        </w:tc>
        <w:tc>
          <w:tcPr>
            <w:tcW w:w="2131" w:type="dxa"/>
            <w:vMerge w:val="continue"/>
            <w:vAlign w:val="center"/>
          </w:tcPr>
          <w:p w14:paraId="03B69B28">
            <w:pPr>
              <w:pStyle w:val="31"/>
              <w:bidi w:val="0"/>
              <w:jc w:val="center"/>
              <w:rPr>
                <w:rFonts w:hint="eastAsia"/>
                <w:lang w:val="en-US" w:eastAsia="zh-CN"/>
              </w:rPr>
            </w:pPr>
          </w:p>
        </w:tc>
      </w:tr>
      <w:tr w14:paraId="065B3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14:paraId="3A3634A0">
            <w:pPr>
              <w:pStyle w:val="31"/>
              <w:bidi w:val="0"/>
              <w:jc w:val="center"/>
              <w:rPr>
                <w:rFonts w:hint="eastAsia"/>
                <w:lang w:val="en-US" w:eastAsia="zh-CN"/>
              </w:rPr>
            </w:pPr>
          </w:p>
        </w:tc>
        <w:tc>
          <w:tcPr>
            <w:tcW w:w="2130" w:type="dxa"/>
            <w:vAlign w:val="center"/>
          </w:tcPr>
          <w:p w14:paraId="64620ED5">
            <w:pPr>
              <w:pStyle w:val="31"/>
              <w:bidi w:val="0"/>
              <w:jc w:val="center"/>
              <w:rPr>
                <w:rFonts w:hint="default"/>
                <w:lang w:val="en-US" w:eastAsia="zh-CN"/>
              </w:rPr>
            </w:pPr>
            <w:r>
              <w:rPr>
                <w:rFonts w:hint="eastAsia"/>
                <w:lang w:val="en-US" w:eastAsia="zh-CN"/>
              </w:rPr>
              <w:t>废抹布及手套</w:t>
            </w:r>
          </w:p>
        </w:tc>
        <w:tc>
          <w:tcPr>
            <w:tcW w:w="2131" w:type="dxa"/>
            <w:vAlign w:val="center"/>
          </w:tcPr>
          <w:p w14:paraId="32FEEAC9">
            <w:pPr>
              <w:pStyle w:val="31"/>
              <w:bidi w:val="0"/>
              <w:jc w:val="center"/>
              <w:rPr>
                <w:rFonts w:hint="default"/>
                <w:lang w:val="en-US" w:eastAsia="zh-CN"/>
              </w:rPr>
            </w:pPr>
            <w:r>
              <w:rPr>
                <w:rFonts w:hint="eastAsia"/>
                <w:lang w:val="en-US" w:eastAsia="zh-CN"/>
              </w:rPr>
              <w:t>0.1</w:t>
            </w:r>
          </w:p>
        </w:tc>
        <w:tc>
          <w:tcPr>
            <w:tcW w:w="2131" w:type="dxa"/>
            <w:vMerge w:val="continue"/>
            <w:vAlign w:val="center"/>
          </w:tcPr>
          <w:p w14:paraId="674704DA">
            <w:pPr>
              <w:pStyle w:val="31"/>
              <w:bidi w:val="0"/>
              <w:jc w:val="center"/>
              <w:rPr>
                <w:rFonts w:hint="eastAsia"/>
                <w:lang w:val="en-US" w:eastAsia="zh-CN"/>
              </w:rPr>
            </w:pPr>
          </w:p>
        </w:tc>
      </w:tr>
    </w:tbl>
    <w:p w14:paraId="39DFE614">
      <w:pPr>
        <w:pStyle w:val="33"/>
        <w:bidi w:val="0"/>
        <w:rPr>
          <w:rFonts w:hint="eastAsia"/>
          <w:lang w:val="en-US" w:eastAsia="zh-CN"/>
        </w:rPr>
      </w:pPr>
      <w:bookmarkStart w:id="91" w:name="_Toc19013"/>
      <w:r>
        <w:rPr>
          <w:rFonts w:hint="eastAsia"/>
          <w:lang w:val="en-US" w:eastAsia="zh-CN"/>
        </w:rPr>
        <w:t>3.1.7现有工程存在的环境问题及“以新带老”措施</w:t>
      </w:r>
      <w:bookmarkEnd w:id="91"/>
    </w:p>
    <w:p w14:paraId="46196002">
      <w:pPr>
        <w:pStyle w:val="21"/>
        <w:rPr>
          <w:rFonts w:hint="eastAsia"/>
          <w:lang w:val="en-US" w:eastAsia="zh-CN"/>
        </w:rPr>
      </w:pPr>
      <w:r>
        <w:rPr>
          <w:rFonts w:hint="eastAsia"/>
          <w:lang w:val="en-US" w:eastAsia="zh-CN"/>
        </w:rPr>
        <w:t>根据现场调查，现有工程存在如下环境问题：</w:t>
      </w:r>
    </w:p>
    <w:p w14:paraId="60FF983D">
      <w:pPr>
        <w:pStyle w:val="23"/>
        <w:bidi w:val="0"/>
        <w:rPr>
          <w:rFonts w:hint="eastAsia"/>
          <w:lang w:val="en-US" w:eastAsia="zh-CN"/>
        </w:rPr>
      </w:pPr>
      <w:r>
        <w:rPr>
          <w:rFonts w:hint="eastAsia"/>
          <w:lang w:val="en-US" w:eastAsia="zh-CN"/>
        </w:rPr>
        <w:t>表3.1-13  现有工程环境问题及“以新带老”措施</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653"/>
        <w:gridCol w:w="2662"/>
        <w:gridCol w:w="4552"/>
      </w:tblGrid>
      <w:tr w14:paraId="60EE5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E271ACE">
            <w:pPr>
              <w:pStyle w:val="31"/>
              <w:bidi w:val="0"/>
              <w:jc w:val="center"/>
              <w:rPr>
                <w:rFonts w:hint="default"/>
                <w:lang w:val="en-US" w:eastAsia="zh-CN"/>
              </w:rPr>
            </w:pPr>
            <w:r>
              <w:rPr>
                <w:rFonts w:hint="eastAsia"/>
                <w:lang w:val="en-US" w:eastAsia="zh-CN"/>
              </w:rPr>
              <w:t>序号</w:t>
            </w:r>
          </w:p>
        </w:tc>
        <w:tc>
          <w:tcPr>
            <w:tcW w:w="383" w:type="pct"/>
            <w:vAlign w:val="center"/>
          </w:tcPr>
          <w:p w14:paraId="0CBD879F">
            <w:pPr>
              <w:pStyle w:val="31"/>
              <w:bidi w:val="0"/>
              <w:jc w:val="center"/>
              <w:rPr>
                <w:rFonts w:hint="default"/>
                <w:lang w:val="en-US" w:eastAsia="zh-CN"/>
              </w:rPr>
            </w:pPr>
            <w:r>
              <w:rPr>
                <w:rFonts w:hint="eastAsia"/>
                <w:lang w:val="en-US" w:eastAsia="zh-CN"/>
              </w:rPr>
              <w:t>类别</w:t>
            </w:r>
          </w:p>
        </w:tc>
        <w:tc>
          <w:tcPr>
            <w:tcW w:w="1562" w:type="pct"/>
            <w:vAlign w:val="center"/>
          </w:tcPr>
          <w:p w14:paraId="40D56277">
            <w:pPr>
              <w:pStyle w:val="31"/>
              <w:bidi w:val="0"/>
              <w:jc w:val="center"/>
              <w:rPr>
                <w:rFonts w:hint="default"/>
                <w:lang w:val="en-US" w:eastAsia="zh-CN"/>
              </w:rPr>
            </w:pPr>
            <w:r>
              <w:rPr>
                <w:rFonts w:hint="eastAsia"/>
                <w:lang w:val="en-US" w:eastAsia="zh-CN"/>
              </w:rPr>
              <w:t>环境问题</w:t>
            </w:r>
          </w:p>
        </w:tc>
        <w:tc>
          <w:tcPr>
            <w:tcW w:w="2671" w:type="pct"/>
            <w:vAlign w:val="center"/>
          </w:tcPr>
          <w:p w14:paraId="59115BFF">
            <w:pPr>
              <w:pStyle w:val="31"/>
              <w:bidi w:val="0"/>
              <w:jc w:val="center"/>
              <w:rPr>
                <w:rFonts w:hint="default"/>
                <w:lang w:val="en-US" w:eastAsia="zh-CN"/>
              </w:rPr>
            </w:pPr>
            <w:r>
              <w:rPr>
                <w:rFonts w:hint="eastAsia"/>
                <w:lang w:val="en-US" w:eastAsia="zh-CN"/>
              </w:rPr>
              <w:t>“以新带老”措施</w:t>
            </w:r>
          </w:p>
        </w:tc>
      </w:tr>
      <w:tr w14:paraId="2B02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53EA471">
            <w:pPr>
              <w:pStyle w:val="31"/>
              <w:bidi w:val="0"/>
              <w:jc w:val="center"/>
              <w:rPr>
                <w:rFonts w:hint="default"/>
                <w:lang w:val="en-US" w:eastAsia="zh-CN"/>
              </w:rPr>
            </w:pPr>
            <w:r>
              <w:rPr>
                <w:rFonts w:hint="eastAsia"/>
                <w:lang w:val="en-US" w:eastAsia="zh-CN"/>
              </w:rPr>
              <w:t>1</w:t>
            </w:r>
          </w:p>
        </w:tc>
        <w:tc>
          <w:tcPr>
            <w:tcW w:w="383" w:type="pct"/>
            <w:vMerge w:val="restart"/>
            <w:vAlign w:val="center"/>
          </w:tcPr>
          <w:p w14:paraId="709080F3">
            <w:pPr>
              <w:pStyle w:val="31"/>
              <w:bidi w:val="0"/>
              <w:jc w:val="center"/>
              <w:rPr>
                <w:rFonts w:hint="default"/>
                <w:lang w:val="en-US" w:eastAsia="zh-CN"/>
              </w:rPr>
            </w:pPr>
            <w:r>
              <w:rPr>
                <w:rFonts w:hint="eastAsia"/>
                <w:lang w:val="en-US" w:eastAsia="zh-CN"/>
              </w:rPr>
              <w:t>废气</w:t>
            </w:r>
          </w:p>
        </w:tc>
        <w:tc>
          <w:tcPr>
            <w:tcW w:w="1562" w:type="pct"/>
            <w:vAlign w:val="center"/>
          </w:tcPr>
          <w:p w14:paraId="148FAACF">
            <w:pPr>
              <w:pStyle w:val="31"/>
              <w:bidi w:val="0"/>
              <w:jc w:val="center"/>
              <w:rPr>
                <w:rFonts w:hint="default"/>
                <w:lang w:val="en-US" w:eastAsia="zh-CN"/>
              </w:rPr>
            </w:pPr>
            <w:r>
              <w:rPr>
                <w:rFonts w:hint="eastAsia"/>
                <w:lang w:val="en-US" w:eastAsia="zh-CN"/>
              </w:rPr>
              <w:t>喷漆/刷漆废气无组织排放</w:t>
            </w:r>
          </w:p>
        </w:tc>
        <w:tc>
          <w:tcPr>
            <w:tcW w:w="2671" w:type="pct"/>
            <w:vAlign w:val="center"/>
          </w:tcPr>
          <w:p w14:paraId="0A7834F7">
            <w:pPr>
              <w:pStyle w:val="31"/>
              <w:bidi w:val="0"/>
              <w:jc w:val="center"/>
              <w:rPr>
                <w:rFonts w:hint="default"/>
                <w:lang w:val="en-US" w:eastAsia="zh-CN"/>
              </w:rPr>
            </w:pPr>
            <w:r>
              <w:rPr>
                <w:rFonts w:hint="eastAsia"/>
                <w:lang w:val="en-US" w:eastAsia="zh-CN"/>
              </w:rPr>
              <w:t>采用移动式集气罩收集刷漆废气，收集后通过两级活性炭吸附装置处理后排放，由于项目不适合设置集气罩，因此处理后直接无组织排放</w:t>
            </w:r>
          </w:p>
        </w:tc>
      </w:tr>
      <w:tr w14:paraId="7D331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3478F8E">
            <w:pPr>
              <w:pStyle w:val="31"/>
              <w:bidi w:val="0"/>
              <w:jc w:val="center"/>
              <w:rPr>
                <w:rFonts w:hint="default"/>
                <w:lang w:val="en-US" w:eastAsia="zh-CN"/>
              </w:rPr>
            </w:pPr>
            <w:r>
              <w:rPr>
                <w:rFonts w:hint="eastAsia"/>
                <w:lang w:val="en-US" w:eastAsia="zh-CN"/>
              </w:rPr>
              <w:t>2</w:t>
            </w:r>
          </w:p>
        </w:tc>
        <w:tc>
          <w:tcPr>
            <w:tcW w:w="383" w:type="pct"/>
            <w:vMerge w:val="continue"/>
            <w:vAlign w:val="center"/>
          </w:tcPr>
          <w:p w14:paraId="65C08F65">
            <w:pPr>
              <w:pStyle w:val="31"/>
              <w:bidi w:val="0"/>
              <w:jc w:val="center"/>
              <w:rPr>
                <w:rFonts w:hint="default"/>
                <w:lang w:val="en-US" w:eastAsia="zh-CN"/>
              </w:rPr>
            </w:pPr>
          </w:p>
        </w:tc>
        <w:tc>
          <w:tcPr>
            <w:tcW w:w="1562" w:type="pct"/>
            <w:vAlign w:val="center"/>
          </w:tcPr>
          <w:p w14:paraId="19670B35">
            <w:pPr>
              <w:pStyle w:val="31"/>
              <w:bidi w:val="0"/>
              <w:jc w:val="center"/>
              <w:rPr>
                <w:rFonts w:hint="default"/>
                <w:lang w:val="en-US" w:eastAsia="zh-CN"/>
              </w:rPr>
            </w:pPr>
            <w:r>
              <w:rPr>
                <w:rFonts w:hint="eastAsia"/>
                <w:lang w:val="en-US" w:eastAsia="zh-CN"/>
              </w:rPr>
              <w:t>喷砂除锈工序粉尘无组织排放</w:t>
            </w:r>
          </w:p>
        </w:tc>
        <w:tc>
          <w:tcPr>
            <w:tcW w:w="2671" w:type="pct"/>
            <w:vAlign w:val="center"/>
          </w:tcPr>
          <w:p w14:paraId="64DFC4C1">
            <w:pPr>
              <w:pStyle w:val="31"/>
              <w:bidi w:val="0"/>
              <w:jc w:val="center"/>
              <w:rPr>
                <w:rFonts w:hint="default"/>
                <w:lang w:val="en-US" w:eastAsia="zh-CN"/>
              </w:rPr>
            </w:pPr>
            <w:r>
              <w:rPr>
                <w:rFonts w:hint="eastAsia"/>
                <w:lang w:val="en-US" w:eastAsia="zh-CN"/>
              </w:rPr>
              <w:t>采用移动式集气罩收集喷砂除锈工序粉尘废气，收集后通过袋式除尘器处理后无组织排放</w:t>
            </w:r>
          </w:p>
        </w:tc>
      </w:tr>
      <w:tr w14:paraId="3174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EAE951B">
            <w:pPr>
              <w:pStyle w:val="31"/>
              <w:bidi w:val="0"/>
              <w:jc w:val="center"/>
              <w:rPr>
                <w:rFonts w:hint="default"/>
                <w:lang w:val="en-US" w:eastAsia="zh-CN"/>
              </w:rPr>
            </w:pPr>
            <w:r>
              <w:rPr>
                <w:rFonts w:hint="eastAsia"/>
                <w:lang w:val="en-US" w:eastAsia="zh-CN"/>
              </w:rPr>
              <w:t>3</w:t>
            </w:r>
          </w:p>
        </w:tc>
        <w:tc>
          <w:tcPr>
            <w:tcW w:w="383" w:type="pct"/>
            <w:vMerge w:val="continue"/>
            <w:vAlign w:val="center"/>
          </w:tcPr>
          <w:p w14:paraId="5D7A94FF">
            <w:pPr>
              <w:pStyle w:val="31"/>
              <w:bidi w:val="0"/>
              <w:jc w:val="center"/>
              <w:rPr>
                <w:rFonts w:hint="default"/>
                <w:lang w:val="en-US" w:eastAsia="zh-CN"/>
              </w:rPr>
            </w:pPr>
          </w:p>
        </w:tc>
        <w:tc>
          <w:tcPr>
            <w:tcW w:w="1562" w:type="pct"/>
            <w:vAlign w:val="center"/>
          </w:tcPr>
          <w:p w14:paraId="59226DCB">
            <w:pPr>
              <w:pStyle w:val="31"/>
              <w:bidi w:val="0"/>
              <w:jc w:val="center"/>
              <w:rPr>
                <w:rFonts w:hint="default"/>
                <w:lang w:val="en-US" w:eastAsia="zh-CN"/>
              </w:rPr>
            </w:pPr>
            <w:r>
              <w:rPr>
                <w:rFonts w:hint="eastAsia"/>
                <w:lang w:val="en-US" w:eastAsia="zh-CN"/>
              </w:rPr>
              <w:t>氧割、焊接烟尘未经处理无组织排放</w:t>
            </w:r>
          </w:p>
        </w:tc>
        <w:tc>
          <w:tcPr>
            <w:tcW w:w="2671" w:type="pct"/>
            <w:vAlign w:val="center"/>
          </w:tcPr>
          <w:p w14:paraId="2163FF09">
            <w:pPr>
              <w:pStyle w:val="31"/>
              <w:bidi w:val="0"/>
              <w:jc w:val="center"/>
              <w:rPr>
                <w:rFonts w:hint="default"/>
                <w:lang w:val="en-US" w:eastAsia="zh-CN"/>
              </w:rPr>
            </w:pPr>
            <w:r>
              <w:rPr>
                <w:rFonts w:hint="eastAsia"/>
                <w:lang w:val="en-US" w:eastAsia="zh-CN"/>
              </w:rPr>
              <w:t>采用移动式焊接烟尘净化器收集处理氧割、焊接烟囱，处理后无组织排放</w:t>
            </w:r>
          </w:p>
        </w:tc>
      </w:tr>
      <w:tr w14:paraId="3B6F4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0062695">
            <w:pPr>
              <w:pStyle w:val="31"/>
              <w:bidi w:val="0"/>
              <w:jc w:val="center"/>
              <w:rPr>
                <w:rFonts w:hint="default"/>
                <w:lang w:val="en-US" w:eastAsia="zh-CN"/>
              </w:rPr>
            </w:pPr>
            <w:r>
              <w:rPr>
                <w:rFonts w:hint="eastAsia"/>
                <w:lang w:val="en-US" w:eastAsia="zh-CN"/>
              </w:rPr>
              <w:t>4</w:t>
            </w:r>
          </w:p>
        </w:tc>
        <w:tc>
          <w:tcPr>
            <w:tcW w:w="383" w:type="pct"/>
            <w:vMerge w:val="restart"/>
            <w:vAlign w:val="center"/>
          </w:tcPr>
          <w:p w14:paraId="39106491">
            <w:pPr>
              <w:pStyle w:val="31"/>
              <w:bidi w:val="0"/>
              <w:jc w:val="center"/>
              <w:rPr>
                <w:rFonts w:hint="default"/>
                <w:lang w:val="en-US" w:eastAsia="zh-CN"/>
              </w:rPr>
            </w:pPr>
            <w:r>
              <w:rPr>
                <w:rFonts w:hint="eastAsia"/>
                <w:lang w:val="en-US" w:eastAsia="zh-CN"/>
              </w:rPr>
              <w:t>废水</w:t>
            </w:r>
          </w:p>
        </w:tc>
        <w:tc>
          <w:tcPr>
            <w:tcW w:w="1562" w:type="pct"/>
            <w:vAlign w:val="center"/>
          </w:tcPr>
          <w:p w14:paraId="5002707C">
            <w:pPr>
              <w:pStyle w:val="31"/>
              <w:bidi w:val="0"/>
              <w:jc w:val="center"/>
              <w:rPr>
                <w:rFonts w:hint="default"/>
                <w:lang w:val="en-US" w:eastAsia="zh-CN"/>
              </w:rPr>
            </w:pPr>
            <w:r>
              <w:rPr>
                <w:rFonts w:hint="eastAsia"/>
                <w:lang w:val="en-US" w:eastAsia="zh-CN"/>
              </w:rPr>
              <w:t>生活污水经化粪池处理后用于周边农田施肥可行，无环境问题</w:t>
            </w:r>
          </w:p>
        </w:tc>
        <w:tc>
          <w:tcPr>
            <w:tcW w:w="2671" w:type="pct"/>
            <w:vAlign w:val="center"/>
          </w:tcPr>
          <w:p w14:paraId="0D932858">
            <w:pPr>
              <w:pStyle w:val="31"/>
              <w:bidi w:val="0"/>
              <w:jc w:val="center"/>
              <w:rPr>
                <w:rFonts w:hint="default"/>
                <w:lang w:val="en-US" w:eastAsia="zh-CN"/>
              </w:rPr>
            </w:pPr>
            <w:r>
              <w:rPr>
                <w:rFonts w:hint="eastAsia"/>
                <w:lang w:val="en-US" w:eastAsia="zh-CN"/>
              </w:rPr>
              <w:t>/</w:t>
            </w:r>
          </w:p>
        </w:tc>
      </w:tr>
      <w:tr w14:paraId="7BA1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5C92762">
            <w:pPr>
              <w:pStyle w:val="31"/>
              <w:bidi w:val="0"/>
              <w:jc w:val="center"/>
              <w:rPr>
                <w:rFonts w:hint="default"/>
                <w:lang w:val="en-US" w:eastAsia="zh-CN"/>
              </w:rPr>
            </w:pPr>
            <w:r>
              <w:rPr>
                <w:rFonts w:hint="eastAsia"/>
                <w:lang w:val="en-US" w:eastAsia="zh-CN"/>
              </w:rPr>
              <w:t>5</w:t>
            </w:r>
          </w:p>
        </w:tc>
        <w:tc>
          <w:tcPr>
            <w:tcW w:w="383" w:type="pct"/>
            <w:vMerge w:val="continue"/>
            <w:vAlign w:val="center"/>
          </w:tcPr>
          <w:p w14:paraId="3D613CAC">
            <w:pPr>
              <w:pStyle w:val="31"/>
              <w:bidi w:val="0"/>
              <w:jc w:val="center"/>
              <w:rPr>
                <w:rFonts w:hint="eastAsia"/>
                <w:lang w:val="en-US" w:eastAsia="zh-CN"/>
              </w:rPr>
            </w:pPr>
          </w:p>
        </w:tc>
        <w:tc>
          <w:tcPr>
            <w:tcW w:w="1562" w:type="pct"/>
            <w:vAlign w:val="center"/>
          </w:tcPr>
          <w:p w14:paraId="60967591">
            <w:pPr>
              <w:pStyle w:val="31"/>
              <w:bidi w:val="0"/>
              <w:jc w:val="center"/>
              <w:rPr>
                <w:rFonts w:hint="default"/>
                <w:lang w:val="en-US" w:eastAsia="zh-CN"/>
              </w:rPr>
            </w:pPr>
            <w:r>
              <w:rPr>
                <w:rFonts w:hint="eastAsia"/>
                <w:lang w:val="en-US" w:eastAsia="zh-CN"/>
              </w:rPr>
              <w:t>初期雨水收集沟、收集池存在油泥未清理</w:t>
            </w:r>
          </w:p>
        </w:tc>
        <w:tc>
          <w:tcPr>
            <w:tcW w:w="2671" w:type="pct"/>
            <w:vAlign w:val="center"/>
          </w:tcPr>
          <w:p w14:paraId="3C0E3D76">
            <w:pPr>
              <w:pStyle w:val="31"/>
              <w:bidi w:val="0"/>
              <w:jc w:val="center"/>
              <w:rPr>
                <w:rFonts w:hint="default"/>
                <w:lang w:val="en-US" w:eastAsia="zh-CN"/>
              </w:rPr>
            </w:pPr>
            <w:r>
              <w:rPr>
                <w:rFonts w:hint="eastAsia"/>
                <w:lang w:val="en-US" w:eastAsia="zh-CN"/>
              </w:rPr>
              <w:t>定期清理初期雨水收集沟、收集池底部油泥，收集后暂存于危废暂存间，委托有资质单位处置</w:t>
            </w:r>
          </w:p>
        </w:tc>
      </w:tr>
      <w:tr w14:paraId="2A7A4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C2429E8">
            <w:pPr>
              <w:pStyle w:val="31"/>
              <w:bidi w:val="0"/>
              <w:jc w:val="center"/>
              <w:rPr>
                <w:rFonts w:hint="default"/>
                <w:lang w:val="en-US" w:eastAsia="zh-CN"/>
              </w:rPr>
            </w:pPr>
            <w:r>
              <w:rPr>
                <w:rFonts w:hint="eastAsia"/>
                <w:lang w:val="en-US" w:eastAsia="zh-CN"/>
              </w:rPr>
              <w:t>6</w:t>
            </w:r>
          </w:p>
        </w:tc>
        <w:tc>
          <w:tcPr>
            <w:tcW w:w="383" w:type="pct"/>
            <w:vAlign w:val="center"/>
          </w:tcPr>
          <w:p w14:paraId="7ECEACE2">
            <w:pPr>
              <w:pStyle w:val="31"/>
              <w:bidi w:val="0"/>
              <w:jc w:val="center"/>
              <w:rPr>
                <w:rFonts w:hint="default"/>
                <w:lang w:val="en-US" w:eastAsia="zh-CN"/>
              </w:rPr>
            </w:pPr>
            <w:r>
              <w:rPr>
                <w:rFonts w:hint="eastAsia"/>
                <w:lang w:val="en-US" w:eastAsia="zh-CN"/>
              </w:rPr>
              <w:t>噪声</w:t>
            </w:r>
          </w:p>
        </w:tc>
        <w:tc>
          <w:tcPr>
            <w:tcW w:w="1562" w:type="pct"/>
            <w:vAlign w:val="center"/>
          </w:tcPr>
          <w:p w14:paraId="152FFABA">
            <w:pPr>
              <w:pStyle w:val="31"/>
              <w:bidi w:val="0"/>
              <w:jc w:val="center"/>
              <w:rPr>
                <w:rFonts w:hint="default"/>
                <w:lang w:val="en-US" w:eastAsia="zh-CN"/>
              </w:rPr>
            </w:pPr>
            <w:r>
              <w:rPr>
                <w:rFonts w:hint="eastAsia"/>
                <w:lang w:val="en-US" w:eastAsia="zh-CN"/>
              </w:rPr>
              <w:t>厂界噪声能够达标排放，无环境问题</w:t>
            </w:r>
          </w:p>
        </w:tc>
        <w:tc>
          <w:tcPr>
            <w:tcW w:w="2671" w:type="pct"/>
            <w:vAlign w:val="center"/>
          </w:tcPr>
          <w:p w14:paraId="4B536460">
            <w:pPr>
              <w:pStyle w:val="31"/>
              <w:bidi w:val="0"/>
              <w:jc w:val="center"/>
              <w:rPr>
                <w:rFonts w:hint="default"/>
                <w:lang w:val="en-US" w:eastAsia="zh-CN"/>
              </w:rPr>
            </w:pPr>
            <w:r>
              <w:rPr>
                <w:rFonts w:hint="eastAsia"/>
                <w:lang w:val="en-US" w:eastAsia="zh-CN"/>
              </w:rPr>
              <w:t>/</w:t>
            </w:r>
          </w:p>
        </w:tc>
      </w:tr>
      <w:tr w14:paraId="1E60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64487F6">
            <w:pPr>
              <w:pStyle w:val="31"/>
              <w:bidi w:val="0"/>
              <w:jc w:val="center"/>
              <w:rPr>
                <w:rFonts w:hint="default"/>
                <w:lang w:val="en-US" w:eastAsia="zh-CN"/>
              </w:rPr>
            </w:pPr>
            <w:r>
              <w:rPr>
                <w:rFonts w:hint="eastAsia"/>
                <w:lang w:val="en-US" w:eastAsia="zh-CN"/>
              </w:rPr>
              <w:t>7</w:t>
            </w:r>
          </w:p>
        </w:tc>
        <w:tc>
          <w:tcPr>
            <w:tcW w:w="383" w:type="pct"/>
            <w:vAlign w:val="center"/>
          </w:tcPr>
          <w:p w14:paraId="0F820F68">
            <w:pPr>
              <w:pStyle w:val="31"/>
              <w:bidi w:val="0"/>
              <w:jc w:val="center"/>
              <w:rPr>
                <w:rFonts w:hint="default"/>
                <w:lang w:val="en-US" w:eastAsia="zh-CN"/>
              </w:rPr>
            </w:pPr>
            <w:r>
              <w:rPr>
                <w:rFonts w:hint="eastAsia"/>
                <w:lang w:val="en-US" w:eastAsia="zh-CN"/>
              </w:rPr>
              <w:t>固废</w:t>
            </w:r>
          </w:p>
        </w:tc>
        <w:tc>
          <w:tcPr>
            <w:tcW w:w="1562" w:type="pct"/>
            <w:vAlign w:val="center"/>
          </w:tcPr>
          <w:p w14:paraId="1214DC67">
            <w:pPr>
              <w:pStyle w:val="31"/>
              <w:bidi w:val="0"/>
              <w:jc w:val="center"/>
              <w:rPr>
                <w:rFonts w:hint="default"/>
                <w:lang w:val="en-US" w:eastAsia="zh-CN"/>
              </w:rPr>
            </w:pPr>
            <w:r>
              <w:rPr>
                <w:rFonts w:hint="eastAsia"/>
                <w:lang w:val="en-US" w:eastAsia="zh-CN"/>
              </w:rPr>
              <w:t>一般固废暂存间和危险废物暂存间设置位于河滩上，如遭遇洪水，可能将固体废物冲刷至湘江内，存在湘江污染的环境风险</w:t>
            </w:r>
          </w:p>
        </w:tc>
        <w:tc>
          <w:tcPr>
            <w:tcW w:w="2671" w:type="pct"/>
            <w:vAlign w:val="center"/>
          </w:tcPr>
          <w:p w14:paraId="39C75104">
            <w:pPr>
              <w:pStyle w:val="31"/>
              <w:bidi w:val="0"/>
              <w:jc w:val="center"/>
              <w:rPr>
                <w:rFonts w:hint="default"/>
                <w:vertAlign w:val="baseline"/>
                <w:lang w:val="en-US" w:eastAsia="zh-CN"/>
              </w:rPr>
            </w:pPr>
            <w:r>
              <w:rPr>
                <w:rFonts w:hint="eastAsia"/>
                <w:lang w:val="en-US" w:eastAsia="zh-CN"/>
              </w:rPr>
              <w:t>拆除现有一般固废暂存间、危险废物暂存间，在防洪堤内侧建设20m</w:t>
            </w:r>
            <w:r>
              <w:rPr>
                <w:rFonts w:hint="eastAsia"/>
                <w:vertAlign w:val="superscript"/>
                <w:lang w:val="en-US" w:eastAsia="zh-CN"/>
              </w:rPr>
              <w:t>2</w:t>
            </w:r>
            <w:r>
              <w:rPr>
                <w:rFonts w:hint="eastAsia"/>
                <w:vertAlign w:val="baseline"/>
                <w:lang w:val="en-US" w:eastAsia="zh-CN"/>
              </w:rPr>
              <w:t>危险废物暂存间及20m</w:t>
            </w:r>
            <w:r>
              <w:rPr>
                <w:rFonts w:hint="eastAsia"/>
                <w:vertAlign w:val="superscript"/>
                <w:lang w:val="en-US" w:eastAsia="zh-CN"/>
              </w:rPr>
              <w:t>2</w:t>
            </w:r>
            <w:r>
              <w:rPr>
                <w:rFonts w:hint="eastAsia"/>
                <w:vertAlign w:val="baseline"/>
                <w:lang w:val="en-US" w:eastAsia="zh-CN"/>
              </w:rPr>
              <w:t>一般固废暂存间，暂存现有工程及扩建工程的一般固废和危险废物。</w:t>
            </w:r>
          </w:p>
        </w:tc>
      </w:tr>
      <w:tr w14:paraId="5944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2F23E07">
            <w:pPr>
              <w:pStyle w:val="31"/>
              <w:bidi w:val="0"/>
              <w:jc w:val="center"/>
              <w:rPr>
                <w:rFonts w:hint="default"/>
                <w:lang w:val="en-US" w:eastAsia="zh-CN"/>
              </w:rPr>
            </w:pPr>
            <w:r>
              <w:rPr>
                <w:rFonts w:hint="eastAsia"/>
                <w:lang w:val="en-US" w:eastAsia="zh-CN"/>
              </w:rPr>
              <w:t>8</w:t>
            </w:r>
          </w:p>
        </w:tc>
        <w:tc>
          <w:tcPr>
            <w:tcW w:w="383" w:type="pct"/>
            <w:vMerge w:val="restart"/>
            <w:vAlign w:val="center"/>
          </w:tcPr>
          <w:p w14:paraId="44FE6282">
            <w:pPr>
              <w:pStyle w:val="31"/>
              <w:bidi w:val="0"/>
              <w:jc w:val="center"/>
              <w:rPr>
                <w:rFonts w:hint="default"/>
                <w:lang w:val="en-US" w:eastAsia="zh-CN"/>
              </w:rPr>
            </w:pPr>
            <w:r>
              <w:rPr>
                <w:rFonts w:hint="eastAsia"/>
                <w:lang w:val="en-US" w:eastAsia="zh-CN"/>
              </w:rPr>
              <w:t>环境管理</w:t>
            </w:r>
          </w:p>
        </w:tc>
        <w:tc>
          <w:tcPr>
            <w:tcW w:w="1562" w:type="pct"/>
            <w:vAlign w:val="center"/>
          </w:tcPr>
          <w:p w14:paraId="7C0817DE">
            <w:pPr>
              <w:pStyle w:val="31"/>
              <w:bidi w:val="0"/>
              <w:jc w:val="center"/>
              <w:rPr>
                <w:rFonts w:hint="default"/>
                <w:lang w:val="en-US" w:eastAsia="zh-CN"/>
              </w:rPr>
            </w:pPr>
            <w:r>
              <w:rPr>
                <w:rFonts w:hint="eastAsia"/>
                <w:lang w:val="en-US" w:eastAsia="zh-CN"/>
              </w:rPr>
              <w:t>企业突发环境事件应急预案于2024年1月已到期，尚未修编备案</w:t>
            </w:r>
          </w:p>
        </w:tc>
        <w:tc>
          <w:tcPr>
            <w:tcW w:w="2671" w:type="pct"/>
            <w:vAlign w:val="center"/>
          </w:tcPr>
          <w:p w14:paraId="15E0D327">
            <w:pPr>
              <w:pStyle w:val="31"/>
              <w:bidi w:val="0"/>
              <w:jc w:val="center"/>
              <w:rPr>
                <w:rFonts w:hint="default"/>
                <w:lang w:val="en-US" w:eastAsia="zh-CN"/>
              </w:rPr>
            </w:pPr>
            <w:r>
              <w:rPr>
                <w:rFonts w:hint="eastAsia"/>
                <w:lang w:val="en-US" w:eastAsia="zh-CN"/>
              </w:rPr>
              <w:t>企业在本环评批复后即时修编突发环境事件应急预案，需在本项目验收前完成备案</w:t>
            </w:r>
          </w:p>
        </w:tc>
      </w:tr>
      <w:tr w14:paraId="05A10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8B6903E">
            <w:pPr>
              <w:pStyle w:val="31"/>
              <w:bidi w:val="0"/>
              <w:jc w:val="center"/>
              <w:rPr>
                <w:rFonts w:hint="default"/>
                <w:lang w:val="en-US" w:eastAsia="zh-CN"/>
              </w:rPr>
            </w:pPr>
            <w:r>
              <w:rPr>
                <w:rFonts w:hint="eastAsia"/>
                <w:lang w:val="en-US" w:eastAsia="zh-CN"/>
              </w:rPr>
              <w:t>9</w:t>
            </w:r>
          </w:p>
        </w:tc>
        <w:tc>
          <w:tcPr>
            <w:tcW w:w="383" w:type="pct"/>
            <w:vMerge w:val="continue"/>
            <w:vAlign w:val="center"/>
          </w:tcPr>
          <w:p w14:paraId="70D4715A">
            <w:pPr>
              <w:pStyle w:val="31"/>
              <w:bidi w:val="0"/>
              <w:jc w:val="center"/>
              <w:rPr>
                <w:rFonts w:hint="eastAsia"/>
                <w:lang w:val="en-US" w:eastAsia="zh-CN"/>
              </w:rPr>
            </w:pPr>
          </w:p>
        </w:tc>
        <w:tc>
          <w:tcPr>
            <w:tcW w:w="1562" w:type="pct"/>
            <w:vAlign w:val="center"/>
          </w:tcPr>
          <w:p w14:paraId="01491040">
            <w:pPr>
              <w:pStyle w:val="31"/>
              <w:bidi w:val="0"/>
              <w:jc w:val="center"/>
              <w:rPr>
                <w:rFonts w:hint="default"/>
                <w:lang w:val="en-US" w:eastAsia="zh-CN"/>
              </w:rPr>
            </w:pPr>
            <w:r>
              <w:rPr>
                <w:rFonts w:hint="eastAsia"/>
                <w:lang w:val="en-US" w:eastAsia="zh-CN"/>
              </w:rPr>
              <w:t>企业未按照现有工程环境影响评价文件要求开展环境监测</w:t>
            </w:r>
          </w:p>
        </w:tc>
        <w:tc>
          <w:tcPr>
            <w:tcW w:w="2671" w:type="pct"/>
            <w:vAlign w:val="center"/>
          </w:tcPr>
          <w:p w14:paraId="4082CEED">
            <w:pPr>
              <w:pStyle w:val="31"/>
              <w:bidi w:val="0"/>
              <w:jc w:val="center"/>
              <w:rPr>
                <w:rFonts w:hint="default"/>
                <w:lang w:val="en-US" w:eastAsia="zh-CN"/>
              </w:rPr>
            </w:pPr>
            <w:r>
              <w:rPr>
                <w:rFonts w:hint="eastAsia"/>
                <w:lang w:val="en-US" w:eastAsia="zh-CN"/>
              </w:rPr>
              <w:t>企业后期需严格按照本环评提出的监测计划，落实运营期污染源监测</w:t>
            </w:r>
          </w:p>
        </w:tc>
      </w:tr>
    </w:tbl>
    <w:p w14:paraId="0B6CA80B">
      <w:pPr>
        <w:pStyle w:val="21"/>
        <w:rPr>
          <w:rFonts w:hint="default"/>
          <w:lang w:val="en-US" w:eastAsia="zh-CN"/>
        </w:rPr>
      </w:pPr>
    </w:p>
    <w:p w14:paraId="1609AA4D">
      <w:pPr>
        <w:pStyle w:val="28"/>
      </w:pPr>
      <w:bookmarkStart w:id="92" w:name="_Toc31088"/>
      <w:r>
        <w:rPr>
          <w:rFonts w:hint="eastAsia"/>
        </w:rPr>
        <w:t>3.</w:t>
      </w:r>
      <w:r>
        <w:rPr>
          <w:rFonts w:hint="eastAsia"/>
          <w:lang w:val="en-US" w:eastAsia="zh-CN"/>
        </w:rPr>
        <w:t>2</w:t>
      </w:r>
      <w:r>
        <w:rPr>
          <w:rFonts w:hint="eastAsia"/>
        </w:rPr>
        <w:t>建设项目概况</w:t>
      </w:r>
      <w:bookmarkEnd w:id="92"/>
    </w:p>
    <w:p w14:paraId="751CF69D">
      <w:pPr>
        <w:pStyle w:val="33"/>
      </w:pPr>
      <w:bookmarkStart w:id="93" w:name="_Toc24666"/>
      <w:r>
        <w:rPr>
          <w:rFonts w:hint="eastAsia"/>
        </w:rPr>
        <w:t>3.</w:t>
      </w:r>
      <w:r>
        <w:rPr>
          <w:rFonts w:hint="eastAsia"/>
          <w:lang w:val="en-US" w:eastAsia="zh-CN"/>
        </w:rPr>
        <w:t>2</w:t>
      </w:r>
      <w:r>
        <w:rPr>
          <w:rFonts w:hint="eastAsia"/>
        </w:rPr>
        <w:t>.1项目基本情况</w:t>
      </w:r>
      <w:bookmarkEnd w:id="93"/>
    </w:p>
    <w:p w14:paraId="799AF937">
      <w:pPr>
        <w:pStyle w:val="21"/>
        <w:ind w:firstLine="480"/>
        <w:rPr>
          <w:rFonts w:hint="eastAsia"/>
          <w:lang w:val="en-US" w:eastAsia="zh-CN"/>
        </w:rPr>
      </w:pPr>
      <w:r>
        <w:rPr>
          <w:rFonts w:hint="eastAsia"/>
          <w:lang w:val="en-US" w:eastAsia="zh-CN"/>
        </w:rPr>
        <w:t>项目名称：衡东兴泰船舶维修有限公司船舶拆解建设项目</w:t>
      </w:r>
    </w:p>
    <w:p w14:paraId="21E07BED">
      <w:pPr>
        <w:pStyle w:val="21"/>
        <w:ind w:firstLine="480"/>
        <w:rPr>
          <w:rFonts w:hint="eastAsia"/>
          <w:lang w:val="en-US" w:eastAsia="zh-CN"/>
        </w:rPr>
      </w:pPr>
      <w:r>
        <w:rPr>
          <w:rFonts w:hint="eastAsia"/>
          <w:lang w:val="en-US" w:eastAsia="zh-CN"/>
        </w:rPr>
        <w:t>建设单位：衡东兴泰船舶维修有限公司</w:t>
      </w:r>
    </w:p>
    <w:p w14:paraId="7B47DDC2">
      <w:pPr>
        <w:pStyle w:val="21"/>
        <w:ind w:firstLine="480"/>
        <w:rPr>
          <w:rFonts w:hint="default"/>
          <w:lang w:val="en-US" w:eastAsia="zh-CN"/>
        </w:rPr>
      </w:pPr>
      <w:r>
        <w:rPr>
          <w:rFonts w:hint="eastAsia"/>
          <w:lang w:val="en-US" w:eastAsia="zh-CN"/>
        </w:rPr>
        <w:t>建设地点：衡阳市衡东县三樟镇长江村湘江滩涂地，厂址中心坐标为：东经112°55′19.653″，北纬27°23′52.940″</w:t>
      </w:r>
    </w:p>
    <w:p w14:paraId="49E00DBB">
      <w:pPr>
        <w:pStyle w:val="21"/>
        <w:ind w:firstLine="480"/>
        <w:rPr>
          <w:rFonts w:hint="eastAsia"/>
          <w:lang w:val="en-US" w:eastAsia="zh-CN"/>
        </w:rPr>
      </w:pPr>
      <w:r>
        <w:rPr>
          <w:rFonts w:hint="eastAsia"/>
          <w:lang w:val="en-US" w:eastAsia="zh-CN"/>
        </w:rPr>
        <w:t>建设性质：扩建</w:t>
      </w:r>
    </w:p>
    <w:p w14:paraId="3FCB556C">
      <w:pPr>
        <w:pStyle w:val="21"/>
        <w:ind w:firstLine="480"/>
        <w:rPr>
          <w:rFonts w:hint="default"/>
          <w:vertAlign w:val="baseline"/>
          <w:lang w:val="en-US" w:eastAsia="zh-CN"/>
        </w:rPr>
      </w:pPr>
      <w:r>
        <w:rPr>
          <w:rFonts w:hint="eastAsia"/>
          <w:lang w:val="en-US" w:eastAsia="zh-CN"/>
        </w:rPr>
        <w:t>占地面积：现有工程占地面积6000m</w:t>
      </w:r>
      <w:r>
        <w:rPr>
          <w:rFonts w:hint="eastAsia"/>
          <w:vertAlign w:val="superscript"/>
          <w:lang w:val="en-US" w:eastAsia="zh-CN"/>
        </w:rPr>
        <w:t>2</w:t>
      </w:r>
      <w:r>
        <w:rPr>
          <w:rFonts w:hint="eastAsia"/>
          <w:vertAlign w:val="baseline"/>
          <w:lang w:val="en-US" w:eastAsia="zh-CN"/>
        </w:rPr>
        <w:t>，土地为租赁使用，由于企业实际经营使用无需这么多面积，且现企业准备购买土地使用权，目前正在办理土地出让手续，因此拟调整用地范围，经委托湖南秦航测绘地理信息服务有限公司测绘，并经衡东县自然资源局确认，企业最终用地面积为3046m</w:t>
      </w:r>
      <w:r>
        <w:rPr>
          <w:rFonts w:hint="eastAsia"/>
          <w:vertAlign w:val="superscript"/>
          <w:lang w:val="en-US" w:eastAsia="zh-CN"/>
        </w:rPr>
        <w:t>2</w:t>
      </w:r>
      <w:r>
        <w:rPr>
          <w:rFonts w:hint="eastAsia"/>
          <w:vertAlign w:val="baseline"/>
          <w:lang w:val="en-US" w:eastAsia="zh-CN"/>
        </w:rPr>
        <w:t>，主要用于建设船台，用于船舶的维修和拆解工作，并利用企业法人刘铁清在河堤内侧自有住宅及院子，作为办公室、仓库及其他配套设施区域，建设污水处理站、危废暂存间、一般固废暂存间等环保设施。</w:t>
      </w:r>
    </w:p>
    <w:p w14:paraId="7F814BA6">
      <w:pPr>
        <w:pStyle w:val="21"/>
        <w:ind w:firstLine="480"/>
        <w:rPr>
          <w:rFonts w:hint="eastAsia"/>
          <w:vertAlign w:val="baseline"/>
          <w:lang w:val="en-US" w:eastAsia="zh-CN"/>
        </w:rPr>
      </w:pPr>
      <w:r>
        <w:rPr>
          <w:rFonts w:hint="eastAsia"/>
          <w:lang w:val="en-US" w:eastAsia="zh-CN"/>
        </w:rPr>
        <w:t>主要建设内容及建设规模：（1）由于用地面积减少，调整现有船台，调整为2个船台（单个面积1500m</w:t>
      </w:r>
      <w:r>
        <w:rPr>
          <w:rFonts w:hint="eastAsia"/>
          <w:vertAlign w:val="superscript"/>
          <w:lang w:val="en-US" w:eastAsia="zh-CN"/>
        </w:rPr>
        <w:t>2</w:t>
      </w:r>
      <w:r>
        <w:rPr>
          <w:rFonts w:hint="eastAsia"/>
          <w:lang w:val="en-US" w:eastAsia="zh-CN"/>
        </w:rPr>
        <w:t>），一个用于船舶维修，一个用于本次新增的船舶拆解；（2）拆除现有一般固废暂存间及危废暂存间，在防洪堤内侧新建1间10m</w:t>
      </w:r>
      <w:r>
        <w:rPr>
          <w:rFonts w:hint="eastAsia"/>
          <w:vertAlign w:val="superscript"/>
          <w:lang w:val="en-US" w:eastAsia="zh-CN"/>
        </w:rPr>
        <w:t>2</w:t>
      </w:r>
      <w:r>
        <w:rPr>
          <w:rFonts w:hint="eastAsia"/>
          <w:vertAlign w:val="baseline"/>
          <w:lang w:val="en-US" w:eastAsia="zh-CN"/>
        </w:rPr>
        <w:t>危废暂存间及20m</w:t>
      </w:r>
      <w:r>
        <w:rPr>
          <w:rFonts w:hint="eastAsia"/>
          <w:vertAlign w:val="superscript"/>
          <w:lang w:val="en-US" w:eastAsia="zh-CN"/>
        </w:rPr>
        <w:t>2</w:t>
      </w:r>
      <w:r>
        <w:rPr>
          <w:rFonts w:hint="eastAsia"/>
          <w:vertAlign w:val="baseline"/>
          <w:lang w:val="en-US" w:eastAsia="zh-CN"/>
        </w:rPr>
        <w:t>一般固废暂存间；（3）在防洪堤内侧新建一套废水处理设施，处理船台工作区废水及初期雨水，将废水处理达到《污水综合排放标准》（GB8978-1996）一级标准后优先回用，不能回用部分通过罐车运输至三樟镇污水处理厂深度处理。</w:t>
      </w:r>
    </w:p>
    <w:p w14:paraId="4470A630">
      <w:pPr>
        <w:pStyle w:val="21"/>
        <w:ind w:firstLine="480"/>
        <w:rPr>
          <w:rFonts w:hint="eastAsia"/>
          <w:vertAlign w:val="baseline"/>
          <w:lang w:val="en-US" w:eastAsia="zh-CN"/>
        </w:rPr>
      </w:pPr>
      <w:r>
        <w:rPr>
          <w:rFonts w:hint="eastAsia"/>
          <w:vertAlign w:val="baseline"/>
          <w:lang w:val="en-US" w:eastAsia="zh-CN"/>
        </w:rPr>
        <w:t>总投资：500万元</w:t>
      </w:r>
    </w:p>
    <w:p w14:paraId="4BD726EE">
      <w:pPr>
        <w:pStyle w:val="33"/>
      </w:pPr>
      <w:bookmarkStart w:id="94" w:name="_Toc24327"/>
      <w:r>
        <w:rPr>
          <w:rFonts w:hint="eastAsia"/>
        </w:rPr>
        <w:t>3.</w:t>
      </w:r>
      <w:r>
        <w:rPr>
          <w:rFonts w:hint="eastAsia"/>
          <w:lang w:val="en-US" w:eastAsia="zh-CN"/>
        </w:rPr>
        <w:t>2</w:t>
      </w:r>
      <w:r>
        <w:rPr>
          <w:rFonts w:hint="eastAsia"/>
        </w:rPr>
        <w:t>.2主要建设内容</w:t>
      </w:r>
      <w:bookmarkEnd w:id="94"/>
    </w:p>
    <w:p w14:paraId="10049043">
      <w:pPr>
        <w:pStyle w:val="23"/>
        <w:bidi w:val="0"/>
        <w:rPr>
          <w:rFonts w:hint="eastAsia"/>
          <w:lang w:val="en-US" w:eastAsia="zh-CN"/>
        </w:rPr>
      </w:pPr>
      <w:r>
        <w:rPr>
          <w:rFonts w:hint="eastAsia"/>
          <w:lang w:val="en-US" w:eastAsia="zh-CN"/>
        </w:rPr>
        <w:t>表3.2-1  项目建设内容一览表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886"/>
        <w:gridCol w:w="2523"/>
        <w:gridCol w:w="2760"/>
        <w:gridCol w:w="1705"/>
      </w:tblGrid>
      <w:tr w14:paraId="06096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14:paraId="18A213A9">
            <w:pPr>
              <w:pStyle w:val="31"/>
              <w:bidi w:val="0"/>
              <w:jc w:val="center"/>
              <w:rPr>
                <w:rFonts w:hint="default"/>
                <w:lang w:val="en-US" w:eastAsia="zh-CN"/>
              </w:rPr>
            </w:pPr>
            <w:r>
              <w:rPr>
                <w:rFonts w:hint="eastAsia"/>
                <w:lang w:val="en-US" w:eastAsia="zh-CN"/>
              </w:rPr>
              <w:t>工程类别</w:t>
            </w:r>
          </w:p>
        </w:tc>
        <w:tc>
          <w:tcPr>
            <w:tcW w:w="886" w:type="dxa"/>
            <w:vAlign w:val="center"/>
          </w:tcPr>
          <w:p w14:paraId="0AAFF5EE">
            <w:pPr>
              <w:pStyle w:val="31"/>
              <w:bidi w:val="0"/>
              <w:jc w:val="center"/>
              <w:rPr>
                <w:rFonts w:hint="default"/>
                <w:lang w:val="en-US" w:eastAsia="zh-CN"/>
              </w:rPr>
            </w:pPr>
            <w:r>
              <w:rPr>
                <w:rFonts w:hint="eastAsia"/>
                <w:lang w:val="en-US" w:eastAsia="zh-CN"/>
              </w:rPr>
              <w:t>项目</w:t>
            </w:r>
          </w:p>
        </w:tc>
        <w:tc>
          <w:tcPr>
            <w:tcW w:w="2523" w:type="dxa"/>
            <w:vAlign w:val="center"/>
          </w:tcPr>
          <w:p w14:paraId="6802CD09">
            <w:pPr>
              <w:pStyle w:val="31"/>
              <w:bidi w:val="0"/>
              <w:jc w:val="center"/>
              <w:rPr>
                <w:rFonts w:hint="default"/>
                <w:lang w:val="en-US" w:eastAsia="zh-CN"/>
              </w:rPr>
            </w:pPr>
            <w:r>
              <w:rPr>
                <w:rFonts w:hint="eastAsia"/>
                <w:lang w:val="en-US" w:eastAsia="zh-CN"/>
              </w:rPr>
              <w:t>现有工程情况</w:t>
            </w:r>
          </w:p>
        </w:tc>
        <w:tc>
          <w:tcPr>
            <w:tcW w:w="2760" w:type="dxa"/>
            <w:vAlign w:val="center"/>
          </w:tcPr>
          <w:p w14:paraId="38C8F58C">
            <w:pPr>
              <w:pStyle w:val="31"/>
              <w:bidi w:val="0"/>
              <w:jc w:val="center"/>
              <w:rPr>
                <w:rFonts w:hint="default"/>
                <w:lang w:val="en-US" w:eastAsia="zh-CN"/>
              </w:rPr>
            </w:pPr>
            <w:r>
              <w:rPr>
                <w:rFonts w:hint="eastAsia"/>
                <w:lang w:val="en-US" w:eastAsia="zh-CN"/>
              </w:rPr>
              <w:t>扩建后情况</w:t>
            </w:r>
          </w:p>
        </w:tc>
        <w:tc>
          <w:tcPr>
            <w:tcW w:w="1705" w:type="dxa"/>
            <w:vAlign w:val="center"/>
          </w:tcPr>
          <w:p w14:paraId="0884823D">
            <w:pPr>
              <w:pStyle w:val="31"/>
              <w:bidi w:val="0"/>
              <w:jc w:val="center"/>
              <w:rPr>
                <w:rFonts w:hint="default"/>
                <w:lang w:val="en-US" w:eastAsia="zh-CN"/>
              </w:rPr>
            </w:pPr>
            <w:r>
              <w:rPr>
                <w:rFonts w:hint="eastAsia"/>
                <w:lang w:val="en-US" w:eastAsia="zh-CN"/>
              </w:rPr>
              <w:t>备注</w:t>
            </w:r>
          </w:p>
        </w:tc>
      </w:tr>
      <w:tr w14:paraId="5D93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14:paraId="0950B5A1">
            <w:pPr>
              <w:pStyle w:val="31"/>
              <w:bidi w:val="0"/>
              <w:jc w:val="center"/>
              <w:rPr>
                <w:rFonts w:hint="default"/>
                <w:lang w:val="en-US" w:eastAsia="zh-CN"/>
              </w:rPr>
            </w:pPr>
            <w:r>
              <w:rPr>
                <w:rFonts w:hint="eastAsia"/>
                <w:lang w:val="en-US" w:eastAsia="zh-CN"/>
              </w:rPr>
              <w:t>主体工程</w:t>
            </w:r>
          </w:p>
        </w:tc>
        <w:tc>
          <w:tcPr>
            <w:tcW w:w="886" w:type="dxa"/>
            <w:vAlign w:val="center"/>
          </w:tcPr>
          <w:p w14:paraId="401ACFC1">
            <w:pPr>
              <w:pStyle w:val="31"/>
              <w:bidi w:val="0"/>
              <w:jc w:val="center"/>
              <w:rPr>
                <w:rFonts w:hint="default"/>
                <w:lang w:val="en-US" w:eastAsia="zh-CN"/>
              </w:rPr>
            </w:pPr>
            <w:r>
              <w:rPr>
                <w:rFonts w:hint="eastAsia"/>
                <w:lang w:val="en-US" w:eastAsia="zh-CN"/>
              </w:rPr>
              <w:t>船台</w:t>
            </w:r>
          </w:p>
        </w:tc>
        <w:tc>
          <w:tcPr>
            <w:tcW w:w="2523" w:type="dxa"/>
            <w:vAlign w:val="center"/>
          </w:tcPr>
          <w:p w14:paraId="253F8081">
            <w:pPr>
              <w:pStyle w:val="31"/>
              <w:bidi w:val="0"/>
              <w:jc w:val="center"/>
              <w:rPr>
                <w:rFonts w:hint="default"/>
                <w:lang w:val="en-US" w:eastAsia="zh-CN"/>
              </w:rPr>
            </w:pPr>
            <w:r>
              <w:rPr>
                <w:rFonts w:hint="eastAsia"/>
                <w:lang w:val="en-US" w:eastAsia="zh-CN"/>
              </w:rPr>
              <w:t>已建成1个船台，船台面积5000m</w:t>
            </w:r>
            <w:r>
              <w:rPr>
                <w:rFonts w:hint="eastAsia"/>
                <w:vertAlign w:val="superscript"/>
                <w:lang w:val="en-US" w:eastAsia="zh-CN"/>
              </w:rPr>
              <w:t>2</w:t>
            </w:r>
            <w:r>
              <w:rPr>
                <w:rFonts w:hint="eastAsia"/>
                <w:lang w:val="en-US" w:eastAsia="zh-CN"/>
              </w:rPr>
              <w:t>，船台大小为100m×50m</w:t>
            </w:r>
          </w:p>
        </w:tc>
        <w:tc>
          <w:tcPr>
            <w:tcW w:w="2760" w:type="dxa"/>
            <w:vAlign w:val="center"/>
          </w:tcPr>
          <w:p w14:paraId="0FF712A5">
            <w:pPr>
              <w:pStyle w:val="31"/>
              <w:bidi w:val="0"/>
              <w:jc w:val="center"/>
              <w:rPr>
                <w:rFonts w:hint="default"/>
                <w:vertAlign w:val="baseline"/>
                <w:lang w:val="en-US" w:eastAsia="zh-CN"/>
              </w:rPr>
            </w:pPr>
            <w:r>
              <w:rPr>
                <w:rFonts w:hint="eastAsia"/>
                <w:lang w:val="en-US" w:eastAsia="zh-CN"/>
              </w:rPr>
              <w:t>减少用地面积，并改造为2个船台，占地面积3000m</w:t>
            </w:r>
            <w:r>
              <w:rPr>
                <w:rFonts w:hint="eastAsia"/>
                <w:vertAlign w:val="superscript"/>
                <w:lang w:val="en-US" w:eastAsia="zh-CN"/>
              </w:rPr>
              <w:t>2</w:t>
            </w:r>
            <w:r>
              <w:rPr>
                <w:rFonts w:hint="eastAsia"/>
                <w:vertAlign w:val="baseline"/>
                <w:lang w:val="en-US" w:eastAsia="zh-CN"/>
              </w:rPr>
              <w:t>，单个船台尺寸为80m×18.75m</w:t>
            </w:r>
          </w:p>
        </w:tc>
        <w:tc>
          <w:tcPr>
            <w:tcW w:w="1705" w:type="dxa"/>
            <w:vAlign w:val="center"/>
          </w:tcPr>
          <w:p w14:paraId="517B8157">
            <w:pPr>
              <w:pStyle w:val="31"/>
              <w:bidi w:val="0"/>
              <w:jc w:val="center"/>
              <w:rPr>
                <w:rFonts w:hint="default"/>
                <w:lang w:val="en-US" w:eastAsia="zh-CN"/>
              </w:rPr>
            </w:pPr>
            <w:r>
              <w:rPr>
                <w:rFonts w:hint="eastAsia"/>
                <w:lang w:val="en-US" w:eastAsia="zh-CN"/>
              </w:rPr>
              <w:t>改建</w:t>
            </w:r>
          </w:p>
        </w:tc>
      </w:tr>
      <w:tr w14:paraId="0EBED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vAlign w:val="center"/>
          </w:tcPr>
          <w:p w14:paraId="17C840B1">
            <w:pPr>
              <w:pStyle w:val="31"/>
              <w:bidi w:val="0"/>
              <w:jc w:val="center"/>
              <w:rPr>
                <w:rFonts w:hint="default"/>
                <w:lang w:val="en-US" w:eastAsia="zh-CN"/>
              </w:rPr>
            </w:pPr>
            <w:r>
              <w:rPr>
                <w:rFonts w:hint="eastAsia"/>
                <w:lang w:val="en-US" w:eastAsia="zh-CN"/>
              </w:rPr>
              <w:t>辅助工程</w:t>
            </w:r>
          </w:p>
        </w:tc>
        <w:tc>
          <w:tcPr>
            <w:tcW w:w="886" w:type="dxa"/>
            <w:vAlign w:val="center"/>
          </w:tcPr>
          <w:p w14:paraId="2D687F27">
            <w:pPr>
              <w:pStyle w:val="31"/>
              <w:bidi w:val="0"/>
              <w:jc w:val="center"/>
              <w:rPr>
                <w:rFonts w:hint="eastAsia"/>
                <w:lang w:val="en-US" w:eastAsia="zh-CN"/>
              </w:rPr>
            </w:pPr>
            <w:r>
              <w:rPr>
                <w:rFonts w:hint="eastAsia"/>
                <w:lang w:val="en-US" w:eastAsia="zh-CN"/>
              </w:rPr>
              <w:t>空压</w:t>
            </w:r>
          </w:p>
          <w:p w14:paraId="38A6FD9B">
            <w:pPr>
              <w:pStyle w:val="31"/>
              <w:bidi w:val="0"/>
              <w:jc w:val="center"/>
              <w:rPr>
                <w:rFonts w:hint="default"/>
                <w:lang w:val="en-US" w:eastAsia="zh-CN"/>
              </w:rPr>
            </w:pPr>
            <w:r>
              <w:rPr>
                <w:rFonts w:hint="eastAsia"/>
                <w:lang w:val="en-US" w:eastAsia="zh-CN"/>
              </w:rPr>
              <w:t>机房</w:t>
            </w:r>
          </w:p>
        </w:tc>
        <w:tc>
          <w:tcPr>
            <w:tcW w:w="2523" w:type="dxa"/>
            <w:vAlign w:val="center"/>
          </w:tcPr>
          <w:p w14:paraId="6854DA65">
            <w:pPr>
              <w:pStyle w:val="31"/>
              <w:bidi w:val="0"/>
              <w:jc w:val="center"/>
              <w:rPr>
                <w:rFonts w:hint="default"/>
                <w:vertAlign w:val="baseline"/>
                <w:lang w:val="en-US" w:eastAsia="zh-CN"/>
              </w:rPr>
            </w:pPr>
            <w:r>
              <w:rPr>
                <w:rFonts w:hint="eastAsia"/>
                <w:lang w:val="en-US" w:eastAsia="zh-CN"/>
              </w:rPr>
              <w:t>占地面积15m</w:t>
            </w:r>
            <w:r>
              <w:rPr>
                <w:rFonts w:hint="eastAsia"/>
                <w:vertAlign w:val="superscript"/>
                <w:lang w:val="en-US" w:eastAsia="zh-CN"/>
              </w:rPr>
              <w:t>2</w:t>
            </w:r>
            <w:r>
              <w:rPr>
                <w:rFonts w:hint="eastAsia"/>
                <w:vertAlign w:val="baseline"/>
                <w:lang w:val="en-US" w:eastAsia="zh-CN"/>
              </w:rPr>
              <w:t>，位于船台南侧</w:t>
            </w:r>
          </w:p>
        </w:tc>
        <w:tc>
          <w:tcPr>
            <w:tcW w:w="2760" w:type="dxa"/>
            <w:shd w:val="clear" w:color="auto" w:fill="auto"/>
            <w:vAlign w:val="center"/>
          </w:tcPr>
          <w:p w14:paraId="39F0783F">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占地面积15m</w:t>
            </w:r>
            <w:r>
              <w:rPr>
                <w:rFonts w:hint="eastAsia"/>
                <w:vertAlign w:val="superscript"/>
                <w:lang w:val="en-US" w:eastAsia="zh-CN"/>
              </w:rPr>
              <w:t>2</w:t>
            </w:r>
            <w:r>
              <w:rPr>
                <w:rFonts w:hint="eastAsia"/>
                <w:vertAlign w:val="baseline"/>
                <w:lang w:val="en-US" w:eastAsia="zh-CN"/>
              </w:rPr>
              <w:t>，位于船台南侧</w:t>
            </w:r>
          </w:p>
        </w:tc>
        <w:tc>
          <w:tcPr>
            <w:tcW w:w="1705" w:type="dxa"/>
            <w:vAlign w:val="center"/>
          </w:tcPr>
          <w:p w14:paraId="42FE80F8">
            <w:pPr>
              <w:pStyle w:val="31"/>
              <w:bidi w:val="0"/>
              <w:jc w:val="center"/>
              <w:rPr>
                <w:rFonts w:hint="default"/>
                <w:lang w:val="en-US" w:eastAsia="zh-CN"/>
              </w:rPr>
            </w:pPr>
            <w:r>
              <w:rPr>
                <w:rFonts w:hint="eastAsia"/>
                <w:lang w:val="en-US" w:eastAsia="zh-CN"/>
              </w:rPr>
              <w:t>依托现有</w:t>
            </w:r>
          </w:p>
        </w:tc>
      </w:tr>
      <w:tr w14:paraId="67097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102ADD6A">
            <w:pPr>
              <w:pStyle w:val="31"/>
              <w:bidi w:val="0"/>
              <w:jc w:val="center"/>
              <w:rPr>
                <w:rFonts w:hint="default"/>
                <w:lang w:val="en-US" w:eastAsia="zh-CN"/>
              </w:rPr>
            </w:pPr>
          </w:p>
        </w:tc>
        <w:tc>
          <w:tcPr>
            <w:tcW w:w="886" w:type="dxa"/>
            <w:vAlign w:val="center"/>
          </w:tcPr>
          <w:p w14:paraId="22CCF8FB">
            <w:pPr>
              <w:pStyle w:val="31"/>
              <w:bidi w:val="0"/>
              <w:jc w:val="center"/>
              <w:rPr>
                <w:rFonts w:hint="default"/>
                <w:lang w:val="en-US" w:eastAsia="zh-CN"/>
              </w:rPr>
            </w:pPr>
            <w:r>
              <w:rPr>
                <w:rFonts w:hint="eastAsia"/>
                <w:lang w:val="en-US" w:eastAsia="zh-CN"/>
              </w:rPr>
              <w:t>办公室</w:t>
            </w:r>
          </w:p>
        </w:tc>
        <w:tc>
          <w:tcPr>
            <w:tcW w:w="2523" w:type="dxa"/>
            <w:vAlign w:val="center"/>
          </w:tcPr>
          <w:p w14:paraId="1B4E8C55">
            <w:pPr>
              <w:pStyle w:val="31"/>
              <w:bidi w:val="0"/>
              <w:jc w:val="center"/>
              <w:rPr>
                <w:rFonts w:hint="default"/>
                <w:vertAlign w:val="baseline"/>
                <w:lang w:val="en-US" w:eastAsia="zh-CN"/>
              </w:rPr>
            </w:pPr>
            <w:r>
              <w:rPr>
                <w:rFonts w:hint="eastAsia"/>
                <w:lang w:val="en-US" w:eastAsia="zh-CN"/>
              </w:rPr>
              <w:t>利用厂区西北侧现有自建房，占地面积约250m</w:t>
            </w:r>
            <w:r>
              <w:rPr>
                <w:rFonts w:hint="eastAsia"/>
                <w:vertAlign w:val="superscript"/>
                <w:lang w:val="en-US" w:eastAsia="zh-CN"/>
              </w:rPr>
              <w:t>2</w:t>
            </w:r>
          </w:p>
        </w:tc>
        <w:tc>
          <w:tcPr>
            <w:tcW w:w="2760" w:type="dxa"/>
            <w:shd w:val="clear" w:color="auto" w:fill="auto"/>
            <w:vAlign w:val="center"/>
          </w:tcPr>
          <w:p w14:paraId="063BD1AB">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利用厂区西北侧现有自建房，占地面积约250m</w:t>
            </w:r>
            <w:r>
              <w:rPr>
                <w:rFonts w:hint="eastAsia"/>
                <w:vertAlign w:val="superscript"/>
                <w:lang w:val="en-US" w:eastAsia="zh-CN"/>
              </w:rPr>
              <w:t>2</w:t>
            </w:r>
          </w:p>
        </w:tc>
        <w:tc>
          <w:tcPr>
            <w:tcW w:w="1705" w:type="dxa"/>
            <w:vAlign w:val="center"/>
          </w:tcPr>
          <w:p w14:paraId="62DB4B47">
            <w:pPr>
              <w:pStyle w:val="31"/>
              <w:bidi w:val="0"/>
              <w:jc w:val="center"/>
              <w:rPr>
                <w:rFonts w:hint="default"/>
                <w:lang w:val="en-US" w:eastAsia="zh-CN"/>
              </w:rPr>
            </w:pPr>
            <w:r>
              <w:rPr>
                <w:rFonts w:hint="eastAsia"/>
                <w:lang w:val="en-US" w:eastAsia="zh-CN"/>
              </w:rPr>
              <w:t>依托现有</w:t>
            </w:r>
          </w:p>
        </w:tc>
      </w:tr>
      <w:tr w14:paraId="64748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48" w:type="dxa"/>
            <w:vMerge w:val="restart"/>
            <w:vAlign w:val="center"/>
          </w:tcPr>
          <w:p w14:paraId="599D9F33">
            <w:pPr>
              <w:pStyle w:val="31"/>
              <w:bidi w:val="0"/>
              <w:jc w:val="center"/>
              <w:rPr>
                <w:rFonts w:hint="default"/>
                <w:lang w:val="en-US" w:eastAsia="zh-CN"/>
              </w:rPr>
            </w:pPr>
            <w:r>
              <w:rPr>
                <w:rFonts w:hint="eastAsia"/>
                <w:lang w:val="en-US" w:eastAsia="zh-CN"/>
              </w:rPr>
              <w:t>储运工程</w:t>
            </w:r>
          </w:p>
        </w:tc>
        <w:tc>
          <w:tcPr>
            <w:tcW w:w="886" w:type="dxa"/>
            <w:vAlign w:val="center"/>
          </w:tcPr>
          <w:p w14:paraId="314B5FC4">
            <w:pPr>
              <w:pStyle w:val="31"/>
              <w:bidi w:val="0"/>
              <w:jc w:val="center"/>
              <w:rPr>
                <w:rFonts w:hint="default"/>
                <w:lang w:val="en-US" w:eastAsia="zh-CN"/>
              </w:rPr>
            </w:pPr>
            <w:r>
              <w:rPr>
                <w:rFonts w:hint="eastAsia"/>
                <w:lang w:val="en-US" w:eastAsia="zh-CN"/>
              </w:rPr>
              <w:t>原材料仓库</w:t>
            </w:r>
          </w:p>
        </w:tc>
        <w:tc>
          <w:tcPr>
            <w:tcW w:w="2523" w:type="dxa"/>
            <w:vAlign w:val="center"/>
          </w:tcPr>
          <w:p w14:paraId="028657BF">
            <w:pPr>
              <w:pStyle w:val="31"/>
              <w:bidi w:val="0"/>
              <w:jc w:val="center"/>
              <w:rPr>
                <w:rFonts w:hint="default"/>
                <w:vertAlign w:val="baseline"/>
                <w:lang w:val="en-US" w:eastAsia="zh-CN"/>
              </w:rPr>
            </w:pPr>
            <w:r>
              <w:rPr>
                <w:rFonts w:hint="eastAsia"/>
                <w:lang w:val="en-US" w:eastAsia="zh-CN"/>
              </w:rPr>
              <w:t>占地面积24m</w:t>
            </w:r>
            <w:r>
              <w:rPr>
                <w:rFonts w:hint="eastAsia"/>
                <w:vertAlign w:val="superscript"/>
                <w:lang w:val="en-US" w:eastAsia="zh-CN"/>
              </w:rPr>
              <w:t>2</w:t>
            </w:r>
            <w:r>
              <w:rPr>
                <w:rFonts w:hint="eastAsia"/>
                <w:vertAlign w:val="baseline"/>
                <w:lang w:val="en-US" w:eastAsia="zh-CN"/>
              </w:rPr>
              <w:t>，利用现有自建房进行改造</w:t>
            </w:r>
          </w:p>
        </w:tc>
        <w:tc>
          <w:tcPr>
            <w:tcW w:w="2760" w:type="dxa"/>
            <w:shd w:val="clear" w:color="auto" w:fill="auto"/>
            <w:vAlign w:val="center"/>
          </w:tcPr>
          <w:p w14:paraId="3CC7D15D">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占地面积24m</w:t>
            </w:r>
            <w:r>
              <w:rPr>
                <w:rFonts w:hint="eastAsia"/>
                <w:vertAlign w:val="superscript"/>
                <w:lang w:val="en-US" w:eastAsia="zh-CN"/>
              </w:rPr>
              <w:t>2</w:t>
            </w:r>
            <w:r>
              <w:rPr>
                <w:rFonts w:hint="eastAsia"/>
                <w:vertAlign w:val="baseline"/>
                <w:lang w:val="en-US" w:eastAsia="zh-CN"/>
              </w:rPr>
              <w:t>，利用现有自建房进行改造</w:t>
            </w:r>
          </w:p>
        </w:tc>
        <w:tc>
          <w:tcPr>
            <w:tcW w:w="1705" w:type="dxa"/>
            <w:vAlign w:val="center"/>
          </w:tcPr>
          <w:p w14:paraId="30338561">
            <w:pPr>
              <w:pStyle w:val="31"/>
              <w:bidi w:val="0"/>
              <w:jc w:val="center"/>
              <w:rPr>
                <w:rFonts w:hint="default"/>
                <w:lang w:val="en-US" w:eastAsia="zh-CN"/>
              </w:rPr>
            </w:pPr>
            <w:r>
              <w:rPr>
                <w:rFonts w:hint="eastAsia"/>
                <w:lang w:val="en-US" w:eastAsia="zh-CN"/>
              </w:rPr>
              <w:t>依托现有</w:t>
            </w:r>
          </w:p>
        </w:tc>
      </w:tr>
      <w:tr w14:paraId="4F51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58A518D1">
            <w:pPr>
              <w:pStyle w:val="31"/>
              <w:bidi w:val="0"/>
              <w:jc w:val="center"/>
              <w:rPr>
                <w:rFonts w:hint="default"/>
                <w:lang w:val="en-US" w:eastAsia="zh-CN"/>
              </w:rPr>
            </w:pPr>
          </w:p>
        </w:tc>
        <w:tc>
          <w:tcPr>
            <w:tcW w:w="886" w:type="dxa"/>
            <w:vAlign w:val="center"/>
          </w:tcPr>
          <w:p w14:paraId="5139A37B">
            <w:pPr>
              <w:pStyle w:val="31"/>
              <w:bidi w:val="0"/>
              <w:jc w:val="center"/>
              <w:rPr>
                <w:rFonts w:hint="default"/>
                <w:lang w:val="en-US" w:eastAsia="zh-CN"/>
              </w:rPr>
            </w:pPr>
            <w:r>
              <w:rPr>
                <w:rFonts w:hint="eastAsia"/>
                <w:lang w:val="en-US" w:eastAsia="zh-CN"/>
              </w:rPr>
              <w:t>化学品仓库</w:t>
            </w:r>
          </w:p>
        </w:tc>
        <w:tc>
          <w:tcPr>
            <w:tcW w:w="2523" w:type="dxa"/>
            <w:vAlign w:val="center"/>
          </w:tcPr>
          <w:p w14:paraId="73209EA9">
            <w:pPr>
              <w:pStyle w:val="31"/>
              <w:bidi w:val="0"/>
              <w:jc w:val="center"/>
              <w:rPr>
                <w:rFonts w:hint="default"/>
                <w:vertAlign w:val="baseline"/>
                <w:lang w:val="en-US" w:eastAsia="zh-CN"/>
              </w:rPr>
            </w:pPr>
            <w:r>
              <w:rPr>
                <w:rFonts w:hint="eastAsia"/>
                <w:lang w:val="en-US" w:eastAsia="zh-CN"/>
              </w:rPr>
              <w:t>原材料仓库内单独设置5m</w:t>
            </w:r>
            <w:r>
              <w:rPr>
                <w:rFonts w:hint="eastAsia"/>
                <w:vertAlign w:val="superscript"/>
                <w:lang w:val="en-US" w:eastAsia="zh-CN"/>
              </w:rPr>
              <w:t>2</w:t>
            </w:r>
            <w:r>
              <w:rPr>
                <w:rFonts w:hint="eastAsia"/>
                <w:vertAlign w:val="baseline"/>
                <w:lang w:val="en-US" w:eastAsia="zh-CN"/>
              </w:rPr>
              <w:t>化学品仓库</w:t>
            </w:r>
          </w:p>
        </w:tc>
        <w:tc>
          <w:tcPr>
            <w:tcW w:w="2760" w:type="dxa"/>
            <w:shd w:val="clear" w:color="auto" w:fill="auto"/>
            <w:vAlign w:val="center"/>
          </w:tcPr>
          <w:p w14:paraId="512D5069">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原材料仓库内单独设置5m</w:t>
            </w:r>
            <w:r>
              <w:rPr>
                <w:rFonts w:hint="eastAsia"/>
                <w:vertAlign w:val="superscript"/>
                <w:lang w:val="en-US" w:eastAsia="zh-CN"/>
              </w:rPr>
              <w:t>2</w:t>
            </w:r>
            <w:r>
              <w:rPr>
                <w:rFonts w:hint="eastAsia"/>
                <w:vertAlign w:val="baseline"/>
                <w:lang w:val="en-US" w:eastAsia="zh-CN"/>
              </w:rPr>
              <w:t>化学品仓库</w:t>
            </w:r>
          </w:p>
        </w:tc>
        <w:tc>
          <w:tcPr>
            <w:tcW w:w="1705" w:type="dxa"/>
            <w:vAlign w:val="center"/>
          </w:tcPr>
          <w:p w14:paraId="431BD298">
            <w:pPr>
              <w:pStyle w:val="31"/>
              <w:bidi w:val="0"/>
              <w:jc w:val="center"/>
              <w:rPr>
                <w:rFonts w:hint="default"/>
                <w:lang w:val="en-US" w:eastAsia="zh-CN"/>
              </w:rPr>
            </w:pPr>
            <w:r>
              <w:rPr>
                <w:rFonts w:hint="eastAsia"/>
                <w:lang w:val="en-US" w:eastAsia="zh-CN"/>
              </w:rPr>
              <w:t>现有工程，本项目无需化学品</w:t>
            </w:r>
          </w:p>
        </w:tc>
      </w:tr>
      <w:tr w14:paraId="2DA66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5BEFE650">
            <w:pPr>
              <w:pStyle w:val="31"/>
              <w:bidi w:val="0"/>
              <w:jc w:val="center"/>
              <w:rPr>
                <w:rFonts w:hint="default"/>
                <w:lang w:val="en-US" w:eastAsia="zh-CN"/>
              </w:rPr>
            </w:pPr>
          </w:p>
        </w:tc>
        <w:tc>
          <w:tcPr>
            <w:tcW w:w="886" w:type="dxa"/>
            <w:vAlign w:val="center"/>
          </w:tcPr>
          <w:p w14:paraId="7E064D7A">
            <w:pPr>
              <w:pStyle w:val="31"/>
              <w:bidi w:val="0"/>
              <w:jc w:val="center"/>
              <w:rPr>
                <w:rFonts w:hint="default"/>
                <w:lang w:val="en-US" w:eastAsia="zh-CN"/>
              </w:rPr>
            </w:pPr>
            <w:r>
              <w:rPr>
                <w:rFonts w:hint="eastAsia"/>
                <w:lang w:val="en-US" w:eastAsia="zh-CN"/>
              </w:rPr>
              <w:t>油漆仓库</w:t>
            </w:r>
          </w:p>
        </w:tc>
        <w:tc>
          <w:tcPr>
            <w:tcW w:w="2523" w:type="dxa"/>
            <w:vAlign w:val="center"/>
          </w:tcPr>
          <w:p w14:paraId="2B42A543">
            <w:pPr>
              <w:pStyle w:val="31"/>
              <w:bidi w:val="0"/>
              <w:jc w:val="center"/>
              <w:rPr>
                <w:rFonts w:hint="default"/>
                <w:vertAlign w:val="baseline"/>
                <w:lang w:val="en-US" w:eastAsia="zh-CN"/>
              </w:rPr>
            </w:pPr>
            <w:r>
              <w:rPr>
                <w:rFonts w:hint="eastAsia"/>
                <w:lang w:val="en-US" w:eastAsia="zh-CN"/>
              </w:rPr>
              <w:t>原材料仓库内单独设置5m</w:t>
            </w:r>
            <w:r>
              <w:rPr>
                <w:rFonts w:hint="eastAsia"/>
                <w:vertAlign w:val="superscript"/>
                <w:lang w:val="en-US" w:eastAsia="zh-CN"/>
              </w:rPr>
              <w:t>2</w:t>
            </w:r>
            <w:r>
              <w:rPr>
                <w:rFonts w:hint="eastAsia"/>
                <w:vertAlign w:val="baseline"/>
                <w:lang w:val="en-US" w:eastAsia="zh-CN"/>
              </w:rPr>
              <w:t>油漆仓库</w:t>
            </w:r>
          </w:p>
        </w:tc>
        <w:tc>
          <w:tcPr>
            <w:tcW w:w="2760" w:type="dxa"/>
            <w:shd w:val="clear" w:color="auto" w:fill="auto"/>
            <w:vAlign w:val="center"/>
          </w:tcPr>
          <w:p w14:paraId="079374DF">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原材料仓库内单独设置5m</w:t>
            </w:r>
            <w:r>
              <w:rPr>
                <w:rFonts w:hint="eastAsia"/>
                <w:vertAlign w:val="superscript"/>
                <w:lang w:val="en-US" w:eastAsia="zh-CN"/>
              </w:rPr>
              <w:t>2</w:t>
            </w:r>
            <w:r>
              <w:rPr>
                <w:rFonts w:hint="eastAsia"/>
                <w:vertAlign w:val="baseline"/>
                <w:lang w:val="en-US" w:eastAsia="zh-CN"/>
              </w:rPr>
              <w:t>油漆仓库</w:t>
            </w:r>
          </w:p>
        </w:tc>
        <w:tc>
          <w:tcPr>
            <w:tcW w:w="1705" w:type="dxa"/>
            <w:shd w:val="clear" w:color="auto" w:fill="auto"/>
            <w:vAlign w:val="center"/>
          </w:tcPr>
          <w:p w14:paraId="478DFEA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现有工程，本项目无需油漆</w:t>
            </w:r>
          </w:p>
        </w:tc>
      </w:tr>
      <w:tr w14:paraId="14CD8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1DFDE8B4">
            <w:pPr>
              <w:pStyle w:val="31"/>
              <w:bidi w:val="0"/>
              <w:jc w:val="center"/>
              <w:rPr>
                <w:rFonts w:hint="default"/>
                <w:lang w:val="en-US" w:eastAsia="zh-CN"/>
              </w:rPr>
            </w:pPr>
          </w:p>
        </w:tc>
        <w:tc>
          <w:tcPr>
            <w:tcW w:w="886" w:type="dxa"/>
            <w:vAlign w:val="center"/>
          </w:tcPr>
          <w:p w14:paraId="09E09583">
            <w:pPr>
              <w:pStyle w:val="31"/>
              <w:bidi w:val="0"/>
              <w:jc w:val="center"/>
              <w:rPr>
                <w:rFonts w:hint="default"/>
                <w:lang w:val="en-US" w:eastAsia="zh-CN"/>
              </w:rPr>
            </w:pPr>
            <w:r>
              <w:rPr>
                <w:rFonts w:hint="eastAsia"/>
                <w:lang w:val="en-US" w:eastAsia="zh-CN"/>
              </w:rPr>
              <w:t>喷砂装置用河沙堆场</w:t>
            </w:r>
          </w:p>
        </w:tc>
        <w:tc>
          <w:tcPr>
            <w:tcW w:w="2523" w:type="dxa"/>
            <w:vAlign w:val="center"/>
          </w:tcPr>
          <w:p w14:paraId="5C440794">
            <w:pPr>
              <w:pStyle w:val="31"/>
              <w:bidi w:val="0"/>
              <w:jc w:val="center"/>
              <w:rPr>
                <w:rFonts w:hint="default"/>
                <w:lang w:val="en-US" w:eastAsia="zh-CN"/>
              </w:rPr>
            </w:pPr>
            <w:r>
              <w:rPr>
                <w:rFonts w:hint="eastAsia"/>
                <w:lang w:val="en-US" w:eastAsia="zh-CN"/>
              </w:rPr>
              <w:t>位于自建房屋外院落中，有效面积约20m</w:t>
            </w:r>
            <w:r>
              <w:rPr>
                <w:rFonts w:hint="eastAsia"/>
                <w:vertAlign w:val="superscript"/>
                <w:lang w:val="en-US" w:eastAsia="zh-CN"/>
              </w:rPr>
              <w:t>2</w:t>
            </w:r>
            <w:r>
              <w:rPr>
                <w:rFonts w:hint="eastAsia"/>
                <w:lang w:val="en-US" w:eastAsia="zh-CN"/>
              </w:rPr>
              <w:t>，钢结构顶棚+三面砖砌围挡</w:t>
            </w:r>
          </w:p>
        </w:tc>
        <w:tc>
          <w:tcPr>
            <w:tcW w:w="2760" w:type="dxa"/>
            <w:shd w:val="clear" w:color="auto" w:fill="auto"/>
            <w:vAlign w:val="center"/>
          </w:tcPr>
          <w:p w14:paraId="266C370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位于自建房屋外院落中，有效面积约20m</w:t>
            </w:r>
            <w:r>
              <w:rPr>
                <w:rFonts w:hint="eastAsia"/>
                <w:vertAlign w:val="superscript"/>
                <w:lang w:val="en-US" w:eastAsia="zh-CN"/>
              </w:rPr>
              <w:t>2</w:t>
            </w:r>
            <w:r>
              <w:rPr>
                <w:rFonts w:hint="eastAsia"/>
                <w:lang w:val="en-US" w:eastAsia="zh-CN"/>
              </w:rPr>
              <w:t>，钢结构顶棚+三面砖砌围挡</w:t>
            </w:r>
          </w:p>
        </w:tc>
        <w:tc>
          <w:tcPr>
            <w:tcW w:w="1705" w:type="dxa"/>
            <w:shd w:val="clear" w:color="auto" w:fill="auto"/>
            <w:vAlign w:val="center"/>
          </w:tcPr>
          <w:p w14:paraId="5159E4B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现有工程，本项目无需河沙</w:t>
            </w:r>
          </w:p>
        </w:tc>
      </w:tr>
      <w:tr w14:paraId="79FE7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vAlign w:val="center"/>
          </w:tcPr>
          <w:p w14:paraId="51731C73">
            <w:pPr>
              <w:pStyle w:val="31"/>
              <w:bidi w:val="0"/>
              <w:jc w:val="center"/>
              <w:rPr>
                <w:rFonts w:hint="default"/>
                <w:lang w:val="en-US" w:eastAsia="zh-CN"/>
              </w:rPr>
            </w:pPr>
            <w:r>
              <w:rPr>
                <w:rFonts w:hint="eastAsia"/>
                <w:lang w:val="en-US" w:eastAsia="zh-CN"/>
              </w:rPr>
              <w:t>公用工程</w:t>
            </w:r>
          </w:p>
        </w:tc>
        <w:tc>
          <w:tcPr>
            <w:tcW w:w="886" w:type="dxa"/>
            <w:vAlign w:val="center"/>
          </w:tcPr>
          <w:p w14:paraId="4DF3B63E">
            <w:pPr>
              <w:pStyle w:val="31"/>
              <w:bidi w:val="0"/>
              <w:jc w:val="center"/>
              <w:rPr>
                <w:rFonts w:hint="default"/>
                <w:lang w:val="en-US" w:eastAsia="zh-CN"/>
              </w:rPr>
            </w:pPr>
            <w:r>
              <w:rPr>
                <w:rFonts w:hint="eastAsia"/>
                <w:lang w:val="en-US" w:eastAsia="zh-CN"/>
              </w:rPr>
              <w:t>给水</w:t>
            </w:r>
          </w:p>
        </w:tc>
        <w:tc>
          <w:tcPr>
            <w:tcW w:w="2523" w:type="dxa"/>
            <w:shd w:val="clear" w:color="auto" w:fill="auto"/>
            <w:vAlign w:val="center"/>
          </w:tcPr>
          <w:p w14:paraId="46800DC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生产用水为</w:t>
            </w:r>
            <w:r>
              <w:rPr>
                <w:rFonts w:hint="eastAsia"/>
                <w:lang w:val="en-GB" w:eastAsia="zh-CN"/>
              </w:rPr>
              <w:t>湘江水；</w:t>
            </w:r>
            <w:r>
              <w:rPr>
                <w:rFonts w:hint="eastAsia"/>
                <w:lang w:val="en-US" w:eastAsia="zh-CN"/>
              </w:rPr>
              <w:t>生活用水依托自建房中给水系统</w:t>
            </w:r>
          </w:p>
        </w:tc>
        <w:tc>
          <w:tcPr>
            <w:tcW w:w="2760" w:type="dxa"/>
            <w:shd w:val="clear" w:color="auto" w:fill="auto"/>
            <w:vAlign w:val="center"/>
          </w:tcPr>
          <w:p w14:paraId="1347D89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生产用水为</w:t>
            </w:r>
            <w:r>
              <w:rPr>
                <w:rFonts w:hint="eastAsia"/>
                <w:lang w:val="en-GB" w:eastAsia="zh-CN"/>
              </w:rPr>
              <w:t>湘江水；</w:t>
            </w:r>
            <w:r>
              <w:rPr>
                <w:rFonts w:hint="eastAsia"/>
                <w:lang w:val="en-US" w:eastAsia="zh-CN"/>
              </w:rPr>
              <w:t>生活用水依托自建房中给水系统</w:t>
            </w:r>
          </w:p>
        </w:tc>
        <w:tc>
          <w:tcPr>
            <w:tcW w:w="1705" w:type="dxa"/>
            <w:vAlign w:val="center"/>
          </w:tcPr>
          <w:p w14:paraId="07AD63DE">
            <w:pPr>
              <w:pStyle w:val="31"/>
              <w:bidi w:val="0"/>
              <w:jc w:val="center"/>
              <w:rPr>
                <w:rFonts w:hint="default"/>
                <w:lang w:val="en-US" w:eastAsia="zh-CN"/>
              </w:rPr>
            </w:pPr>
            <w:r>
              <w:rPr>
                <w:rFonts w:hint="eastAsia"/>
                <w:lang w:val="en-US" w:eastAsia="zh-CN"/>
              </w:rPr>
              <w:t>依托现有</w:t>
            </w:r>
          </w:p>
        </w:tc>
      </w:tr>
      <w:tr w14:paraId="4E272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0E1A5B99">
            <w:pPr>
              <w:pStyle w:val="31"/>
              <w:bidi w:val="0"/>
              <w:jc w:val="center"/>
              <w:rPr>
                <w:rFonts w:hint="eastAsia"/>
                <w:lang w:val="en-US" w:eastAsia="zh-CN"/>
              </w:rPr>
            </w:pPr>
          </w:p>
        </w:tc>
        <w:tc>
          <w:tcPr>
            <w:tcW w:w="886" w:type="dxa"/>
            <w:vAlign w:val="center"/>
          </w:tcPr>
          <w:p w14:paraId="215AB43A">
            <w:pPr>
              <w:pStyle w:val="31"/>
              <w:bidi w:val="0"/>
              <w:jc w:val="center"/>
              <w:rPr>
                <w:rFonts w:hint="default"/>
                <w:lang w:val="en-US" w:eastAsia="zh-CN"/>
              </w:rPr>
            </w:pPr>
            <w:r>
              <w:rPr>
                <w:rFonts w:hint="eastAsia"/>
                <w:lang w:val="en-US" w:eastAsia="zh-CN"/>
              </w:rPr>
              <w:t>排水</w:t>
            </w:r>
          </w:p>
        </w:tc>
        <w:tc>
          <w:tcPr>
            <w:tcW w:w="2523" w:type="dxa"/>
            <w:shd w:val="clear" w:color="auto" w:fill="auto"/>
            <w:vAlign w:val="center"/>
          </w:tcPr>
          <w:p w14:paraId="3AEBA9EC">
            <w:pPr>
              <w:pStyle w:val="31"/>
              <w:bidi w:val="0"/>
              <w:ind w:firstLine="0" w:firstLineChars="0"/>
              <w:jc w:val="center"/>
              <w:rPr>
                <w:rFonts w:hint="default"/>
                <w:vertAlign w:val="baseline"/>
                <w:lang w:val="en-US" w:eastAsia="zh-CN"/>
              </w:rPr>
            </w:pPr>
            <w:r>
              <w:rPr>
                <w:rFonts w:hint="eastAsia"/>
                <w:lang w:val="en-US" w:eastAsia="zh-CN"/>
              </w:rPr>
              <w:t>船台北侧设置1个50m</w:t>
            </w:r>
            <w:r>
              <w:rPr>
                <w:rFonts w:hint="eastAsia"/>
                <w:vertAlign w:val="superscript"/>
                <w:lang w:val="en-US" w:eastAsia="zh-CN"/>
              </w:rPr>
              <w:t>3</w:t>
            </w:r>
            <w:r>
              <w:rPr>
                <w:rFonts w:hint="eastAsia"/>
                <w:vertAlign w:val="baseline"/>
                <w:lang w:val="en-US" w:eastAsia="zh-CN"/>
              </w:rPr>
              <w:t>沉淀池及导流沟，初期雨水收集至沉淀池，沉淀后回用于场地洒水降尘；生活污水依托自建房已设置的化粪池处理后用于农田施肥</w:t>
            </w:r>
          </w:p>
        </w:tc>
        <w:tc>
          <w:tcPr>
            <w:tcW w:w="2760" w:type="dxa"/>
            <w:shd w:val="clear" w:color="auto" w:fill="auto"/>
            <w:vAlign w:val="center"/>
          </w:tcPr>
          <w:p w14:paraId="51DABFC6">
            <w:pPr>
              <w:pStyle w:val="31"/>
              <w:bidi w:val="0"/>
              <w:ind w:firstLine="0" w:firstLineChars="0"/>
              <w:jc w:val="center"/>
              <w:rPr>
                <w:rFonts w:hint="default" w:ascii="Times New Roman" w:hAnsi="Times New Roman" w:eastAsia="宋体" w:cstheme="minorBidi"/>
                <w:kern w:val="2"/>
                <w:sz w:val="21"/>
                <w:szCs w:val="21"/>
                <w:vertAlign w:val="baseline"/>
                <w:lang w:val="en-US" w:eastAsia="zh-CN" w:bidi="ar-SA"/>
                <w14:ligatures w14:val="standardContextual"/>
              </w:rPr>
            </w:pPr>
            <w:r>
              <w:rPr>
                <w:rFonts w:hint="eastAsia"/>
                <w:lang w:val="en-US" w:eastAsia="zh-CN"/>
              </w:rPr>
              <w:t>船台北侧设置1个50m</w:t>
            </w:r>
            <w:r>
              <w:rPr>
                <w:rFonts w:hint="eastAsia"/>
                <w:vertAlign w:val="superscript"/>
                <w:lang w:val="en-US" w:eastAsia="zh-CN"/>
              </w:rPr>
              <w:t>3</w:t>
            </w:r>
            <w:r>
              <w:rPr>
                <w:rFonts w:hint="eastAsia"/>
                <w:vertAlign w:val="baseline"/>
                <w:lang w:val="en-US" w:eastAsia="zh-CN"/>
              </w:rPr>
              <w:t>沉淀池及导流沟，场地冲洗废水及初期雨水收集至沉淀池，并设置液位监测装置及自动抽水泵，在防洪堤内侧设置50m</w:t>
            </w:r>
            <w:r>
              <w:rPr>
                <w:rFonts w:hint="eastAsia"/>
                <w:vertAlign w:val="superscript"/>
                <w:lang w:val="en-US" w:eastAsia="zh-CN"/>
              </w:rPr>
              <w:t>3</w:t>
            </w:r>
            <w:r>
              <w:rPr>
                <w:rFonts w:hint="eastAsia"/>
                <w:vertAlign w:val="baseline"/>
                <w:lang w:val="en-US" w:eastAsia="zh-CN"/>
              </w:rPr>
              <w:t>/d废水处理站，初期雨水经处理达标优先回用于场地内洒水降尘，不能回用部分通过罐车运输至三樟镇污水处理厂处理；生活污水依托自建房已设置的化粪池处理后用于农田施肥</w:t>
            </w:r>
          </w:p>
        </w:tc>
        <w:tc>
          <w:tcPr>
            <w:tcW w:w="1705" w:type="dxa"/>
            <w:vAlign w:val="center"/>
          </w:tcPr>
          <w:p w14:paraId="4681C32B">
            <w:pPr>
              <w:pStyle w:val="31"/>
              <w:bidi w:val="0"/>
              <w:ind w:firstLine="0" w:firstLineChars="0"/>
              <w:jc w:val="center"/>
              <w:rPr>
                <w:rFonts w:hint="default"/>
                <w:lang w:val="en-US" w:eastAsia="zh-CN"/>
              </w:rPr>
            </w:pPr>
            <w:r>
              <w:rPr>
                <w:rFonts w:hint="eastAsia"/>
                <w:lang w:val="en-US" w:eastAsia="zh-CN"/>
              </w:rPr>
              <w:t>新建废水处理设施及入河排污口</w:t>
            </w:r>
          </w:p>
        </w:tc>
      </w:tr>
      <w:tr w14:paraId="6A2FE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76A8E5A5">
            <w:pPr>
              <w:pStyle w:val="31"/>
              <w:bidi w:val="0"/>
              <w:jc w:val="center"/>
              <w:rPr>
                <w:rFonts w:hint="eastAsia"/>
                <w:lang w:val="en-US" w:eastAsia="zh-CN"/>
              </w:rPr>
            </w:pPr>
          </w:p>
        </w:tc>
        <w:tc>
          <w:tcPr>
            <w:tcW w:w="886" w:type="dxa"/>
            <w:vAlign w:val="center"/>
          </w:tcPr>
          <w:p w14:paraId="4013908A">
            <w:pPr>
              <w:pStyle w:val="31"/>
              <w:bidi w:val="0"/>
              <w:jc w:val="center"/>
              <w:rPr>
                <w:rFonts w:hint="default"/>
                <w:lang w:val="en-US" w:eastAsia="zh-CN"/>
              </w:rPr>
            </w:pPr>
            <w:r>
              <w:rPr>
                <w:rFonts w:hint="eastAsia"/>
                <w:lang w:val="en-US" w:eastAsia="zh-CN"/>
              </w:rPr>
              <w:t>供电</w:t>
            </w:r>
          </w:p>
        </w:tc>
        <w:tc>
          <w:tcPr>
            <w:tcW w:w="2523" w:type="dxa"/>
            <w:shd w:val="clear" w:color="auto" w:fill="auto"/>
            <w:vAlign w:val="center"/>
          </w:tcPr>
          <w:p w14:paraId="30A6C1CD">
            <w:pPr>
              <w:pStyle w:val="31"/>
              <w:bidi w:val="0"/>
              <w:ind w:firstLine="0" w:firstLineChars="0"/>
              <w:jc w:val="center"/>
              <w:rPr>
                <w:rFonts w:hint="default"/>
                <w:lang w:val="en-US" w:eastAsia="zh-CN"/>
              </w:rPr>
            </w:pPr>
            <w:r>
              <w:rPr>
                <w:rFonts w:hint="eastAsia"/>
                <w:lang w:val="en-US" w:eastAsia="zh-CN"/>
              </w:rPr>
              <w:t>国家电网供电</w:t>
            </w:r>
          </w:p>
        </w:tc>
        <w:tc>
          <w:tcPr>
            <w:tcW w:w="2760" w:type="dxa"/>
            <w:shd w:val="clear" w:color="auto" w:fill="auto"/>
            <w:vAlign w:val="center"/>
          </w:tcPr>
          <w:p w14:paraId="17176FA1">
            <w:pPr>
              <w:pStyle w:val="31"/>
              <w:bidi w:val="0"/>
              <w:ind w:firstLine="0" w:firstLineChars="0"/>
              <w:jc w:val="center"/>
              <w:rPr>
                <w:rFonts w:hint="eastAsia"/>
                <w:lang w:val="en-US" w:eastAsia="zh-CN"/>
              </w:rPr>
            </w:pPr>
            <w:r>
              <w:rPr>
                <w:rFonts w:hint="eastAsia"/>
                <w:lang w:val="en-US" w:eastAsia="zh-CN"/>
              </w:rPr>
              <w:t>国家电网供电</w:t>
            </w:r>
          </w:p>
        </w:tc>
        <w:tc>
          <w:tcPr>
            <w:tcW w:w="1705" w:type="dxa"/>
            <w:vAlign w:val="center"/>
          </w:tcPr>
          <w:p w14:paraId="3D9310AC">
            <w:pPr>
              <w:pStyle w:val="31"/>
              <w:bidi w:val="0"/>
              <w:jc w:val="center"/>
              <w:rPr>
                <w:rFonts w:hint="default"/>
                <w:lang w:val="en-US" w:eastAsia="zh-CN"/>
              </w:rPr>
            </w:pPr>
            <w:r>
              <w:rPr>
                <w:rFonts w:hint="eastAsia"/>
                <w:lang w:val="en-US" w:eastAsia="zh-CN"/>
              </w:rPr>
              <w:t>依托现有</w:t>
            </w:r>
          </w:p>
        </w:tc>
      </w:tr>
      <w:tr w14:paraId="1620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vAlign w:val="center"/>
          </w:tcPr>
          <w:p w14:paraId="3F73DC62">
            <w:pPr>
              <w:pStyle w:val="31"/>
              <w:bidi w:val="0"/>
              <w:jc w:val="center"/>
              <w:rPr>
                <w:rFonts w:hint="default"/>
                <w:lang w:val="en-US" w:eastAsia="zh-CN"/>
              </w:rPr>
            </w:pPr>
            <w:r>
              <w:rPr>
                <w:rFonts w:hint="eastAsia"/>
                <w:lang w:val="en-US" w:eastAsia="zh-CN"/>
              </w:rPr>
              <w:t>环保工程</w:t>
            </w:r>
          </w:p>
        </w:tc>
        <w:tc>
          <w:tcPr>
            <w:tcW w:w="886" w:type="dxa"/>
            <w:vMerge w:val="restart"/>
            <w:vAlign w:val="center"/>
          </w:tcPr>
          <w:p w14:paraId="055E6BE7">
            <w:pPr>
              <w:pStyle w:val="31"/>
              <w:bidi w:val="0"/>
              <w:jc w:val="center"/>
              <w:rPr>
                <w:rFonts w:hint="default"/>
                <w:lang w:val="en-US" w:eastAsia="zh-CN"/>
              </w:rPr>
            </w:pPr>
            <w:r>
              <w:rPr>
                <w:rFonts w:hint="eastAsia"/>
                <w:lang w:val="en-US" w:eastAsia="zh-CN"/>
              </w:rPr>
              <w:t>废水</w:t>
            </w:r>
          </w:p>
        </w:tc>
        <w:tc>
          <w:tcPr>
            <w:tcW w:w="2523" w:type="dxa"/>
            <w:shd w:val="clear" w:color="auto" w:fill="auto"/>
            <w:vAlign w:val="center"/>
          </w:tcPr>
          <w:p w14:paraId="2C6E49BF">
            <w:pPr>
              <w:pStyle w:val="31"/>
              <w:bidi w:val="0"/>
              <w:ind w:firstLine="0" w:firstLineChars="0"/>
              <w:jc w:val="center"/>
              <w:rPr>
                <w:rFonts w:hint="default"/>
                <w:lang w:val="en-US" w:eastAsia="zh-CN"/>
              </w:rPr>
            </w:pPr>
            <w:r>
              <w:rPr>
                <w:rFonts w:hint="eastAsia"/>
                <w:lang w:val="en-US" w:eastAsia="zh-CN"/>
              </w:rPr>
              <w:t>生活污水依托自建房设置的化粪池处理后用于周边农田施肥</w:t>
            </w:r>
          </w:p>
        </w:tc>
        <w:tc>
          <w:tcPr>
            <w:tcW w:w="2760" w:type="dxa"/>
            <w:shd w:val="clear" w:color="auto" w:fill="auto"/>
            <w:vAlign w:val="center"/>
          </w:tcPr>
          <w:p w14:paraId="173B4A75">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生活污水依托自建房设置的化粪池处理后用于周边农田施肥</w:t>
            </w:r>
          </w:p>
        </w:tc>
        <w:tc>
          <w:tcPr>
            <w:tcW w:w="1705" w:type="dxa"/>
            <w:vAlign w:val="center"/>
          </w:tcPr>
          <w:p w14:paraId="2EF66AB1">
            <w:pPr>
              <w:pStyle w:val="31"/>
              <w:bidi w:val="0"/>
              <w:jc w:val="center"/>
              <w:rPr>
                <w:rFonts w:hint="eastAsia"/>
                <w:lang w:val="en-US" w:eastAsia="zh-CN"/>
              </w:rPr>
            </w:pPr>
            <w:r>
              <w:rPr>
                <w:rFonts w:hint="eastAsia"/>
                <w:lang w:val="en-US" w:eastAsia="zh-CN"/>
              </w:rPr>
              <w:t>依托现有</w:t>
            </w:r>
          </w:p>
        </w:tc>
      </w:tr>
      <w:tr w14:paraId="10A95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6131CDA0">
            <w:pPr>
              <w:pStyle w:val="31"/>
              <w:bidi w:val="0"/>
              <w:jc w:val="center"/>
              <w:rPr>
                <w:rFonts w:hint="eastAsia"/>
                <w:lang w:val="en-US" w:eastAsia="zh-CN"/>
              </w:rPr>
            </w:pPr>
          </w:p>
        </w:tc>
        <w:tc>
          <w:tcPr>
            <w:tcW w:w="886" w:type="dxa"/>
            <w:vMerge w:val="continue"/>
            <w:vAlign w:val="center"/>
          </w:tcPr>
          <w:p w14:paraId="08F9C3D8">
            <w:pPr>
              <w:pStyle w:val="31"/>
              <w:bidi w:val="0"/>
              <w:jc w:val="center"/>
              <w:rPr>
                <w:rFonts w:hint="eastAsia"/>
                <w:lang w:val="en-US" w:eastAsia="zh-CN"/>
              </w:rPr>
            </w:pPr>
          </w:p>
        </w:tc>
        <w:tc>
          <w:tcPr>
            <w:tcW w:w="2523" w:type="dxa"/>
            <w:shd w:val="clear" w:color="auto" w:fill="auto"/>
            <w:vAlign w:val="center"/>
          </w:tcPr>
          <w:p w14:paraId="6F613276">
            <w:pPr>
              <w:pStyle w:val="31"/>
              <w:bidi w:val="0"/>
              <w:ind w:firstLine="0" w:firstLineChars="0"/>
              <w:jc w:val="center"/>
              <w:rPr>
                <w:rFonts w:hint="default"/>
                <w:vertAlign w:val="baseline"/>
                <w:lang w:val="en-US" w:eastAsia="zh-CN"/>
              </w:rPr>
            </w:pPr>
            <w:r>
              <w:rPr>
                <w:rFonts w:hint="eastAsia"/>
                <w:lang w:val="en-US" w:eastAsia="zh-CN"/>
              </w:rPr>
              <w:t>初期雨水设置导流沟及50m</w:t>
            </w:r>
            <w:r>
              <w:rPr>
                <w:rFonts w:hint="eastAsia"/>
                <w:vertAlign w:val="superscript"/>
                <w:lang w:val="en-US" w:eastAsia="zh-CN"/>
              </w:rPr>
              <w:t>3</w:t>
            </w:r>
            <w:r>
              <w:rPr>
                <w:rFonts w:hint="eastAsia"/>
                <w:vertAlign w:val="baseline"/>
                <w:lang w:val="en-US" w:eastAsia="zh-CN"/>
              </w:rPr>
              <w:t>初期雨水池，沉淀后回用于场地洒水降尘</w:t>
            </w:r>
          </w:p>
        </w:tc>
        <w:tc>
          <w:tcPr>
            <w:tcW w:w="2760" w:type="dxa"/>
            <w:shd w:val="clear" w:color="auto" w:fill="auto"/>
            <w:vAlign w:val="center"/>
          </w:tcPr>
          <w:p w14:paraId="67291A10">
            <w:pPr>
              <w:pStyle w:val="31"/>
              <w:bidi w:val="0"/>
              <w:ind w:firstLine="0" w:firstLineChars="0"/>
              <w:jc w:val="center"/>
              <w:rPr>
                <w:rFonts w:hint="default"/>
                <w:lang w:val="en-US" w:eastAsia="zh-CN"/>
              </w:rPr>
            </w:pPr>
            <w:r>
              <w:rPr>
                <w:rFonts w:hint="eastAsia"/>
                <w:lang w:val="en-US" w:eastAsia="zh-CN"/>
              </w:rPr>
              <w:t>场地冲洗废水及初期雨水设置导流沟及50m</w:t>
            </w:r>
            <w:r>
              <w:rPr>
                <w:rFonts w:hint="eastAsia"/>
                <w:vertAlign w:val="superscript"/>
                <w:lang w:val="en-US" w:eastAsia="zh-CN"/>
              </w:rPr>
              <w:t>3</w:t>
            </w:r>
            <w:r>
              <w:rPr>
                <w:rFonts w:hint="eastAsia"/>
                <w:vertAlign w:val="baseline"/>
                <w:lang w:val="en-US" w:eastAsia="zh-CN"/>
              </w:rPr>
              <w:t>初期雨水池，并设置液位监测装置及自动抽水泵，在防洪堤内侧（自建房院落内）设置50m</w:t>
            </w:r>
            <w:r>
              <w:rPr>
                <w:rFonts w:hint="eastAsia"/>
                <w:vertAlign w:val="superscript"/>
                <w:lang w:val="en-US" w:eastAsia="zh-CN"/>
              </w:rPr>
              <w:t>3</w:t>
            </w:r>
            <w:r>
              <w:rPr>
                <w:rFonts w:hint="eastAsia"/>
                <w:vertAlign w:val="baseline"/>
                <w:lang w:val="en-US" w:eastAsia="zh-CN"/>
              </w:rPr>
              <w:t>/d废水处理站，初期雨水经处理达标优先回用于场地内洒水降尘，不能回用部分通过罐车运输至三樟镇污水处理厂处理</w:t>
            </w:r>
          </w:p>
        </w:tc>
        <w:tc>
          <w:tcPr>
            <w:tcW w:w="1705" w:type="dxa"/>
            <w:vAlign w:val="center"/>
          </w:tcPr>
          <w:p w14:paraId="192248F7">
            <w:pPr>
              <w:pStyle w:val="31"/>
              <w:bidi w:val="0"/>
              <w:jc w:val="center"/>
              <w:rPr>
                <w:rFonts w:hint="default"/>
                <w:lang w:val="en-US" w:eastAsia="zh-CN"/>
              </w:rPr>
            </w:pPr>
            <w:r>
              <w:rPr>
                <w:rFonts w:hint="eastAsia"/>
                <w:lang w:val="en-US" w:eastAsia="zh-CN"/>
              </w:rPr>
              <w:t>新建废水处理设施及入河排污口</w:t>
            </w:r>
          </w:p>
        </w:tc>
      </w:tr>
      <w:tr w14:paraId="60C1D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255F5272">
            <w:pPr>
              <w:pStyle w:val="31"/>
              <w:bidi w:val="0"/>
              <w:jc w:val="center"/>
              <w:rPr>
                <w:rFonts w:hint="eastAsia"/>
                <w:lang w:val="en-US" w:eastAsia="zh-CN"/>
              </w:rPr>
            </w:pPr>
          </w:p>
        </w:tc>
        <w:tc>
          <w:tcPr>
            <w:tcW w:w="886" w:type="dxa"/>
            <w:vMerge w:val="restart"/>
            <w:vAlign w:val="center"/>
          </w:tcPr>
          <w:p w14:paraId="4DE50A50">
            <w:pPr>
              <w:pStyle w:val="31"/>
              <w:bidi w:val="0"/>
              <w:jc w:val="center"/>
              <w:rPr>
                <w:rFonts w:hint="default"/>
                <w:lang w:val="en-US" w:eastAsia="zh-CN"/>
              </w:rPr>
            </w:pPr>
            <w:r>
              <w:rPr>
                <w:rFonts w:hint="eastAsia"/>
                <w:lang w:val="en-US" w:eastAsia="zh-CN"/>
              </w:rPr>
              <w:t>废气</w:t>
            </w:r>
          </w:p>
        </w:tc>
        <w:tc>
          <w:tcPr>
            <w:tcW w:w="2523" w:type="dxa"/>
            <w:shd w:val="clear" w:color="auto" w:fill="auto"/>
            <w:vAlign w:val="center"/>
          </w:tcPr>
          <w:p w14:paraId="48AF9D23">
            <w:pPr>
              <w:pStyle w:val="31"/>
              <w:bidi w:val="0"/>
              <w:ind w:firstLine="0" w:firstLineChars="0"/>
              <w:jc w:val="both"/>
              <w:rPr>
                <w:rFonts w:hint="default"/>
                <w:lang w:val="en-US" w:eastAsia="zh-CN"/>
              </w:rPr>
            </w:pPr>
            <w:r>
              <w:rPr>
                <w:rFonts w:hint="eastAsia"/>
                <w:lang w:val="en-US" w:eastAsia="zh-CN"/>
              </w:rPr>
              <w:t>1、刷漆/喷漆废气无组织排放；</w:t>
            </w:r>
          </w:p>
        </w:tc>
        <w:tc>
          <w:tcPr>
            <w:tcW w:w="2760" w:type="dxa"/>
            <w:shd w:val="clear" w:color="auto" w:fill="auto"/>
            <w:vAlign w:val="center"/>
          </w:tcPr>
          <w:p w14:paraId="2AB33069">
            <w:pPr>
              <w:pStyle w:val="31"/>
              <w:bidi w:val="0"/>
              <w:ind w:firstLine="0" w:firstLineChars="0"/>
              <w:jc w:val="both"/>
              <w:rPr>
                <w:rFonts w:hint="default"/>
                <w:lang w:val="en-US" w:eastAsia="zh-CN"/>
              </w:rPr>
            </w:pPr>
            <w:r>
              <w:rPr>
                <w:rFonts w:hint="eastAsia"/>
                <w:lang w:val="en-US" w:eastAsia="zh-CN"/>
              </w:rPr>
              <w:t>1、喷漆/刷漆废气设置移动式集气罩收集，并设置活性炭吸附装置处理后无组织排放；</w:t>
            </w:r>
          </w:p>
        </w:tc>
        <w:tc>
          <w:tcPr>
            <w:tcW w:w="1705" w:type="dxa"/>
            <w:vAlign w:val="center"/>
          </w:tcPr>
          <w:p w14:paraId="7A278D3E">
            <w:pPr>
              <w:pStyle w:val="31"/>
              <w:bidi w:val="0"/>
              <w:jc w:val="center"/>
              <w:rPr>
                <w:rFonts w:hint="default"/>
                <w:lang w:val="en-US" w:eastAsia="zh-CN"/>
              </w:rPr>
            </w:pPr>
            <w:r>
              <w:rPr>
                <w:rFonts w:hint="eastAsia"/>
                <w:lang w:val="en-US" w:eastAsia="zh-CN"/>
              </w:rPr>
              <w:t>现有工程废气，“以新带老”建设废气处理设施</w:t>
            </w:r>
          </w:p>
        </w:tc>
      </w:tr>
      <w:tr w14:paraId="722C5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44E5FAA6">
            <w:pPr>
              <w:pStyle w:val="31"/>
              <w:bidi w:val="0"/>
              <w:jc w:val="center"/>
              <w:rPr>
                <w:rFonts w:hint="eastAsia"/>
                <w:lang w:val="en-US" w:eastAsia="zh-CN"/>
              </w:rPr>
            </w:pPr>
          </w:p>
        </w:tc>
        <w:tc>
          <w:tcPr>
            <w:tcW w:w="886" w:type="dxa"/>
            <w:vMerge w:val="continue"/>
            <w:vAlign w:val="center"/>
          </w:tcPr>
          <w:p w14:paraId="2737F50D">
            <w:pPr>
              <w:pStyle w:val="31"/>
              <w:bidi w:val="0"/>
              <w:jc w:val="center"/>
              <w:rPr>
                <w:rFonts w:hint="eastAsia"/>
                <w:lang w:val="en-US" w:eastAsia="zh-CN"/>
              </w:rPr>
            </w:pPr>
          </w:p>
        </w:tc>
        <w:tc>
          <w:tcPr>
            <w:tcW w:w="2523" w:type="dxa"/>
            <w:shd w:val="clear" w:color="auto" w:fill="auto"/>
            <w:vAlign w:val="center"/>
          </w:tcPr>
          <w:p w14:paraId="6A2906CE">
            <w:pPr>
              <w:pStyle w:val="31"/>
              <w:bidi w:val="0"/>
              <w:ind w:firstLine="0" w:firstLineChars="0"/>
              <w:jc w:val="both"/>
              <w:rPr>
                <w:rFonts w:hint="default"/>
                <w:lang w:val="en-US" w:eastAsia="zh-CN"/>
              </w:rPr>
            </w:pPr>
            <w:r>
              <w:rPr>
                <w:rFonts w:hint="eastAsia"/>
                <w:lang w:val="en-US" w:eastAsia="zh-CN"/>
              </w:rPr>
              <w:t>2、喷砂/除锈粉尘经遮蔽罩遮蔽后无组织排放；</w:t>
            </w:r>
          </w:p>
        </w:tc>
        <w:tc>
          <w:tcPr>
            <w:tcW w:w="2760" w:type="dxa"/>
            <w:shd w:val="clear" w:color="auto" w:fill="auto"/>
            <w:vAlign w:val="center"/>
          </w:tcPr>
          <w:p w14:paraId="6C662AEC">
            <w:pPr>
              <w:pStyle w:val="31"/>
              <w:bidi w:val="0"/>
              <w:ind w:firstLine="0" w:firstLineChars="0"/>
              <w:jc w:val="both"/>
              <w:rPr>
                <w:rFonts w:hint="default"/>
                <w:lang w:val="en-US" w:eastAsia="zh-CN"/>
              </w:rPr>
            </w:pPr>
            <w:r>
              <w:rPr>
                <w:rFonts w:hint="eastAsia"/>
                <w:lang w:val="en-US" w:eastAsia="zh-CN"/>
              </w:rPr>
              <w:t>2、采用移动式集气罩收集喷砂除锈工序粉尘废气，收集后通过袋式除尘器处理后无组织排放</w:t>
            </w:r>
          </w:p>
        </w:tc>
        <w:tc>
          <w:tcPr>
            <w:tcW w:w="1705" w:type="dxa"/>
            <w:shd w:val="clear" w:color="auto" w:fill="auto"/>
            <w:vAlign w:val="center"/>
          </w:tcPr>
          <w:p w14:paraId="3DF3019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现有工程废气，“以新带老”建设废气处理设施</w:t>
            </w:r>
          </w:p>
        </w:tc>
      </w:tr>
      <w:tr w14:paraId="5BB81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4B261627">
            <w:pPr>
              <w:pStyle w:val="31"/>
              <w:bidi w:val="0"/>
              <w:jc w:val="center"/>
              <w:rPr>
                <w:rFonts w:hint="eastAsia"/>
                <w:lang w:val="en-US" w:eastAsia="zh-CN"/>
              </w:rPr>
            </w:pPr>
          </w:p>
        </w:tc>
        <w:tc>
          <w:tcPr>
            <w:tcW w:w="886" w:type="dxa"/>
            <w:vMerge w:val="continue"/>
            <w:vAlign w:val="center"/>
          </w:tcPr>
          <w:p w14:paraId="122936DC">
            <w:pPr>
              <w:pStyle w:val="31"/>
              <w:bidi w:val="0"/>
              <w:jc w:val="center"/>
              <w:rPr>
                <w:rFonts w:hint="eastAsia"/>
                <w:lang w:val="en-US" w:eastAsia="zh-CN"/>
              </w:rPr>
            </w:pPr>
          </w:p>
        </w:tc>
        <w:tc>
          <w:tcPr>
            <w:tcW w:w="2523" w:type="dxa"/>
            <w:shd w:val="clear" w:color="auto" w:fill="auto"/>
            <w:vAlign w:val="center"/>
          </w:tcPr>
          <w:p w14:paraId="54B4B29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3、喷漆/刷漆废气无组织排放</w:t>
            </w:r>
          </w:p>
        </w:tc>
        <w:tc>
          <w:tcPr>
            <w:tcW w:w="2760" w:type="dxa"/>
            <w:shd w:val="clear" w:color="auto" w:fill="auto"/>
            <w:vAlign w:val="center"/>
          </w:tcPr>
          <w:p w14:paraId="452BED0C">
            <w:pPr>
              <w:pStyle w:val="31"/>
              <w:bidi w:val="0"/>
              <w:ind w:firstLine="0" w:firstLineChars="0"/>
              <w:jc w:val="both"/>
              <w:rPr>
                <w:rFonts w:hint="default"/>
                <w:lang w:val="en-US" w:eastAsia="zh-CN"/>
              </w:rPr>
            </w:pPr>
            <w:r>
              <w:rPr>
                <w:rFonts w:hint="eastAsia"/>
                <w:lang w:val="en-US" w:eastAsia="zh-CN"/>
              </w:rPr>
              <w:t>3、采用移动式焊接烟尘净化器收集处理氧割、焊接烟囱，处理后无组织排放</w:t>
            </w:r>
          </w:p>
        </w:tc>
        <w:tc>
          <w:tcPr>
            <w:tcW w:w="1705" w:type="dxa"/>
            <w:shd w:val="clear" w:color="auto" w:fill="auto"/>
            <w:vAlign w:val="center"/>
          </w:tcPr>
          <w:p w14:paraId="19BED61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现有工程废气，“以新带老”建设废气处理设施</w:t>
            </w:r>
          </w:p>
        </w:tc>
      </w:tr>
      <w:tr w14:paraId="7CD4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0616CB3C">
            <w:pPr>
              <w:pStyle w:val="31"/>
              <w:bidi w:val="0"/>
              <w:jc w:val="center"/>
              <w:rPr>
                <w:rFonts w:hint="eastAsia"/>
                <w:lang w:val="en-US" w:eastAsia="zh-CN"/>
              </w:rPr>
            </w:pPr>
          </w:p>
        </w:tc>
        <w:tc>
          <w:tcPr>
            <w:tcW w:w="886" w:type="dxa"/>
            <w:vMerge w:val="continue"/>
            <w:vAlign w:val="center"/>
          </w:tcPr>
          <w:p w14:paraId="306616F9">
            <w:pPr>
              <w:pStyle w:val="31"/>
              <w:bidi w:val="0"/>
              <w:jc w:val="center"/>
              <w:rPr>
                <w:rFonts w:hint="eastAsia"/>
                <w:lang w:val="en-US" w:eastAsia="zh-CN"/>
              </w:rPr>
            </w:pPr>
          </w:p>
        </w:tc>
        <w:tc>
          <w:tcPr>
            <w:tcW w:w="2523" w:type="dxa"/>
            <w:shd w:val="clear" w:color="auto" w:fill="auto"/>
            <w:vAlign w:val="center"/>
          </w:tcPr>
          <w:p w14:paraId="4C9A0D37">
            <w:pPr>
              <w:pStyle w:val="31"/>
              <w:bidi w:val="0"/>
              <w:ind w:firstLine="0" w:firstLineChars="0"/>
              <w:jc w:val="center"/>
              <w:rPr>
                <w:rFonts w:hint="default"/>
                <w:lang w:val="en-US" w:eastAsia="zh-CN"/>
              </w:rPr>
            </w:pPr>
            <w:r>
              <w:rPr>
                <w:rFonts w:hint="eastAsia"/>
                <w:lang w:val="en-US" w:eastAsia="zh-CN"/>
              </w:rPr>
              <w:t>/</w:t>
            </w:r>
          </w:p>
        </w:tc>
        <w:tc>
          <w:tcPr>
            <w:tcW w:w="2760" w:type="dxa"/>
            <w:shd w:val="clear" w:color="auto" w:fill="auto"/>
            <w:vAlign w:val="center"/>
          </w:tcPr>
          <w:p w14:paraId="41BD26FF">
            <w:pPr>
              <w:pStyle w:val="31"/>
              <w:bidi w:val="0"/>
              <w:ind w:firstLine="0" w:firstLineChars="0"/>
              <w:jc w:val="both"/>
              <w:rPr>
                <w:rFonts w:hint="eastAsia"/>
                <w:lang w:val="en-US" w:eastAsia="zh-CN"/>
              </w:rPr>
            </w:pPr>
            <w:r>
              <w:rPr>
                <w:rFonts w:hint="eastAsia"/>
                <w:lang w:val="en-US" w:eastAsia="zh-CN"/>
              </w:rPr>
              <w:t>4、拆解切割粉尘：工作船台为敞开通风，在每个工作台配套设置一台移动式烟尘净化器，用于拆解过程中切割烟尘的收集处理，处理后无组织排放；</w:t>
            </w:r>
          </w:p>
        </w:tc>
        <w:tc>
          <w:tcPr>
            <w:tcW w:w="1705" w:type="dxa"/>
            <w:shd w:val="clear" w:color="auto" w:fill="auto"/>
            <w:vAlign w:val="center"/>
          </w:tcPr>
          <w:p w14:paraId="105004B9">
            <w:pPr>
              <w:pStyle w:val="31"/>
              <w:bidi w:val="0"/>
              <w:ind w:firstLine="0" w:firstLineChars="0"/>
              <w:jc w:val="center"/>
              <w:rPr>
                <w:rFonts w:hint="default"/>
                <w:lang w:val="en-US" w:eastAsia="zh-CN"/>
              </w:rPr>
            </w:pPr>
            <w:r>
              <w:rPr>
                <w:rFonts w:hint="eastAsia"/>
                <w:lang w:val="en-US" w:eastAsia="zh-CN"/>
              </w:rPr>
              <w:t>扩建工程废气，新建废气处理设施</w:t>
            </w:r>
          </w:p>
        </w:tc>
      </w:tr>
      <w:tr w14:paraId="54B66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73518A98">
            <w:pPr>
              <w:pStyle w:val="31"/>
              <w:bidi w:val="0"/>
              <w:jc w:val="center"/>
              <w:rPr>
                <w:rFonts w:hint="eastAsia"/>
                <w:lang w:val="en-US" w:eastAsia="zh-CN"/>
              </w:rPr>
            </w:pPr>
          </w:p>
        </w:tc>
        <w:tc>
          <w:tcPr>
            <w:tcW w:w="886" w:type="dxa"/>
            <w:vMerge w:val="continue"/>
            <w:vAlign w:val="center"/>
          </w:tcPr>
          <w:p w14:paraId="45C54F06">
            <w:pPr>
              <w:pStyle w:val="31"/>
              <w:bidi w:val="0"/>
              <w:jc w:val="center"/>
              <w:rPr>
                <w:rFonts w:hint="eastAsia"/>
                <w:lang w:val="en-US" w:eastAsia="zh-CN"/>
              </w:rPr>
            </w:pPr>
          </w:p>
        </w:tc>
        <w:tc>
          <w:tcPr>
            <w:tcW w:w="2523" w:type="dxa"/>
            <w:shd w:val="clear" w:color="auto" w:fill="auto"/>
            <w:vAlign w:val="center"/>
          </w:tcPr>
          <w:p w14:paraId="716269D1">
            <w:pPr>
              <w:pStyle w:val="31"/>
              <w:bidi w:val="0"/>
              <w:ind w:firstLine="0" w:firstLineChars="0"/>
              <w:jc w:val="center"/>
              <w:rPr>
                <w:rFonts w:hint="default"/>
                <w:lang w:val="en-US" w:eastAsia="zh-CN"/>
              </w:rPr>
            </w:pPr>
            <w:r>
              <w:rPr>
                <w:rFonts w:hint="eastAsia"/>
                <w:lang w:val="en-US" w:eastAsia="zh-CN"/>
              </w:rPr>
              <w:t>/</w:t>
            </w:r>
          </w:p>
        </w:tc>
        <w:tc>
          <w:tcPr>
            <w:tcW w:w="2760" w:type="dxa"/>
            <w:shd w:val="clear" w:color="auto" w:fill="auto"/>
            <w:vAlign w:val="center"/>
          </w:tcPr>
          <w:p w14:paraId="3EE192AC">
            <w:pPr>
              <w:pStyle w:val="31"/>
              <w:bidi w:val="0"/>
              <w:ind w:firstLine="0" w:firstLineChars="0"/>
              <w:jc w:val="both"/>
              <w:rPr>
                <w:rFonts w:hint="default"/>
                <w:lang w:val="en-US" w:eastAsia="zh-CN"/>
              </w:rPr>
            </w:pPr>
            <w:r>
              <w:rPr>
                <w:rFonts w:hint="eastAsia"/>
                <w:lang w:val="en-US" w:eastAsia="zh-CN"/>
              </w:rPr>
              <w:t>5、抽残油废气无组织排放</w:t>
            </w:r>
          </w:p>
        </w:tc>
        <w:tc>
          <w:tcPr>
            <w:tcW w:w="1705" w:type="dxa"/>
            <w:shd w:val="clear" w:color="auto" w:fill="auto"/>
            <w:vAlign w:val="center"/>
          </w:tcPr>
          <w:p w14:paraId="0FB75900">
            <w:pPr>
              <w:pStyle w:val="31"/>
              <w:bidi w:val="0"/>
              <w:ind w:firstLine="0" w:firstLineChars="0"/>
              <w:jc w:val="center"/>
              <w:rPr>
                <w:rFonts w:hint="default"/>
                <w:lang w:val="en-US" w:eastAsia="zh-CN"/>
              </w:rPr>
            </w:pPr>
            <w:r>
              <w:rPr>
                <w:rFonts w:hint="eastAsia"/>
                <w:lang w:val="en-US" w:eastAsia="zh-CN"/>
              </w:rPr>
              <w:t>扩建工程废气</w:t>
            </w:r>
          </w:p>
        </w:tc>
      </w:tr>
      <w:tr w14:paraId="6287D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59AF0A2C">
            <w:pPr>
              <w:pStyle w:val="31"/>
              <w:bidi w:val="0"/>
              <w:jc w:val="center"/>
              <w:rPr>
                <w:rFonts w:hint="eastAsia"/>
                <w:lang w:val="en-US" w:eastAsia="zh-CN"/>
              </w:rPr>
            </w:pPr>
          </w:p>
        </w:tc>
        <w:tc>
          <w:tcPr>
            <w:tcW w:w="886" w:type="dxa"/>
            <w:vAlign w:val="center"/>
          </w:tcPr>
          <w:p w14:paraId="7F9267BC">
            <w:pPr>
              <w:pStyle w:val="31"/>
              <w:bidi w:val="0"/>
              <w:jc w:val="center"/>
              <w:rPr>
                <w:rFonts w:hint="default"/>
                <w:lang w:val="en-US" w:eastAsia="zh-CN"/>
              </w:rPr>
            </w:pPr>
            <w:r>
              <w:rPr>
                <w:rFonts w:hint="eastAsia"/>
                <w:lang w:val="en-US" w:eastAsia="zh-CN"/>
              </w:rPr>
              <w:t>噪声</w:t>
            </w:r>
          </w:p>
        </w:tc>
        <w:tc>
          <w:tcPr>
            <w:tcW w:w="2523" w:type="dxa"/>
            <w:shd w:val="clear" w:color="auto" w:fill="auto"/>
            <w:vAlign w:val="center"/>
          </w:tcPr>
          <w:p w14:paraId="617DB98E">
            <w:pPr>
              <w:pStyle w:val="31"/>
              <w:bidi w:val="0"/>
              <w:ind w:firstLine="0" w:firstLineChars="0"/>
              <w:jc w:val="center"/>
              <w:rPr>
                <w:rFonts w:hint="default"/>
                <w:lang w:val="en-US" w:eastAsia="zh-CN"/>
              </w:rPr>
            </w:pPr>
            <w:r>
              <w:rPr>
                <w:rFonts w:hint="eastAsia"/>
                <w:lang w:val="en-US" w:eastAsia="zh-CN"/>
              </w:rPr>
              <w:t>设备噪声采取基础减振，空压机设置位于封闭车间降噪</w:t>
            </w:r>
          </w:p>
        </w:tc>
        <w:tc>
          <w:tcPr>
            <w:tcW w:w="2760" w:type="dxa"/>
            <w:shd w:val="clear" w:color="auto" w:fill="auto"/>
            <w:vAlign w:val="center"/>
          </w:tcPr>
          <w:p w14:paraId="6DB5F65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设备噪声采取基础减振，空压机设置位于封闭车间降噪；新增拆解设备优选低噪设备</w:t>
            </w:r>
          </w:p>
        </w:tc>
        <w:tc>
          <w:tcPr>
            <w:tcW w:w="1705" w:type="dxa"/>
            <w:shd w:val="clear" w:color="auto" w:fill="auto"/>
            <w:vAlign w:val="center"/>
          </w:tcPr>
          <w:p w14:paraId="1BCF1CF5">
            <w:pPr>
              <w:pStyle w:val="31"/>
              <w:bidi w:val="0"/>
              <w:ind w:firstLine="0" w:firstLineChars="0"/>
              <w:jc w:val="center"/>
              <w:rPr>
                <w:rFonts w:hint="default"/>
                <w:lang w:val="en-US" w:eastAsia="zh-CN"/>
              </w:rPr>
            </w:pPr>
            <w:r>
              <w:rPr>
                <w:rFonts w:hint="eastAsia"/>
                <w:lang w:val="en-US" w:eastAsia="zh-CN"/>
              </w:rPr>
              <w:t>空压机依托现有；其余拆解设备优选低噪设备</w:t>
            </w:r>
          </w:p>
        </w:tc>
      </w:tr>
      <w:tr w14:paraId="5531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7AB9103C">
            <w:pPr>
              <w:pStyle w:val="31"/>
              <w:bidi w:val="0"/>
              <w:jc w:val="center"/>
              <w:rPr>
                <w:rFonts w:hint="eastAsia"/>
                <w:lang w:val="en-US" w:eastAsia="zh-CN"/>
              </w:rPr>
            </w:pPr>
          </w:p>
        </w:tc>
        <w:tc>
          <w:tcPr>
            <w:tcW w:w="886" w:type="dxa"/>
            <w:vMerge w:val="restart"/>
            <w:vAlign w:val="center"/>
          </w:tcPr>
          <w:p w14:paraId="6275BF63">
            <w:pPr>
              <w:pStyle w:val="31"/>
              <w:bidi w:val="0"/>
              <w:jc w:val="center"/>
              <w:rPr>
                <w:rFonts w:hint="default"/>
                <w:lang w:val="en-US" w:eastAsia="zh-CN"/>
              </w:rPr>
            </w:pPr>
            <w:r>
              <w:rPr>
                <w:rFonts w:hint="eastAsia"/>
                <w:lang w:val="en-US" w:eastAsia="zh-CN"/>
              </w:rPr>
              <w:t>固废</w:t>
            </w:r>
          </w:p>
        </w:tc>
        <w:tc>
          <w:tcPr>
            <w:tcW w:w="2523" w:type="dxa"/>
            <w:shd w:val="clear" w:color="auto" w:fill="auto"/>
            <w:vAlign w:val="center"/>
          </w:tcPr>
          <w:p w14:paraId="7B548A3C">
            <w:pPr>
              <w:pStyle w:val="31"/>
              <w:bidi w:val="0"/>
              <w:ind w:firstLine="0" w:firstLineChars="0"/>
              <w:jc w:val="center"/>
              <w:rPr>
                <w:rFonts w:hint="default"/>
                <w:lang w:val="en-US" w:eastAsia="zh-CN"/>
              </w:rPr>
            </w:pPr>
            <w:r>
              <w:rPr>
                <w:rFonts w:hint="eastAsia"/>
                <w:lang w:val="en-US" w:eastAsia="zh-CN"/>
              </w:rPr>
              <w:t>未设置一般固废暂存间</w:t>
            </w:r>
          </w:p>
        </w:tc>
        <w:tc>
          <w:tcPr>
            <w:tcW w:w="2760" w:type="dxa"/>
            <w:shd w:val="clear" w:color="auto" w:fill="auto"/>
            <w:vAlign w:val="center"/>
          </w:tcPr>
          <w:p w14:paraId="61238916">
            <w:pPr>
              <w:pStyle w:val="31"/>
              <w:bidi w:val="0"/>
              <w:ind w:firstLine="0" w:firstLineChars="0"/>
              <w:jc w:val="center"/>
              <w:rPr>
                <w:rFonts w:hint="default"/>
                <w:vertAlign w:val="baseline"/>
                <w:lang w:val="en-US" w:eastAsia="zh-CN"/>
              </w:rPr>
            </w:pPr>
            <w:r>
              <w:rPr>
                <w:rFonts w:hint="eastAsia"/>
                <w:lang w:val="en-US" w:eastAsia="zh-CN"/>
              </w:rPr>
              <w:t>在自建房1楼前坪地搭建20m</w:t>
            </w:r>
            <w:r>
              <w:rPr>
                <w:rFonts w:hint="eastAsia"/>
                <w:vertAlign w:val="superscript"/>
                <w:lang w:val="en-US" w:eastAsia="zh-CN"/>
              </w:rPr>
              <w:t>2</w:t>
            </w:r>
            <w:r>
              <w:rPr>
                <w:rFonts w:hint="eastAsia"/>
                <w:vertAlign w:val="baseline"/>
                <w:lang w:val="en-US" w:eastAsia="zh-CN"/>
              </w:rPr>
              <w:t>钢棚作为一般固废暂存间，暂存一般固废</w:t>
            </w:r>
          </w:p>
        </w:tc>
        <w:tc>
          <w:tcPr>
            <w:tcW w:w="1705" w:type="dxa"/>
            <w:shd w:val="clear" w:color="auto" w:fill="auto"/>
            <w:vAlign w:val="center"/>
          </w:tcPr>
          <w:p w14:paraId="7547BB73">
            <w:pPr>
              <w:pStyle w:val="31"/>
              <w:bidi w:val="0"/>
              <w:ind w:firstLine="0" w:firstLineChars="0"/>
              <w:jc w:val="center"/>
              <w:rPr>
                <w:rFonts w:hint="default"/>
                <w:lang w:val="en-US" w:eastAsia="zh-CN"/>
              </w:rPr>
            </w:pPr>
            <w:r>
              <w:rPr>
                <w:rFonts w:hint="eastAsia"/>
                <w:lang w:val="en-US" w:eastAsia="zh-CN"/>
              </w:rPr>
              <w:t>“以新带老”措施，贮存现有工程及扩建工程一般固废</w:t>
            </w:r>
          </w:p>
        </w:tc>
      </w:tr>
      <w:tr w14:paraId="50D59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0742D904">
            <w:pPr>
              <w:pStyle w:val="31"/>
              <w:bidi w:val="0"/>
              <w:jc w:val="center"/>
              <w:rPr>
                <w:rFonts w:hint="eastAsia"/>
                <w:lang w:val="en-US" w:eastAsia="zh-CN"/>
              </w:rPr>
            </w:pPr>
          </w:p>
        </w:tc>
        <w:tc>
          <w:tcPr>
            <w:tcW w:w="886" w:type="dxa"/>
            <w:vMerge w:val="continue"/>
            <w:vAlign w:val="center"/>
          </w:tcPr>
          <w:p w14:paraId="2FDF7C14">
            <w:pPr>
              <w:pStyle w:val="31"/>
              <w:bidi w:val="0"/>
              <w:jc w:val="center"/>
              <w:rPr>
                <w:rFonts w:hint="eastAsia"/>
                <w:lang w:val="en-US" w:eastAsia="zh-CN"/>
              </w:rPr>
            </w:pPr>
          </w:p>
        </w:tc>
        <w:tc>
          <w:tcPr>
            <w:tcW w:w="2523" w:type="dxa"/>
            <w:shd w:val="clear" w:color="auto" w:fill="auto"/>
            <w:vAlign w:val="center"/>
          </w:tcPr>
          <w:p w14:paraId="3FF4BBBE">
            <w:pPr>
              <w:pStyle w:val="31"/>
              <w:bidi w:val="0"/>
              <w:ind w:firstLine="0" w:firstLineChars="0"/>
              <w:jc w:val="center"/>
              <w:rPr>
                <w:rFonts w:hint="default"/>
                <w:vertAlign w:val="baseline"/>
                <w:lang w:val="en-US" w:eastAsia="zh-CN"/>
              </w:rPr>
            </w:pPr>
            <w:r>
              <w:rPr>
                <w:rFonts w:hint="eastAsia"/>
                <w:lang w:val="en-US" w:eastAsia="zh-CN"/>
              </w:rPr>
              <w:t>危险废物暂存间10m</w:t>
            </w:r>
            <w:r>
              <w:rPr>
                <w:rFonts w:hint="eastAsia"/>
                <w:vertAlign w:val="superscript"/>
                <w:lang w:val="en-US" w:eastAsia="zh-CN"/>
              </w:rPr>
              <w:t>2</w:t>
            </w:r>
            <w:r>
              <w:rPr>
                <w:rFonts w:hint="eastAsia"/>
                <w:vertAlign w:val="baseline"/>
                <w:lang w:val="en-US" w:eastAsia="zh-CN"/>
              </w:rPr>
              <w:t>，位于厂区西侧，防洪堤内侧</w:t>
            </w:r>
          </w:p>
        </w:tc>
        <w:tc>
          <w:tcPr>
            <w:tcW w:w="2760" w:type="dxa"/>
            <w:shd w:val="clear" w:color="auto" w:fill="auto"/>
            <w:vAlign w:val="center"/>
          </w:tcPr>
          <w:p w14:paraId="143BF544">
            <w:pPr>
              <w:pStyle w:val="31"/>
              <w:bidi w:val="0"/>
              <w:ind w:firstLine="0" w:firstLineChars="0"/>
              <w:jc w:val="center"/>
              <w:rPr>
                <w:rFonts w:hint="default"/>
                <w:vertAlign w:val="baseline"/>
                <w:lang w:val="en-US" w:eastAsia="zh-CN"/>
              </w:rPr>
            </w:pPr>
            <w:r>
              <w:rPr>
                <w:rFonts w:hint="eastAsia"/>
                <w:lang w:val="en-US" w:eastAsia="zh-CN"/>
              </w:rPr>
              <w:t>在自建房1楼设置10m</w:t>
            </w:r>
            <w:r>
              <w:rPr>
                <w:rFonts w:hint="eastAsia"/>
                <w:vertAlign w:val="superscript"/>
                <w:lang w:val="en-US" w:eastAsia="zh-CN"/>
              </w:rPr>
              <w:t>2</w:t>
            </w:r>
            <w:r>
              <w:rPr>
                <w:rFonts w:hint="eastAsia"/>
                <w:vertAlign w:val="baseline"/>
                <w:lang w:val="en-US" w:eastAsia="zh-CN"/>
              </w:rPr>
              <w:t>危废暂存间，并做好防风、防雨、防晒、防渗、防撒漏等措施</w:t>
            </w:r>
          </w:p>
        </w:tc>
        <w:tc>
          <w:tcPr>
            <w:tcW w:w="1705" w:type="dxa"/>
            <w:shd w:val="clear" w:color="auto" w:fill="auto"/>
            <w:vAlign w:val="center"/>
          </w:tcPr>
          <w:p w14:paraId="540EC154">
            <w:pPr>
              <w:pStyle w:val="31"/>
              <w:bidi w:val="0"/>
              <w:ind w:firstLine="0" w:firstLineChars="0"/>
              <w:jc w:val="center"/>
              <w:rPr>
                <w:rFonts w:hint="default"/>
                <w:lang w:val="en-US" w:eastAsia="zh-CN"/>
              </w:rPr>
            </w:pPr>
            <w:r>
              <w:rPr>
                <w:rFonts w:hint="eastAsia"/>
                <w:lang w:val="en-US" w:eastAsia="zh-CN"/>
              </w:rPr>
              <w:t>“以新带老”措施，贮存现有工程及扩建工程危险废物</w:t>
            </w:r>
          </w:p>
        </w:tc>
      </w:tr>
      <w:tr w14:paraId="32C4A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0824062A">
            <w:pPr>
              <w:pStyle w:val="31"/>
              <w:bidi w:val="0"/>
              <w:jc w:val="center"/>
              <w:rPr>
                <w:rFonts w:hint="eastAsia"/>
                <w:lang w:val="en-US" w:eastAsia="zh-CN"/>
              </w:rPr>
            </w:pPr>
          </w:p>
        </w:tc>
        <w:tc>
          <w:tcPr>
            <w:tcW w:w="886" w:type="dxa"/>
            <w:vMerge w:val="continue"/>
            <w:vAlign w:val="center"/>
          </w:tcPr>
          <w:p w14:paraId="5075B020">
            <w:pPr>
              <w:pStyle w:val="31"/>
              <w:bidi w:val="0"/>
              <w:jc w:val="center"/>
              <w:rPr>
                <w:rFonts w:hint="eastAsia"/>
                <w:lang w:val="en-US" w:eastAsia="zh-CN"/>
              </w:rPr>
            </w:pPr>
          </w:p>
        </w:tc>
        <w:tc>
          <w:tcPr>
            <w:tcW w:w="2523" w:type="dxa"/>
            <w:shd w:val="clear" w:color="auto" w:fill="auto"/>
            <w:vAlign w:val="center"/>
          </w:tcPr>
          <w:p w14:paraId="22B5506B">
            <w:pPr>
              <w:pStyle w:val="31"/>
              <w:bidi w:val="0"/>
              <w:ind w:firstLine="0" w:firstLineChars="0"/>
              <w:jc w:val="center"/>
              <w:rPr>
                <w:rFonts w:hint="default"/>
                <w:lang w:val="en-US" w:eastAsia="zh-CN"/>
              </w:rPr>
            </w:pPr>
            <w:r>
              <w:rPr>
                <w:rFonts w:hint="eastAsia"/>
                <w:lang w:val="en-US" w:eastAsia="zh-CN"/>
              </w:rPr>
              <w:t>设置若干生活垃圾分类收集桶，委托环卫部门处置</w:t>
            </w:r>
          </w:p>
        </w:tc>
        <w:tc>
          <w:tcPr>
            <w:tcW w:w="2760" w:type="dxa"/>
            <w:shd w:val="clear" w:color="auto" w:fill="auto"/>
            <w:vAlign w:val="center"/>
          </w:tcPr>
          <w:p w14:paraId="34655C8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设置若干生活垃圾分类收集桶，委托环卫部门处置</w:t>
            </w:r>
          </w:p>
        </w:tc>
        <w:tc>
          <w:tcPr>
            <w:tcW w:w="1705" w:type="dxa"/>
            <w:shd w:val="clear" w:color="auto" w:fill="auto"/>
            <w:vAlign w:val="center"/>
          </w:tcPr>
          <w:p w14:paraId="3CDB200F">
            <w:pPr>
              <w:pStyle w:val="31"/>
              <w:bidi w:val="0"/>
              <w:ind w:firstLine="0" w:firstLineChars="0"/>
              <w:jc w:val="center"/>
              <w:rPr>
                <w:rFonts w:hint="default"/>
                <w:lang w:val="en-US" w:eastAsia="zh-CN"/>
              </w:rPr>
            </w:pPr>
            <w:r>
              <w:rPr>
                <w:rFonts w:hint="eastAsia"/>
                <w:lang w:val="en-US" w:eastAsia="zh-CN"/>
              </w:rPr>
              <w:t>依托现有</w:t>
            </w:r>
          </w:p>
        </w:tc>
      </w:tr>
      <w:tr w14:paraId="7140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72E3E5B1">
            <w:pPr>
              <w:pStyle w:val="31"/>
              <w:bidi w:val="0"/>
              <w:jc w:val="center"/>
              <w:rPr>
                <w:rFonts w:hint="eastAsia"/>
                <w:lang w:val="en-US" w:eastAsia="zh-CN"/>
              </w:rPr>
            </w:pPr>
          </w:p>
        </w:tc>
        <w:tc>
          <w:tcPr>
            <w:tcW w:w="886" w:type="dxa"/>
            <w:vAlign w:val="center"/>
          </w:tcPr>
          <w:p w14:paraId="5B111A77">
            <w:pPr>
              <w:pStyle w:val="31"/>
              <w:bidi w:val="0"/>
              <w:jc w:val="center"/>
              <w:rPr>
                <w:rFonts w:hint="default"/>
                <w:lang w:val="en-US" w:eastAsia="zh-CN"/>
              </w:rPr>
            </w:pPr>
            <w:r>
              <w:rPr>
                <w:rFonts w:hint="eastAsia"/>
                <w:lang w:val="en-US" w:eastAsia="zh-CN"/>
              </w:rPr>
              <w:t>环境风险</w:t>
            </w:r>
          </w:p>
        </w:tc>
        <w:tc>
          <w:tcPr>
            <w:tcW w:w="2523" w:type="dxa"/>
            <w:shd w:val="clear" w:color="auto" w:fill="auto"/>
            <w:vAlign w:val="center"/>
          </w:tcPr>
          <w:p w14:paraId="05BBA430">
            <w:pPr>
              <w:pStyle w:val="31"/>
              <w:bidi w:val="0"/>
              <w:ind w:firstLine="0" w:firstLineChars="0"/>
              <w:jc w:val="center"/>
              <w:rPr>
                <w:rFonts w:hint="default"/>
                <w:vertAlign w:val="baseline"/>
                <w:lang w:val="en-US" w:eastAsia="zh-CN"/>
              </w:rPr>
            </w:pPr>
            <w:r>
              <w:rPr>
                <w:rFonts w:hint="eastAsia"/>
                <w:lang w:val="en-US" w:eastAsia="zh-CN"/>
              </w:rPr>
              <w:t>北侧设置的50m</w:t>
            </w:r>
            <w:r>
              <w:rPr>
                <w:rFonts w:hint="eastAsia"/>
                <w:vertAlign w:val="superscript"/>
                <w:lang w:val="en-US" w:eastAsia="zh-CN"/>
              </w:rPr>
              <w:t>3</w:t>
            </w:r>
            <w:r>
              <w:rPr>
                <w:rFonts w:hint="eastAsia"/>
                <w:vertAlign w:val="baseline"/>
                <w:lang w:val="en-US" w:eastAsia="zh-CN"/>
              </w:rPr>
              <w:t>初期雨水池及导流沟可作为事故应急设施</w:t>
            </w:r>
          </w:p>
        </w:tc>
        <w:tc>
          <w:tcPr>
            <w:tcW w:w="2760" w:type="dxa"/>
            <w:shd w:val="clear" w:color="auto" w:fill="auto"/>
            <w:vAlign w:val="center"/>
          </w:tcPr>
          <w:p w14:paraId="654AB4DF">
            <w:pPr>
              <w:pStyle w:val="31"/>
              <w:bidi w:val="0"/>
              <w:ind w:firstLine="0" w:firstLineChars="0"/>
              <w:jc w:val="both"/>
              <w:rPr>
                <w:rFonts w:hint="eastAsia"/>
                <w:vertAlign w:val="baseline"/>
                <w:lang w:val="en-US" w:eastAsia="zh-CN"/>
              </w:rPr>
            </w:pPr>
            <w:r>
              <w:rPr>
                <w:rFonts w:hint="eastAsia"/>
                <w:lang w:val="en-US" w:eastAsia="zh-CN"/>
              </w:rPr>
              <w:t>1、北侧增加1个50m</w:t>
            </w:r>
            <w:r>
              <w:rPr>
                <w:rFonts w:hint="eastAsia"/>
                <w:vertAlign w:val="superscript"/>
                <w:lang w:val="en-US" w:eastAsia="zh-CN"/>
              </w:rPr>
              <w:t>3</w:t>
            </w:r>
            <w:r>
              <w:rPr>
                <w:rFonts w:hint="eastAsia"/>
                <w:vertAlign w:val="baseline"/>
                <w:lang w:val="en-US" w:eastAsia="zh-CN"/>
              </w:rPr>
              <w:t>事故应急池，保持空置，用于事故状态下应急收集废水、废液；</w:t>
            </w:r>
          </w:p>
          <w:p w14:paraId="22F28A89">
            <w:pPr>
              <w:pStyle w:val="31"/>
              <w:bidi w:val="0"/>
              <w:ind w:firstLine="0" w:firstLineChars="0"/>
              <w:jc w:val="both"/>
              <w:rPr>
                <w:rFonts w:hint="eastAsia"/>
                <w:vertAlign w:val="baseline"/>
                <w:lang w:val="en-US" w:eastAsia="zh-CN"/>
              </w:rPr>
            </w:pPr>
            <w:r>
              <w:rPr>
                <w:rFonts w:hint="eastAsia"/>
                <w:vertAlign w:val="baseline"/>
                <w:lang w:val="en-US" w:eastAsia="zh-CN"/>
              </w:rPr>
              <w:t>2、临湘江侧设置20cm高的挡水墙，防止初期雨水、场地冲洗废水直接漫流至湘江；</w:t>
            </w:r>
          </w:p>
          <w:p w14:paraId="7DE9FDFC">
            <w:pPr>
              <w:pStyle w:val="31"/>
              <w:bidi w:val="0"/>
              <w:ind w:firstLine="0" w:firstLineChars="0"/>
              <w:jc w:val="both"/>
              <w:rPr>
                <w:rFonts w:hint="default"/>
                <w:vertAlign w:val="baseline"/>
                <w:lang w:val="en-US" w:eastAsia="zh-CN"/>
              </w:rPr>
            </w:pPr>
            <w:r>
              <w:rPr>
                <w:rFonts w:hint="eastAsia"/>
                <w:vertAlign w:val="baseline"/>
                <w:lang w:val="en-US" w:eastAsia="zh-CN"/>
              </w:rPr>
              <w:t>3、在自建房设置一间应急资源仓库，贮存吸油毡、围油栏等事故应急资源</w:t>
            </w:r>
          </w:p>
        </w:tc>
        <w:tc>
          <w:tcPr>
            <w:tcW w:w="1705" w:type="dxa"/>
            <w:shd w:val="clear" w:color="auto" w:fill="auto"/>
            <w:vAlign w:val="center"/>
          </w:tcPr>
          <w:p w14:paraId="533A1EFB">
            <w:pPr>
              <w:pStyle w:val="31"/>
              <w:bidi w:val="0"/>
              <w:ind w:firstLine="0" w:firstLineChars="0"/>
              <w:jc w:val="center"/>
              <w:rPr>
                <w:rFonts w:hint="default"/>
                <w:lang w:val="en-US" w:eastAsia="zh-CN"/>
              </w:rPr>
            </w:pPr>
            <w:r>
              <w:rPr>
                <w:rFonts w:hint="eastAsia"/>
                <w:lang w:val="en-US" w:eastAsia="zh-CN"/>
              </w:rPr>
              <w:t>“以新带老”措施</w:t>
            </w:r>
          </w:p>
        </w:tc>
      </w:tr>
      <w:tr w14:paraId="7EC42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vAlign w:val="center"/>
          </w:tcPr>
          <w:p w14:paraId="65F7F847">
            <w:pPr>
              <w:pStyle w:val="31"/>
              <w:bidi w:val="0"/>
              <w:jc w:val="center"/>
              <w:rPr>
                <w:rFonts w:hint="eastAsia"/>
                <w:lang w:val="en-US" w:eastAsia="zh-CN"/>
              </w:rPr>
            </w:pPr>
          </w:p>
        </w:tc>
        <w:tc>
          <w:tcPr>
            <w:tcW w:w="886" w:type="dxa"/>
            <w:vAlign w:val="center"/>
          </w:tcPr>
          <w:p w14:paraId="7240FDF5">
            <w:pPr>
              <w:pStyle w:val="31"/>
              <w:bidi w:val="0"/>
              <w:jc w:val="center"/>
              <w:rPr>
                <w:rFonts w:hint="default"/>
                <w:lang w:val="en-US" w:eastAsia="zh-CN"/>
              </w:rPr>
            </w:pPr>
            <w:r>
              <w:rPr>
                <w:rFonts w:hint="eastAsia"/>
                <w:lang w:val="en-US" w:eastAsia="zh-CN"/>
              </w:rPr>
              <w:t>地下水/土壤</w:t>
            </w:r>
          </w:p>
        </w:tc>
        <w:tc>
          <w:tcPr>
            <w:tcW w:w="2523" w:type="dxa"/>
            <w:shd w:val="clear" w:color="auto" w:fill="auto"/>
            <w:vAlign w:val="center"/>
          </w:tcPr>
          <w:p w14:paraId="4FE9B6AC">
            <w:pPr>
              <w:pStyle w:val="31"/>
              <w:bidi w:val="0"/>
              <w:ind w:firstLine="0" w:firstLineChars="0"/>
              <w:jc w:val="center"/>
              <w:rPr>
                <w:rFonts w:hint="default"/>
                <w:lang w:val="en-US" w:eastAsia="zh-CN"/>
              </w:rPr>
            </w:pPr>
            <w:r>
              <w:rPr>
                <w:rFonts w:hint="eastAsia"/>
                <w:lang w:val="en-US" w:eastAsia="zh-CN"/>
              </w:rPr>
              <w:t>船台、危废暂存间进行了重点防渗</w:t>
            </w:r>
          </w:p>
        </w:tc>
        <w:tc>
          <w:tcPr>
            <w:tcW w:w="2760" w:type="dxa"/>
            <w:shd w:val="clear" w:color="auto" w:fill="auto"/>
            <w:vAlign w:val="center"/>
          </w:tcPr>
          <w:p w14:paraId="4515A19B">
            <w:pPr>
              <w:pStyle w:val="31"/>
              <w:bidi w:val="0"/>
              <w:ind w:firstLine="0" w:firstLineChars="0"/>
              <w:jc w:val="both"/>
              <w:rPr>
                <w:rFonts w:hint="default"/>
                <w:vertAlign w:val="baseline"/>
                <w:lang w:val="en-US" w:eastAsia="zh-CN"/>
              </w:rPr>
            </w:pPr>
            <w:r>
              <w:rPr>
                <w:rFonts w:hint="eastAsia"/>
                <w:vertAlign w:val="baseline"/>
                <w:lang w:val="en-US" w:eastAsia="zh-CN"/>
              </w:rPr>
              <w:t>船台、危废暂存间、废水处理站、化学品仓库、油漆仓库均需进行重点防渗</w:t>
            </w:r>
          </w:p>
        </w:tc>
        <w:tc>
          <w:tcPr>
            <w:tcW w:w="1705" w:type="dxa"/>
            <w:shd w:val="clear" w:color="auto" w:fill="auto"/>
            <w:vAlign w:val="center"/>
          </w:tcPr>
          <w:p w14:paraId="519A8043">
            <w:pPr>
              <w:pStyle w:val="31"/>
              <w:bidi w:val="0"/>
              <w:ind w:firstLine="0" w:firstLineChars="0"/>
              <w:jc w:val="center"/>
              <w:rPr>
                <w:rFonts w:hint="default"/>
                <w:lang w:val="en-US" w:eastAsia="zh-CN"/>
              </w:rPr>
            </w:pPr>
            <w:r>
              <w:rPr>
                <w:rFonts w:hint="eastAsia"/>
                <w:lang w:val="en-US" w:eastAsia="zh-CN"/>
              </w:rPr>
              <w:t>新建的废水处理站需要进行重点防渗；现有化学品仓库、油漆仓库需要进行防渗改造</w:t>
            </w:r>
          </w:p>
        </w:tc>
      </w:tr>
    </w:tbl>
    <w:p w14:paraId="332E4A70">
      <w:pPr>
        <w:pStyle w:val="33"/>
        <w:rPr>
          <w:rFonts w:hint="default" w:eastAsia="宋体"/>
          <w:lang w:val="en-US" w:eastAsia="zh-CN"/>
        </w:rPr>
      </w:pPr>
      <w:bookmarkStart w:id="95" w:name="_Toc22193"/>
      <w:r>
        <w:rPr>
          <w:rFonts w:hint="eastAsia"/>
        </w:rPr>
        <w:t>3.</w:t>
      </w:r>
      <w:r>
        <w:rPr>
          <w:rFonts w:hint="eastAsia"/>
          <w:lang w:val="en-US" w:eastAsia="zh-CN"/>
        </w:rPr>
        <w:t>2</w:t>
      </w:r>
      <w:r>
        <w:rPr>
          <w:rFonts w:hint="eastAsia"/>
        </w:rPr>
        <w:t>.3</w:t>
      </w:r>
      <w:r>
        <w:rPr>
          <w:rFonts w:hint="eastAsia"/>
          <w:lang w:val="en-US" w:eastAsia="zh-CN"/>
        </w:rPr>
        <w:t>项目服务规模</w:t>
      </w:r>
      <w:bookmarkEnd w:id="95"/>
    </w:p>
    <w:p w14:paraId="461F24FA">
      <w:pPr>
        <w:pStyle w:val="21"/>
        <w:ind w:firstLine="480"/>
        <w:rPr>
          <w:rFonts w:hint="eastAsia"/>
          <w:lang w:val="en-US" w:eastAsia="zh-CN"/>
        </w:rPr>
      </w:pPr>
      <w:r>
        <w:rPr>
          <w:rFonts w:hint="eastAsia"/>
          <w:lang w:val="en-US" w:eastAsia="zh-CN"/>
        </w:rPr>
        <w:t>本次扩建后，项目船台改造为3个船台，正常情况下，设计为其中2个船台用于船舶维修，1个船台用于船舶拆解。由于船台仅为露天坪地，船舶维修和船舶拆解对船台的配置需求并无区别，均为先将船舶拖至船台后，根据需要，进行维修或拆解，因此实际运营过程中，建设单位可根据市场需求，调整船台的实际功能。</w:t>
      </w:r>
    </w:p>
    <w:p w14:paraId="339F9363">
      <w:pPr>
        <w:pStyle w:val="21"/>
        <w:ind w:firstLine="480"/>
        <w:rPr>
          <w:rFonts w:hint="eastAsia"/>
          <w:lang w:val="en-US" w:eastAsia="zh-CN"/>
        </w:rPr>
      </w:pPr>
      <w:r>
        <w:rPr>
          <w:rFonts w:hint="eastAsia"/>
          <w:lang w:val="en-US" w:eastAsia="zh-CN"/>
        </w:rPr>
        <w:t>本项目扩建后，不改变项目的船舶维修规模，仍旧为折合年维修50艘1000吨级船舶；新增船舶拆解项目，设计年拆解30艘船舶（吨级为20~1000吨级不等），扩建后服务规模如下：</w:t>
      </w:r>
    </w:p>
    <w:p w14:paraId="0F2EA594">
      <w:pPr>
        <w:pStyle w:val="23"/>
        <w:bidi w:val="0"/>
        <w:rPr>
          <w:rFonts w:hint="eastAsia"/>
          <w:lang w:val="en-US" w:eastAsia="zh-CN"/>
        </w:rPr>
      </w:pPr>
      <w:r>
        <w:rPr>
          <w:rFonts w:hint="eastAsia"/>
          <w:lang w:val="en-US" w:eastAsia="zh-CN"/>
        </w:rPr>
        <w:t>表3.2-2  扩建后项目服务规模</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730"/>
        <w:gridCol w:w="1362"/>
        <w:gridCol w:w="1867"/>
        <w:gridCol w:w="1362"/>
        <w:gridCol w:w="1867"/>
        <w:gridCol w:w="729"/>
      </w:tblGrid>
      <w:tr w14:paraId="3FAE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pct"/>
            <w:gridSpan w:val="2"/>
            <w:vAlign w:val="center"/>
          </w:tcPr>
          <w:p w14:paraId="3765F660">
            <w:pPr>
              <w:pStyle w:val="31"/>
              <w:bidi w:val="0"/>
              <w:jc w:val="center"/>
              <w:rPr>
                <w:rFonts w:hint="default"/>
                <w:lang w:val="en-US" w:eastAsia="zh-CN"/>
              </w:rPr>
            </w:pPr>
            <w:r>
              <w:rPr>
                <w:rFonts w:hint="eastAsia"/>
                <w:lang w:val="en-US" w:eastAsia="zh-CN"/>
              </w:rPr>
              <w:t>类别</w:t>
            </w:r>
          </w:p>
        </w:tc>
        <w:tc>
          <w:tcPr>
            <w:tcW w:w="1894" w:type="pct"/>
            <w:gridSpan w:val="2"/>
            <w:vAlign w:val="center"/>
          </w:tcPr>
          <w:p w14:paraId="1C7F79B3">
            <w:pPr>
              <w:pStyle w:val="31"/>
              <w:bidi w:val="0"/>
              <w:jc w:val="center"/>
              <w:rPr>
                <w:rFonts w:hint="default"/>
                <w:lang w:val="en-US" w:eastAsia="zh-CN"/>
              </w:rPr>
            </w:pPr>
            <w:r>
              <w:rPr>
                <w:rFonts w:hint="eastAsia"/>
                <w:lang w:val="en-US" w:eastAsia="zh-CN"/>
              </w:rPr>
              <w:t>扩建前服务规模</w:t>
            </w:r>
          </w:p>
        </w:tc>
        <w:tc>
          <w:tcPr>
            <w:tcW w:w="1894" w:type="pct"/>
            <w:gridSpan w:val="2"/>
            <w:vAlign w:val="center"/>
          </w:tcPr>
          <w:p w14:paraId="0917C59F">
            <w:pPr>
              <w:pStyle w:val="31"/>
              <w:bidi w:val="0"/>
              <w:jc w:val="center"/>
              <w:rPr>
                <w:rFonts w:hint="default"/>
                <w:lang w:val="en-US" w:eastAsia="zh-CN"/>
              </w:rPr>
            </w:pPr>
            <w:r>
              <w:rPr>
                <w:rFonts w:hint="eastAsia"/>
                <w:lang w:val="en-US" w:eastAsia="zh-CN"/>
              </w:rPr>
              <w:t>扩建后服务规模</w:t>
            </w:r>
          </w:p>
        </w:tc>
        <w:tc>
          <w:tcPr>
            <w:tcW w:w="427" w:type="pct"/>
            <w:vAlign w:val="center"/>
          </w:tcPr>
          <w:p w14:paraId="0ED63D4F">
            <w:pPr>
              <w:pStyle w:val="31"/>
              <w:bidi w:val="0"/>
              <w:jc w:val="center"/>
              <w:rPr>
                <w:rFonts w:hint="default"/>
                <w:lang w:val="en-US" w:eastAsia="zh-CN"/>
              </w:rPr>
            </w:pPr>
            <w:r>
              <w:rPr>
                <w:rFonts w:hint="eastAsia"/>
                <w:lang w:val="en-US" w:eastAsia="zh-CN"/>
              </w:rPr>
              <w:t>备注</w:t>
            </w:r>
          </w:p>
        </w:tc>
      </w:tr>
      <w:tr w14:paraId="7D29B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55" w:type="pct"/>
            <w:vMerge w:val="restart"/>
            <w:vAlign w:val="center"/>
          </w:tcPr>
          <w:p w14:paraId="2F2A8555">
            <w:pPr>
              <w:pStyle w:val="31"/>
              <w:bidi w:val="0"/>
              <w:jc w:val="center"/>
              <w:rPr>
                <w:rFonts w:hint="default"/>
                <w:lang w:val="en-US" w:eastAsia="zh-CN"/>
              </w:rPr>
            </w:pPr>
            <w:r>
              <w:rPr>
                <w:rFonts w:hint="eastAsia"/>
                <w:lang w:val="en-US" w:eastAsia="zh-CN"/>
              </w:rPr>
              <w:t>船舶维修</w:t>
            </w:r>
          </w:p>
        </w:tc>
        <w:tc>
          <w:tcPr>
            <w:tcW w:w="428" w:type="pct"/>
            <w:shd w:val="clear" w:color="auto" w:fill="auto"/>
            <w:vAlign w:val="center"/>
          </w:tcPr>
          <w:p w14:paraId="1652AF9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切割换块工序</w:t>
            </w:r>
          </w:p>
        </w:tc>
        <w:tc>
          <w:tcPr>
            <w:tcW w:w="799" w:type="pct"/>
            <w:vMerge w:val="restart"/>
            <w:vAlign w:val="center"/>
          </w:tcPr>
          <w:p w14:paraId="6AA0C6E9">
            <w:pPr>
              <w:pStyle w:val="31"/>
              <w:bidi w:val="0"/>
              <w:jc w:val="center"/>
              <w:rPr>
                <w:rFonts w:hint="default"/>
                <w:lang w:val="en-US" w:eastAsia="zh-CN"/>
              </w:rPr>
            </w:pPr>
            <w:r>
              <w:rPr>
                <w:rFonts w:hint="eastAsia"/>
                <w:lang w:val="en-US" w:eastAsia="zh-CN"/>
              </w:rPr>
              <w:t>折合年维修50艘1000吨级船舶</w:t>
            </w:r>
          </w:p>
        </w:tc>
        <w:tc>
          <w:tcPr>
            <w:tcW w:w="1094" w:type="pct"/>
            <w:shd w:val="clear" w:color="auto" w:fill="auto"/>
            <w:vAlign w:val="center"/>
          </w:tcPr>
          <w:p w14:paraId="1534851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w:t>
            </w:r>
            <w:r>
              <w:rPr>
                <w:rFonts w:hint="default"/>
                <w:lang w:val="en-US" w:eastAsia="zh-CN"/>
              </w:rPr>
              <w:t>00</w:t>
            </w:r>
            <w:r>
              <w:rPr>
                <w:rFonts w:hint="eastAsia"/>
                <w:lang w:val="en-US" w:eastAsia="zh-CN"/>
              </w:rPr>
              <w:t>0</w:t>
            </w:r>
            <w:r>
              <w:rPr>
                <w:rFonts w:hint="default"/>
                <w:lang w:val="en-US" w:eastAsia="zh-CN"/>
              </w:rPr>
              <w:t>m</w:t>
            </w:r>
            <w:r>
              <w:rPr>
                <w:rFonts w:hint="default"/>
                <w:vertAlign w:val="superscript"/>
                <w:lang w:val="en-US" w:eastAsia="zh-CN"/>
              </w:rPr>
              <w:t>2</w:t>
            </w:r>
            <w:r>
              <w:rPr>
                <w:rFonts w:hint="default"/>
                <w:lang w:val="en-US" w:eastAsia="zh-CN"/>
              </w:rPr>
              <w:t>，切割长度约40</w:t>
            </w:r>
            <w:r>
              <w:rPr>
                <w:rFonts w:hint="eastAsia"/>
                <w:lang w:val="en-US" w:eastAsia="zh-CN"/>
              </w:rPr>
              <w:t>0</w:t>
            </w:r>
            <w:r>
              <w:rPr>
                <w:rFonts w:hint="default"/>
                <w:lang w:val="en-US" w:eastAsia="zh-CN"/>
              </w:rPr>
              <w:t>0m</w:t>
            </w:r>
          </w:p>
        </w:tc>
        <w:tc>
          <w:tcPr>
            <w:tcW w:w="799" w:type="pct"/>
            <w:vMerge w:val="restart"/>
            <w:shd w:val="clear" w:color="auto" w:fill="auto"/>
            <w:vAlign w:val="center"/>
          </w:tcPr>
          <w:p w14:paraId="3E3E46B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折合年维修50艘1000吨级船舶</w:t>
            </w:r>
          </w:p>
        </w:tc>
        <w:tc>
          <w:tcPr>
            <w:tcW w:w="1094" w:type="pct"/>
            <w:shd w:val="clear" w:color="auto" w:fill="auto"/>
            <w:vAlign w:val="center"/>
          </w:tcPr>
          <w:p w14:paraId="7AA741A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w:t>
            </w:r>
            <w:r>
              <w:rPr>
                <w:rFonts w:hint="default"/>
                <w:lang w:val="en-US" w:eastAsia="zh-CN"/>
              </w:rPr>
              <w:t>00</w:t>
            </w:r>
            <w:r>
              <w:rPr>
                <w:rFonts w:hint="eastAsia"/>
                <w:lang w:val="en-US" w:eastAsia="zh-CN"/>
              </w:rPr>
              <w:t>0</w:t>
            </w:r>
            <w:r>
              <w:rPr>
                <w:rFonts w:hint="default"/>
                <w:lang w:val="en-US" w:eastAsia="zh-CN"/>
              </w:rPr>
              <w:t>m</w:t>
            </w:r>
            <w:r>
              <w:rPr>
                <w:rFonts w:hint="default"/>
                <w:vertAlign w:val="superscript"/>
                <w:lang w:val="en-US" w:eastAsia="zh-CN"/>
              </w:rPr>
              <w:t>2</w:t>
            </w:r>
            <w:r>
              <w:rPr>
                <w:rFonts w:hint="default"/>
                <w:lang w:val="en-US" w:eastAsia="zh-CN"/>
              </w:rPr>
              <w:t>，切割长度约40</w:t>
            </w:r>
            <w:r>
              <w:rPr>
                <w:rFonts w:hint="eastAsia"/>
                <w:lang w:val="en-US" w:eastAsia="zh-CN"/>
              </w:rPr>
              <w:t>0</w:t>
            </w:r>
            <w:r>
              <w:rPr>
                <w:rFonts w:hint="default"/>
                <w:lang w:val="en-US" w:eastAsia="zh-CN"/>
              </w:rPr>
              <w:t>0m</w:t>
            </w:r>
          </w:p>
        </w:tc>
        <w:tc>
          <w:tcPr>
            <w:tcW w:w="427" w:type="pct"/>
            <w:vMerge w:val="restart"/>
            <w:vAlign w:val="center"/>
          </w:tcPr>
          <w:p w14:paraId="659307BB">
            <w:pPr>
              <w:pStyle w:val="31"/>
              <w:bidi w:val="0"/>
              <w:jc w:val="center"/>
              <w:rPr>
                <w:rFonts w:hint="default"/>
                <w:lang w:val="en-US" w:eastAsia="zh-CN"/>
              </w:rPr>
            </w:pPr>
            <w:r>
              <w:rPr>
                <w:rFonts w:hint="eastAsia"/>
                <w:lang w:val="en-US" w:eastAsia="zh-CN"/>
              </w:rPr>
              <w:t>服务规模不变</w:t>
            </w:r>
          </w:p>
        </w:tc>
      </w:tr>
      <w:tr w14:paraId="335F4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55" w:type="pct"/>
            <w:vMerge w:val="continue"/>
            <w:vAlign w:val="center"/>
          </w:tcPr>
          <w:p w14:paraId="4A343109">
            <w:pPr>
              <w:pStyle w:val="31"/>
              <w:bidi w:val="0"/>
              <w:jc w:val="center"/>
            </w:pPr>
          </w:p>
        </w:tc>
        <w:tc>
          <w:tcPr>
            <w:tcW w:w="428" w:type="pct"/>
            <w:shd w:val="clear" w:color="auto" w:fill="auto"/>
            <w:vAlign w:val="center"/>
          </w:tcPr>
          <w:p w14:paraId="7188FEC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焊接工序</w:t>
            </w:r>
          </w:p>
        </w:tc>
        <w:tc>
          <w:tcPr>
            <w:tcW w:w="799" w:type="pct"/>
            <w:vMerge w:val="continue"/>
            <w:vAlign w:val="center"/>
          </w:tcPr>
          <w:p w14:paraId="34082642">
            <w:pPr>
              <w:pStyle w:val="31"/>
              <w:bidi w:val="0"/>
              <w:jc w:val="center"/>
              <w:rPr>
                <w:rFonts w:hint="eastAsia"/>
                <w:lang w:val="en-US" w:eastAsia="zh-CN"/>
              </w:rPr>
            </w:pPr>
          </w:p>
        </w:tc>
        <w:tc>
          <w:tcPr>
            <w:tcW w:w="1094" w:type="pct"/>
            <w:shd w:val="clear" w:color="auto" w:fill="auto"/>
            <w:vAlign w:val="center"/>
          </w:tcPr>
          <w:p w14:paraId="4498C49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焊接长度约</w:t>
            </w:r>
            <w:r>
              <w:rPr>
                <w:rFonts w:hint="eastAsia"/>
                <w:lang w:val="en-US" w:eastAsia="zh-CN"/>
              </w:rPr>
              <w:t>50</w:t>
            </w:r>
            <w:r>
              <w:rPr>
                <w:rFonts w:hint="default"/>
                <w:lang w:val="en-US" w:eastAsia="zh-CN"/>
              </w:rPr>
              <w:t>00m，焊条耗量0.58kg/m</w:t>
            </w:r>
          </w:p>
        </w:tc>
        <w:tc>
          <w:tcPr>
            <w:tcW w:w="799" w:type="pct"/>
            <w:vMerge w:val="continue"/>
            <w:vAlign w:val="center"/>
          </w:tcPr>
          <w:p w14:paraId="7BCC9377">
            <w:pPr>
              <w:pStyle w:val="31"/>
              <w:bidi w:val="0"/>
              <w:jc w:val="center"/>
              <w:rPr>
                <w:rFonts w:hint="eastAsia"/>
                <w:lang w:val="en-US" w:eastAsia="zh-CN"/>
              </w:rPr>
            </w:pPr>
          </w:p>
        </w:tc>
        <w:tc>
          <w:tcPr>
            <w:tcW w:w="1094" w:type="pct"/>
            <w:shd w:val="clear" w:color="auto" w:fill="auto"/>
            <w:vAlign w:val="center"/>
          </w:tcPr>
          <w:p w14:paraId="1480274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焊接长度约</w:t>
            </w:r>
            <w:r>
              <w:rPr>
                <w:rFonts w:hint="eastAsia"/>
                <w:lang w:val="en-US" w:eastAsia="zh-CN"/>
              </w:rPr>
              <w:t>50</w:t>
            </w:r>
            <w:r>
              <w:rPr>
                <w:rFonts w:hint="default"/>
                <w:lang w:val="en-US" w:eastAsia="zh-CN"/>
              </w:rPr>
              <w:t>00m，焊条耗量0.58kg/m</w:t>
            </w:r>
          </w:p>
        </w:tc>
        <w:tc>
          <w:tcPr>
            <w:tcW w:w="427" w:type="pct"/>
            <w:vMerge w:val="continue"/>
            <w:vAlign w:val="center"/>
          </w:tcPr>
          <w:p w14:paraId="1D9DA32A">
            <w:pPr>
              <w:pStyle w:val="31"/>
              <w:bidi w:val="0"/>
              <w:jc w:val="center"/>
              <w:rPr>
                <w:rFonts w:hint="eastAsia"/>
                <w:lang w:val="en-US" w:eastAsia="zh-CN"/>
              </w:rPr>
            </w:pPr>
          </w:p>
        </w:tc>
      </w:tr>
      <w:tr w14:paraId="7FCEA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55" w:type="pct"/>
            <w:vMerge w:val="continue"/>
            <w:vAlign w:val="center"/>
          </w:tcPr>
          <w:p w14:paraId="07AD589D">
            <w:pPr>
              <w:pStyle w:val="31"/>
              <w:bidi w:val="0"/>
              <w:jc w:val="center"/>
              <w:rPr>
                <w:rFonts w:hint="eastAsia"/>
                <w:lang w:val="en-US" w:eastAsia="zh-CN"/>
              </w:rPr>
            </w:pPr>
          </w:p>
        </w:tc>
        <w:tc>
          <w:tcPr>
            <w:tcW w:w="428" w:type="pct"/>
            <w:shd w:val="clear" w:color="auto" w:fill="auto"/>
            <w:vAlign w:val="center"/>
          </w:tcPr>
          <w:p w14:paraId="498148D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喷气除锈工序</w:t>
            </w:r>
          </w:p>
        </w:tc>
        <w:tc>
          <w:tcPr>
            <w:tcW w:w="799" w:type="pct"/>
            <w:vMerge w:val="continue"/>
            <w:vAlign w:val="center"/>
          </w:tcPr>
          <w:p w14:paraId="527D98EC">
            <w:pPr>
              <w:pStyle w:val="31"/>
              <w:bidi w:val="0"/>
              <w:jc w:val="center"/>
              <w:rPr>
                <w:rFonts w:hint="eastAsia"/>
                <w:lang w:val="en-US" w:eastAsia="zh-CN"/>
              </w:rPr>
            </w:pPr>
          </w:p>
        </w:tc>
        <w:tc>
          <w:tcPr>
            <w:tcW w:w="1094" w:type="pct"/>
            <w:shd w:val="clear" w:color="auto" w:fill="auto"/>
            <w:vAlign w:val="center"/>
          </w:tcPr>
          <w:p w14:paraId="4AB2DE9B">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799" w:type="pct"/>
            <w:vMerge w:val="continue"/>
            <w:vAlign w:val="center"/>
          </w:tcPr>
          <w:p w14:paraId="639E5791">
            <w:pPr>
              <w:pStyle w:val="31"/>
              <w:bidi w:val="0"/>
              <w:jc w:val="center"/>
              <w:rPr>
                <w:rFonts w:hint="eastAsia"/>
                <w:lang w:val="en-US" w:eastAsia="zh-CN"/>
              </w:rPr>
            </w:pPr>
          </w:p>
        </w:tc>
        <w:tc>
          <w:tcPr>
            <w:tcW w:w="1094" w:type="pct"/>
            <w:shd w:val="clear" w:color="auto" w:fill="auto"/>
            <w:vAlign w:val="center"/>
          </w:tcPr>
          <w:p w14:paraId="024FA56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427" w:type="pct"/>
            <w:vMerge w:val="continue"/>
            <w:vAlign w:val="center"/>
          </w:tcPr>
          <w:p w14:paraId="61E7A70D">
            <w:pPr>
              <w:pStyle w:val="31"/>
              <w:bidi w:val="0"/>
              <w:jc w:val="center"/>
              <w:rPr>
                <w:rFonts w:hint="eastAsia"/>
                <w:lang w:val="en-US" w:eastAsia="zh-CN"/>
              </w:rPr>
            </w:pPr>
          </w:p>
        </w:tc>
      </w:tr>
      <w:tr w14:paraId="0D2F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355" w:type="pct"/>
            <w:vMerge w:val="continue"/>
            <w:vAlign w:val="center"/>
          </w:tcPr>
          <w:p w14:paraId="68D3DC50">
            <w:pPr>
              <w:pStyle w:val="31"/>
              <w:bidi w:val="0"/>
              <w:jc w:val="center"/>
              <w:rPr>
                <w:rFonts w:hint="eastAsia"/>
                <w:lang w:val="en-US" w:eastAsia="zh-CN"/>
              </w:rPr>
            </w:pPr>
          </w:p>
        </w:tc>
        <w:tc>
          <w:tcPr>
            <w:tcW w:w="428" w:type="pct"/>
            <w:shd w:val="clear" w:color="auto" w:fill="auto"/>
            <w:vAlign w:val="center"/>
          </w:tcPr>
          <w:p w14:paraId="6DFE43F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default"/>
                <w:lang w:val="en-US" w:eastAsia="zh-CN"/>
              </w:rPr>
              <w:t>刷涂工序</w:t>
            </w:r>
          </w:p>
        </w:tc>
        <w:tc>
          <w:tcPr>
            <w:tcW w:w="799" w:type="pct"/>
            <w:vMerge w:val="continue"/>
            <w:vAlign w:val="center"/>
          </w:tcPr>
          <w:p w14:paraId="3D1FE214">
            <w:pPr>
              <w:pStyle w:val="31"/>
              <w:bidi w:val="0"/>
              <w:jc w:val="center"/>
              <w:rPr>
                <w:rFonts w:hint="eastAsia"/>
                <w:lang w:val="en-US" w:eastAsia="zh-CN"/>
              </w:rPr>
            </w:pPr>
          </w:p>
        </w:tc>
        <w:tc>
          <w:tcPr>
            <w:tcW w:w="1094" w:type="pct"/>
            <w:shd w:val="clear" w:color="auto" w:fill="auto"/>
            <w:vAlign w:val="center"/>
          </w:tcPr>
          <w:p w14:paraId="0115A9F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799" w:type="pct"/>
            <w:vMerge w:val="continue"/>
            <w:vAlign w:val="center"/>
          </w:tcPr>
          <w:p w14:paraId="490D2865">
            <w:pPr>
              <w:pStyle w:val="31"/>
              <w:bidi w:val="0"/>
              <w:jc w:val="center"/>
              <w:rPr>
                <w:rFonts w:hint="eastAsia"/>
                <w:lang w:val="en-US" w:eastAsia="zh-CN"/>
              </w:rPr>
            </w:pPr>
          </w:p>
        </w:tc>
        <w:tc>
          <w:tcPr>
            <w:tcW w:w="1094" w:type="pct"/>
            <w:shd w:val="clear" w:color="auto" w:fill="auto"/>
            <w:vAlign w:val="center"/>
          </w:tcPr>
          <w:p w14:paraId="7D617CE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w:t>
            </w:r>
            <w:r>
              <w:rPr>
                <w:rFonts w:hint="default"/>
                <w:lang w:val="en-US" w:eastAsia="zh-CN"/>
              </w:rPr>
              <w:t>0000m</w:t>
            </w:r>
            <w:r>
              <w:rPr>
                <w:rFonts w:hint="default"/>
                <w:vertAlign w:val="superscript"/>
                <w:lang w:val="en-US" w:eastAsia="zh-CN"/>
              </w:rPr>
              <w:t>2/</w:t>
            </w:r>
            <w:r>
              <w:rPr>
                <w:rFonts w:hint="default"/>
                <w:lang w:val="en-US" w:eastAsia="zh-CN"/>
              </w:rPr>
              <w:t>年</w:t>
            </w:r>
          </w:p>
        </w:tc>
        <w:tc>
          <w:tcPr>
            <w:tcW w:w="427" w:type="pct"/>
            <w:vMerge w:val="continue"/>
            <w:vAlign w:val="center"/>
          </w:tcPr>
          <w:p w14:paraId="71C65DDA">
            <w:pPr>
              <w:pStyle w:val="31"/>
              <w:bidi w:val="0"/>
              <w:jc w:val="center"/>
              <w:rPr>
                <w:rFonts w:hint="eastAsia"/>
                <w:lang w:val="en-US" w:eastAsia="zh-CN"/>
              </w:rPr>
            </w:pPr>
          </w:p>
        </w:tc>
      </w:tr>
      <w:tr w14:paraId="3FC0F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3" w:type="pct"/>
            <w:gridSpan w:val="2"/>
            <w:vAlign w:val="center"/>
          </w:tcPr>
          <w:p w14:paraId="55B5709E">
            <w:pPr>
              <w:pStyle w:val="31"/>
              <w:bidi w:val="0"/>
              <w:jc w:val="center"/>
              <w:rPr>
                <w:rFonts w:hint="default"/>
                <w:lang w:val="en-US" w:eastAsia="zh-CN"/>
              </w:rPr>
            </w:pPr>
            <w:r>
              <w:rPr>
                <w:rFonts w:hint="eastAsia"/>
                <w:lang w:val="en-US" w:eastAsia="zh-CN"/>
              </w:rPr>
              <w:t>船舶拆解</w:t>
            </w:r>
          </w:p>
        </w:tc>
        <w:tc>
          <w:tcPr>
            <w:tcW w:w="1894" w:type="pct"/>
            <w:gridSpan w:val="2"/>
            <w:vAlign w:val="center"/>
          </w:tcPr>
          <w:p w14:paraId="49EAA628">
            <w:pPr>
              <w:pStyle w:val="31"/>
              <w:bidi w:val="0"/>
              <w:jc w:val="center"/>
              <w:rPr>
                <w:rFonts w:hint="default"/>
                <w:lang w:val="en-US" w:eastAsia="zh-CN"/>
              </w:rPr>
            </w:pPr>
            <w:r>
              <w:rPr>
                <w:rFonts w:hint="eastAsia"/>
                <w:lang w:val="en-US" w:eastAsia="zh-CN"/>
              </w:rPr>
              <w:t>/</w:t>
            </w:r>
          </w:p>
        </w:tc>
        <w:tc>
          <w:tcPr>
            <w:tcW w:w="1894" w:type="pct"/>
            <w:gridSpan w:val="2"/>
            <w:vAlign w:val="center"/>
          </w:tcPr>
          <w:p w14:paraId="0A3E7869">
            <w:pPr>
              <w:pStyle w:val="31"/>
              <w:bidi w:val="0"/>
              <w:jc w:val="center"/>
              <w:rPr>
                <w:rFonts w:hint="default"/>
                <w:lang w:val="en-US" w:eastAsia="zh-CN"/>
              </w:rPr>
            </w:pPr>
            <w:r>
              <w:rPr>
                <w:rFonts w:hint="eastAsia"/>
                <w:lang w:val="en-US" w:eastAsia="zh-CN"/>
              </w:rPr>
              <w:t>年拆解30艘船舶（20~1000吨级不等）</w:t>
            </w:r>
          </w:p>
        </w:tc>
        <w:tc>
          <w:tcPr>
            <w:tcW w:w="427" w:type="pct"/>
            <w:vAlign w:val="center"/>
          </w:tcPr>
          <w:p w14:paraId="1CDC3DA7">
            <w:pPr>
              <w:pStyle w:val="31"/>
              <w:bidi w:val="0"/>
              <w:jc w:val="center"/>
              <w:rPr>
                <w:rFonts w:hint="default"/>
                <w:lang w:val="en-US" w:eastAsia="zh-CN"/>
              </w:rPr>
            </w:pPr>
            <w:r>
              <w:rPr>
                <w:rFonts w:hint="eastAsia"/>
                <w:lang w:val="en-US" w:eastAsia="zh-CN"/>
              </w:rPr>
              <w:t>新增</w:t>
            </w:r>
          </w:p>
        </w:tc>
      </w:tr>
    </w:tbl>
    <w:p w14:paraId="686E7483">
      <w:pPr>
        <w:pStyle w:val="21"/>
        <w:rPr>
          <w:rFonts w:hint="eastAsia"/>
          <w:lang w:val="en-US" w:eastAsia="zh-CN"/>
        </w:rPr>
      </w:pPr>
      <w:r>
        <w:rPr>
          <w:rFonts w:hint="eastAsia"/>
          <w:lang w:val="en-US" w:eastAsia="zh-CN"/>
        </w:rPr>
        <w:t>本次新增船舶拆解的主要船型设计如下：</w:t>
      </w:r>
    </w:p>
    <w:p w14:paraId="3B38EC17">
      <w:pPr>
        <w:pStyle w:val="23"/>
        <w:bidi w:val="0"/>
        <w:rPr>
          <w:rFonts w:hint="eastAsia"/>
          <w:u w:val="none"/>
          <w:lang w:val="en-US" w:eastAsia="zh-CN"/>
        </w:rPr>
      </w:pPr>
      <w:r>
        <w:rPr>
          <w:rFonts w:hint="eastAsia"/>
          <w:lang w:val="en-US" w:eastAsia="zh-CN"/>
        </w:rPr>
        <w:t xml:space="preserve">表3.2-3  </w:t>
      </w:r>
      <w:r>
        <w:rPr>
          <w:rFonts w:hint="eastAsia"/>
          <w:u w:val="none"/>
          <w:lang w:val="en-US" w:eastAsia="zh-CN"/>
        </w:rPr>
        <w:t>拆解船型及主要尺寸</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457"/>
        <w:gridCol w:w="897"/>
        <w:gridCol w:w="969"/>
        <w:gridCol w:w="851"/>
        <w:gridCol w:w="895"/>
        <w:gridCol w:w="461"/>
        <w:gridCol w:w="690"/>
        <w:gridCol w:w="897"/>
        <w:gridCol w:w="1335"/>
        <w:gridCol w:w="897"/>
      </w:tblGrid>
      <w:tr w14:paraId="36C81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vMerge w:val="restart"/>
            <w:noWrap w:val="0"/>
            <w:vAlign w:val="center"/>
          </w:tcPr>
          <w:p w14:paraId="142111D2">
            <w:pPr>
              <w:pStyle w:val="31"/>
              <w:bidi w:val="0"/>
              <w:rPr>
                <w:u w:val="none"/>
              </w:rPr>
            </w:pPr>
            <w:r>
              <w:rPr>
                <w:u w:val="none"/>
              </w:rPr>
              <w:t>序号</w:t>
            </w:r>
          </w:p>
        </w:tc>
        <w:tc>
          <w:tcPr>
            <w:tcW w:w="537" w:type="pct"/>
            <w:vMerge w:val="restart"/>
            <w:noWrap w:val="0"/>
            <w:vAlign w:val="center"/>
          </w:tcPr>
          <w:p w14:paraId="4BBAEC40">
            <w:pPr>
              <w:pStyle w:val="31"/>
              <w:bidi w:val="0"/>
              <w:rPr>
                <w:u w:val="none"/>
              </w:rPr>
            </w:pPr>
            <w:r>
              <w:rPr>
                <w:u w:val="none"/>
              </w:rPr>
              <w:t>代表船型</w:t>
            </w:r>
          </w:p>
        </w:tc>
        <w:tc>
          <w:tcPr>
            <w:tcW w:w="580" w:type="pct"/>
            <w:vMerge w:val="restart"/>
            <w:noWrap w:val="0"/>
            <w:vAlign w:val="center"/>
          </w:tcPr>
          <w:p w14:paraId="722D91F4">
            <w:pPr>
              <w:pStyle w:val="31"/>
              <w:bidi w:val="0"/>
              <w:rPr>
                <w:u w:val="none"/>
              </w:rPr>
            </w:pPr>
            <w:r>
              <w:rPr>
                <w:u w:val="none"/>
              </w:rPr>
              <w:t>载重</w:t>
            </w:r>
          </w:p>
          <w:p w14:paraId="3E635281">
            <w:pPr>
              <w:pStyle w:val="31"/>
              <w:bidi w:val="0"/>
              <w:rPr>
                <w:u w:val="none"/>
              </w:rPr>
            </w:pPr>
            <w:r>
              <w:rPr>
                <w:u w:val="none"/>
              </w:rPr>
              <w:t>（吨/艘）</w:t>
            </w:r>
          </w:p>
        </w:tc>
        <w:tc>
          <w:tcPr>
            <w:tcW w:w="1731" w:type="pct"/>
            <w:gridSpan w:val="4"/>
            <w:noWrap w:val="0"/>
            <w:vAlign w:val="center"/>
          </w:tcPr>
          <w:p w14:paraId="1D51CE02">
            <w:pPr>
              <w:pStyle w:val="31"/>
              <w:bidi w:val="0"/>
              <w:rPr>
                <w:u w:val="none"/>
              </w:rPr>
            </w:pPr>
            <w:r>
              <w:rPr>
                <w:u w:val="none"/>
              </w:rPr>
              <w:t>涉及船型尺寸（m）</w:t>
            </w:r>
          </w:p>
        </w:tc>
        <w:tc>
          <w:tcPr>
            <w:tcW w:w="537" w:type="pct"/>
            <w:vMerge w:val="restart"/>
            <w:noWrap w:val="0"/>
            <w:vAlign w:val="center"/>
          </w:tcPr>
          <w:p w14:paraId="5B7494B8">
            <w:pPr>
              <w:pStyle w:val="31"/>
              <w:bidi w:val="0"/>
              <w:rPr>
                <w:u w:val="none"/>
              </w:rPr>
            </w:pPr>
            <w:r>
              <w:rPr>
                <w:rFonts w:hint="eastAsia"/>
                <w:u w:val="none"/>
                <w:lang w:val="en-US" w:eastAsia="zh-CN"/>
              </w:rPr>
              <w:t>拆解</w:t>
            </w:r>
            <w:r>
              <w:rPr>
                <w:u w:val="none"/>
              </w:rPr>
              <w:t>数量</w:t>
            </w:r>
          </w:p>
          <w:p w14:paraId="4F2DEDE5">
            <w:pPr>
              <w:pStyle w:val="31"/>
              <w:bidi w:val="0"/>
              <w:rPr>
                <w:u w:val="none"/>
              </w:rPr>
            </w:pPr>
            <w:r>
              <w:rPr>
                <w:u w:val="none"/>
              </w:rPr>
              <w:t>（艘）</w:t>
            </w:r>
          </w:p>
        </w:tc>
        <w:tc>
          <w:tcPr>
            <w:tcW w:w="799" w:type="pct"/>
            <w:vMerge w:val="restart"/>
            <w:noWrap w:val="0"/>
            <w:vAlign w:val="center"/>
          </w:tcPr>
          <w:p w14:paraId="5D74FADB">
            <w:pPr>
              <w:pStyle w:val="31"/>
              <w:bidi w:val="0"/>
              <w:rPr>
                <w:rFonts w:hint="eastAsia"/>
                <w:u w:val="none"/>
                <w:lang w:val="en-US" w:eastAsia="zh-CN"/>
              </w:rPr>
            </w:pPr>
            <w:r>
              <w:rPr>
                <w:rFonts w:hint="eastAsia"/>
                <w:u w:val="none"/>
                <w:lang w:val="en-US" w:eastAsia="zh-CN"/>
              </w:rPr>
              <w:t>平均空船重量</w:t>
            </w:r>
          </w:p>
          <w:p w14:paraId="2CF4F575">
            <w:pPr>
              <w:pStyle w:val="31"/>
              <w:bidi w:val="0"/>
              <w:rPr>
                <w:rFonts w:hint="default"/>
                <w:u w:val="none"/>
                <w:lang w:val="en-US" w:eastAsia="zh-CN"/>
              </w:rPr>
            </w:pPr>
            <w:r>
              <w:rPr>
                <w:rFonts w:hint="eastAsia"/>
                <w:u w:val="none"/>
                <w:lang w:val="en-US" w:eastAsia="zh-CN"/>
              </w:rPr>
              <w:t>t/艘</w:t>
            </w:r>
          </w:p>
        </w:tc>
        <w:tc>
          <w:tcPr>
            <w:tcW w:w="537" w:type="pct"/>
            <w:vMerge w:val="restart"/>
            <w:noWrap w:val="0"/>
            <w:vAlign w:val="center"/>
          </w:tcPr>
          <w:p w14:paraId="149194B2">
            <w:pPr>
              <w:pStyle w:val="31"/>
              <w:bidi w:val="0"/>
              <w:rPr>
                <w:rFonts w:hint="eastAsia"/>
                <w:u w:val="none"/>
                <w:lang w:val="en-US" w:eastAsia="zh-CN"/>
              </w:rPr>
            </w:pPr>
            <w:r>
              <w:rPr>
                <w:rFonts w:hint="eastAsia"/>
                <w:u w:val="none"/>
                <w:lang w:val="en-US" w:eastAsia="zh-CN"/>
              </w:rPr>
              <w:t>空船总重</w:t>
            </w:r>
          </w:p>
          <w:p w14:paraId="4BB74E70">
            <w:pPr>
              <w:pStyle w:val="31"/>
              <w:bidi w:val="0"/>
              <w:rPr>
                <w:rFonts w:hint="default"/>
                <w:u w:val="none"/>
                <w:lang w:val="en-US" w:eastAsia="zh-CN"/>
              </w:rPr>
            </w:pPr>
            <w:r>
              <w:rPr>
                <w:rFonts w:hint="eastAsia"/>
                <w:u w:val="none"/>
                <w:lang w:val="en-US" w:eastAsia="zh-CN"/>
              </w:rPr>
              <w:t>t</w:t>
            </w:r>
          </w:p>
        </w:tc>
      </w:tr>
      <w:tr w14:paraId="423C4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vMerge w:val="continue"/>
            <w:noWrap w:val="0"/>
            <w:vAlign w:val="center"/>
          </w:tcPr>
          <w:p w14:paraId="6E50153C">
            <w:pPr>
              <w:pStyle w:val="31"/>
              <w:bidi w:val="0"/>
              <w:rPr>
                <w:u w:val="none"/>
              </w:rPr>
            </w:pPr>
          </w:p>
        </w:tc>
        <w:tc>
          <w:tcPr>
            <w:tcW w:w="537" w:type="pct"/>
            <w:vMerge w:val="continue"/>
            <w:noWrap w:val="0"/>
            <w:vAlign w:val="center"/>
          </w:tcPr>
          <w:p w14:paraId="5375E896">
            <w:pPr>
              <w:pStyle w:val="31"/>
              <w:bidi w:val="0"/>
              <w:rPr>
                <w:u w:val="none"/>
              </w:rPr>
            </w:pPr>
          </w:p>
        </w:tc>
        <w:tc>
          <w:tcPr>
            <w:tcW w:w="580" w:type="pct"/>
            <w:vMerge w:val="continue"/>
            <w:noWrap w:val="0"/>
            <w:vAlign w:val="center"/>
          </w:tcPr>
          <w:p w14:paraId="7D7FBBC8">
            <w:pPr>
              <w:pStyle w:val="31"/>
              <w:bidi w:val="0"/>
              <w:rPr>
                <w:u w:val="none"/>
              </w:rPr>
            </w:pPr>
          </w:p>
        </w:tc>
        <w:tc>
          <w:tcPr>
            <w:tcW w:w="509" w:type="pct"/>
            <w:noWrap w:val="0"/>
            <w:vAlign w:val="center"/>
          </w:tcPr>
          <w:p w14:paraId="1135EBDD">
            <w:pPr>
              <w:pStyle w:val="31"/>
              <w:bidi w:val="0"/>
              <w:rPr>
                <w:u w:val="none"/>
              </w:rPr>
            </w:pPr>
            <w:r>
              <w:rPr>
                <w:u w:val="none"/>
              </w:rPr>
              <w:t>船长</w:t>
            </w:r>
          </w:p>
        </w:tc>
        <w:tc>
          <w:tcPr>
            <w:tcW w:w="535" w:type="pct"/>
            <w:noWrap w:val="0"/>
            <w:vAlign w:val="center"/>
          </w:tcPr>
          <w:p w14:paraId="5B626A02">
            <w:pPr>
              <w:pStyle w:val="31"/>
              <w:bidi w:val="0"/>
              <w:rPr>
                <w:u w:val="none"/>
              </w:rPr>
            </w:pPr>
            <w:r>
              <w:rPr>
                <w:u w:val="none"/>
              </w:rPr>
              <w:t>船宽</w:t>
            </w:r>
          </w:p>
        </w:tc>
        <w:tc>
          <w:tcPr>
            <w:tcW w:w="276" w:type="pct"/>
            <w:noWrap w:val="0"/>
            <w:vAlign w:val="center"/>
          </w:tcPr>
          <w:p w14:paraId="02A38114">
            <w:pPr>
              <w:pStyle w:val="31"/>
              <w:bidi w:val="0"/>
              <w:rPr>
                <w:u w:val="none"/>
              </w:rPr>
            </w:pPr>
            <w:r>
              <w:rPr>
                <w:u w:val="none"/>
              </w:rPr>
              <w:t>型深</w:t>
            </w:r>
          </w:p>
        </w:tc>
        <w:tc>
          <w:tcPr>
            <w:tcW w:w="410" w:type="pct"/>
            <w:noWrap w:val="0"/>
            <w:vAlign w:val="center"/>
          </w:tcPr>
          <w:p w14:paraId="5287A448">
            <w:pPr>
              <w:pStyle w:val="31"/>
              <w:bidi w:val="0"/>
              <w:rPr>
                <w:u w:val="none"/>
              </w:rPr>
            </w:pPr>
            <w:r>
              <w:rPr>
                <w:u w:val="none"/>
              </w:rPr>
              <w:t>吃水</w:t>
            </w:r>
          </w:p>
        </w:tc>
        <w:tc>
          <w:tcPr>
            <w:tcW w:w="537" w:type="pct"/>
            <w:vMerge w:val="continue"/>
            <w:noWrap w:val="0"/>
            <w:vAlign w:val="center"/>
          </w:tcPr>
          <w:p w14:paraId="792F44A2">
            <w:pPr>
              <w:pStyle w:val="31"/>
              <w:bidi w:val="0"/>
              <w:rPr>
                <w:u w:val="none"/>
              </w:rPr>
            </w:pPr>
          </w:p>
        </w:tc>
        <w:tc>
          <w:tcPr>
            <w:tcW w:w="799" w:type="pct"/>
            <w:vMerge w:val="continue"/>
            <w:noWrap w:val="0"/>
            <w:vAlign w:val="center"/>
          </w:tcPr>
          <w:p w14:paraId="6FCAF558">
            <w:pPr>
              <w:pStyle w:val="31"/>
              <w:bidi w:val="0"/>
              <w:rPr>
                <w:u w:val="none"/>
              </w:rPr>
            </w:pPr>
          </w:p>
        </w:tc>
        <w:tc>
          <w:tcPr>
            <w:tcW w:w="537" w:type="pct"/>
            <w:vMerge w:val="continue"/>
            <w:noWrap w:val="0"/>
            <w:vAlign w:val="center"/>
          </w:tcPr>
          <w:p w14:paraId="12FB7EAF">
            <w:pPr>
              <w:pStyle w:val="31"/>
              <w:bidi w:val="0"/>
              <w:rPr>
                <w:u w:val="none"/>
              </w:rPr>
            </w:pPr>
          </w:p>
        </w:tc>
      </w:tr>
      <w:tr w14:paraId="405A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79C84E47">
            <w:pPr>
              <w:pStyle w:val="31"/>
              <w:bidi w:val="0"/>
              <w:rPr>
                <w:u w:val="none"/>
              </w:rPr>
            </w:pPr>
            <w:r>
              <w:rPr>
                <w:u w:val="none"/>
              </w:rPr>
              <w:t>1</w:t>
            </w:r>
          </w:p>
        </w:tc>
        <w:tc>
          <w:tcPr>
            <w:tcW w:w="537" w:type="pct"/>
            <w:noWrap w:val="0"/>
            <w:vAlign w:val="center"/>
          </w:tcPr>
          <w:p w14:paraId="42BEF51C">
            <w:pPr>
              <w:pStyle w:val="31"/>
              <w:bidi w:val="0"/>
              <w:rPr>
                <w:u w:val="none"/>
              </w:rPr>
            </w:pPr>
            <w:r>
              <w:rPr>
                <w:u w:val="none"/>
              </w:rPr>
              <w:t>干散货船</w:t>
            </w:r>
          </w:p>
        </w:tc>
        <w:tc>
          <w:tcPr>
            <w:tcW w:w="580" w:type="pct"/>
            <w:noWrap w:val="0"/>
            <w:vAlign w:val="center"/>
          </w:tcPr>
          <w:p w14:paraId="365D0213">
            <w:pPr>
              <w:pStyle w:val="31"/>
              <w:bidi w:val="0"/>
              <w:rPr>
                <w:rFonts w:hint="default" w:eastAsia="宋体"/>
                <w:u w:val="none"/>
                <w:lang w:val="en-US" w:eastAsia="zh-CN"/>
              </w:rPr>
            </w:pPr>
            <w:r>
              <w:rPr>
                <w:rFonts w:hint="eastAsia"/>
                <w:u w:val="none"/>
                <w:lang w:val="en-US" w:eastAsia="zh-CN"/>
              </w:rPr>
              <w:t>500~1000</w:t>
            </w:r>
          </w:p>
        </w:tc>
        <w:tc>
          <w:tcPr>
            <w:tcW w:w="509" w:type="pct"/>
            <w:noWrap w:val="0"/>
            <w:vAlign w:val="center"/>
          </w:tcPr>
          <w:p w14:paraId="4C56AA7C">
            <w:pPr>
              <w:pStyle w:val="31"/>
              <w:bidi w:val="0"/>
              <w:rPr>
                <w:rFonts w:hint="default" w:eastAsia="宋体"/>
                <w:u w:val="none"/>
                <w:lang w:val="en-US" w:eastAsia="zh-CN"/>
              </w:rPr>
            </w:pPr>
            <w:r>
              <w:rPr>
                <w:rFonts w:hint="eastAsia"/>
                <w:u w:val="none"/>
                <w:lang w:val="en-US" w:eastAsia="zh-CN"/>
              </w:rPr>
              <w:t>67.5</w:t>
            </w:r>
            <w:r>
              <w:rPr>
                <w:u w:val="none"/>
              </w:rPr>
              <w:t>-</w:t>
            </w:r>
            <w:r>
              <w:rPr>
                <w:rFonts w:hint="eastAsia"/>
                <w:u w:val="none"/>
                <w:lang w:val="en-US" w:eastAsia="zh-CN"/>
              </w:rPr>
              <w:t>85.0</w:t>
            </w:r>
          </w:p>
        </w:tc>
        <w:tc>
          <w:tcPr>
            <w:tcW w:w="535" w:type="pct"/>
            <w:noWrap w:val="0"/>
            <w:vAlign w:val="center"/>
          </w:tcPr>
          <w:p w14:paraId="04C2C7E8">
            <w:pPr>
              <w:pStyle w:val="31"/>
              <w:bidi w:val="0"/>
              <w:rPr>
                <w:rFonts w:hint="default" w:eastAsia="宋体"/>
                <w:u w:val="none"/>
                <w:lang w:val="en-US" w:eastAsia="zh-CN"/>
              </w:rPr>
            </w:pPr>
            <w:r>
              <w:rPr>
                <w:rFonts w:hint="eastAsia"/>
                <w:u w:val="none"/>
                <w:lang w:val="en-US" w:eastAsia="zh-CN"/>
              </w:rPr>
              <w:t>10.8~16.2</w:t>
            </w:r>
          </w:p>
        </w:tc>
        <w:tc>
          <w:tcPr>
            <w:tcW w:w="276" w:type="pct"/>
            <w:noWrap w:val="0"/>
            <w:vAlign w:val="center"/>
          </w:tcPr>
          <w:p w14:paraId="2B6374EF">
            <w:pPr>
              <w:pStyle w:val="31"/>
              <w:bidi w:val="0"/>
              <w:rPr>
                <w:u w:val="none"/>
              </w:rPr>
            </w:pPr>
            <w:r>
              <w:rPr>
                <w:u w:val="none"/>
              </w:rPr>
              <w:t>5.6</w:t>
            </w:r>
          </w:p>
        </w:tc>
        <w:tc>
          <w:tcPr>
            <w:tcW w:w="410" w:type="pct"/>
            <w:noWrap w:val="0"/>
            <w:vAlign w:val="center"/>
          </w:tcPr>
          <w:p w14:paraId="5DEE99A0">
            <w:pPr>
              <w:pStyle w:val="31"/>
              <w:bidi w:val="0"/>
              <w:rPr>
                <w:rFonts w:hint="default"/>
                <w:u w:val="none"/>
                <w:lang w:val="en-US" w:eastAsia="zh-CN"/>
              </w:rPr>
            </w:pPr>
            <w:r>
              <w:rPr>
                <w:rFonts w:hint="eastAsia"/>
                <w:u w:val="none"/>
                <w:lang w:val="en-US" w:eastAsia="zh-CN"/>
              </w:rPr>
              <w:t>1.6~2.0</w:t>
            </w:r>
          </w:p>
        </w:tc>
        <w:tc>
          <w:tcPr>
            <w:tcW w:w="537" w:type="pct"/>
            <w:noWrap w:val="0"/>
            <w:vAlign w:val="center"/>
          </w:tcPr>
          <w:p w14:paraId="1A43B2FB">
            <w:pPr>
              <w:pStyle w:val="31"/>
              <w:bidi w:val="0"/>
              <w:rPr>
                <w:rFonts w:hint="eastAsia" w:eastAsia="宋体"/>
                <w:u w:val="none"/>
                <w:lang w:val="en-US" w:eastAsia="zh-CN"/>
              </w:rPr>
            </w:pPr>
            <w:r>
              <w:rPr>
                <w:rFonts w:hint="eastAsia"/>
                <w:u w:val="none"/>
                <w:lang w:val="en-US" w:eastAsia="zh-CN"/>
              </w:rPr>
              <w:t>5</w:t>
            </w:r>
          </w:p>
        </w:tc>
        <w:tc>
          <w:tcPr>
            <w:tcW w:w="799" w:type="pct"/>
            <w:noWrap w:val="0"/>
            <w:vAlign w:val="center"/>
          </w:tcPr>
          <w:p w14:paraId="61372628">
            <w:pPr>
              <w:pStyle w:val="31"/>
              <w:bidi w:val="0"/>
              <w:rPr>
                <w:rFonts w:hint="default"/>
                <w:u w:val="none"/>
                <w:lang w:val="en-US" w:eastAsia="zh-CN"/>
              </w:rPr>
            </w:pPr>
            <w:r>
              <w:rPr>
                <w:rFonts w:hint="eastAsia"/>
                <w:u w:val="none"/>
                <w:lang w:val="en-US" w:eastAsia="zh-CN"/>
              </w:rPr>
              <w:t>120</w:t>
            </w:r>
          </w:p>
        </w:tc>
        <w:tc>
          <w:tcPr>
            <w:tcW w:w="537" w:type="pct"/>
            <w:noWrap w:val="0"/>
            <w:vAlign w:val="center"/>
          </w:tcPr>
          <w:p w14:paraId="28DA1D1A">
            <w:pPr>
              <w:pStyle w:val="31"/>
              <w:bidi w:val="0"/>
              <w:rPr>
                <w:rFonts w:hint="default" w:eastAsia="宋体"/>
                <w:u w:val="none"/>
                <w:lang w:val="en-US" w:eastAsia="zh-CN"/>
              </w:rPr>
            </w:pPr>
            <w:r>
              <w:rPr>
                <w:rFonts w:hint="eastAsia" w:eastAsia="宋体"/>
                <w:u w:val="none"/>
                <w:lang w:val="en-US" w:eastAsia="zh-CN"/>
              </w:rPr>
              <w:t>600</w:t>
            </w:r>
          </w:p>
        </w:tc>
      </w:tr>
      <w:tr w14:paraId="30C0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62D3B8D9">
            <w:pPr>
              <w:pStyle w:val="31"/>
              <w:bidi w:val="0"/>
              <w:rPr>
                <w:u w:val="none"/>
              </w:rPr>
            </w:pPr>
            <w:r>
              <w:rPr>
                <w:u w:val="none"/>
              </w:rPr>
              <w:t>2</w:t>
            </w:r>
          </w:p>
        </w:tc>
        <w:tc>
          <w:tcPr>
            <w:tcW w:w="537" w:type="pct"/>
            <w:noWrap w:val="0"/>
            <w:vAlign w:val="center"/>
          </w:tcPr>
          <w:p w14:paraId="24018C18">
            <w:pPr>
              <w:pStyle w:val="31"/>
              <w:bidi w:val="0"/>
              <w:rPr>
                <w:u w:val="none"/>
              </w:rPr>
            </w:pPr>
            <w:r>
              <w:rPr>
                <w:u w:val="none"/>
              </w:rPr>
              <w:t>自卸驳船</w:t>
            </w:r>
          </w:p>
        </w:tc>
        <w:tc>
          <w:tcPr>
            <w:tcW w:w="580" w:type="pct"/>
            <w:noWrap w:val="0"/>
            <w:vAlign w:val="center"/>
          </w:tcPr>
          <w:p w14:paraId="7CC193FA">
            <w:pPr>
              <w:pStyle w:val="31"/>
              <w:bidi w:val="0"/>
              <w:rPr>
                <w:rFonts w:hint="default" w:eastAsia="宋体"/>
                <w:u w:val="none"/>
                <w:lang w:val="en-US" w:eastAsia="zh-CN"/>
              </w:rPr>
            </w:pPr>
            <w:r>
              <w:rPr>
                <w:rFonts w:hint="eastAsia"/>
                <w:u w:val="none"/>
                <w:lang w:val="en-US" w:eastAsia="zh-CN"/>
              </w:rPr>
              <w:t>500~1000</w:t>
            </w:r>
          </w:p>
        </w:tc>
        <w:tc>
          <w:tcPr>
            <w:tcW w:w="509" w:type="pct"/>
            <w:shd w:val="clear" w:color="auto" w:fill="auto"/>
            <w:noWrap w:val="0"/>
            <w:vAlign w:val="center"/>
          </w:tcPr>
          <w:p w14:paraId="6C9B4ED6">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u w:val="none"/>
                <w:lang w:val="en-US" w:eastAsia="zh-CN"/>
              </w:rPr>
              <w:t>67.5</w:t>
            </w:r>
            <w:r>
              <w:rPr>
                <w:u w:val="none"/>
              </w:rPr>
              <w:t>-</w:t>
            </w:r>
            <w:r>
              <w:rPr>
                <w:rFonts w:hint="eastAsia"/>
                <w:u w:val="none"/>
                <w:lang w:val="en-US" w:eastAsia="zh-CN"/>
              </w:rPr>
              <w:t>85.0</w:t>
            </w:r>
          </w:p>
        </w:tc>
        <w:tc>
          <w:tcPr>
            <w:tcW w:w="535" w:type="pct"/>
            <w:shd w:val="clear" w:color="auto" w:fill="auto"/>
            <w:noWrap w:val="0"/>
            <w:vAlign w:val="center"/>
          </w:tcPr>
          <w:p w14:paraId="711E035E">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u w:val="none"/>
                <w:lang w:val="en-US" w:eastAsia="zh-CN"/>
              </w:rPr>
              <w:t>10.8~16.2</w:t>
            </w:r>
          </w:p>
        </w:tc>
        <w:tc>
          <w:tcPr>
            <w:tcW w:w="276" w:type="pct"/>
            <w:shd w:val="clear" w:color="auto" w:fill="auto"/>
            <w:noWrap w:val="0"/>
            <w:vAlign w:val="center"/>
          </w:tcPr>
          <w:p w14:paraId="58B73971">
            <w:pPr>
              <w:pStyle w:val="31"/>
              <w:bidi w:val="0"/>
              <w:ind w:firstLine="0" w:firstLineChars="0"/>
              <w:rPr>
                <w:rFonts w:ascii="Times New Roman" w:hAnsi="Times New Roman" w:eastAsia="宋体" w:cstheme="minorBidi"/>
                <w:kern w:val="2"/>
                <w:sz w:val="21"/>
                <w:szCs w:val="21"/>
                <w:u w:val="none"/>
                <w:lang w:val="en-US" w:eastAsia="zh-CN" w:bidi="ar-SA"/>
                <w14:ligatures w14:val="none"/>
              </w:rPr>
            </w:pPr>
            <w:r>
              <w:rPr>
                <w:u w:val="none"/>
              </w:rPr>
              <w:t>5.6</w:t>
            </w:r>
          </w:p>
        </w:tc>
        <w:tc>
          <w:tcPr>
            <w:tcW w:w="410" w:type="pct"/>
            <w:shd w:val="clear" w:color="auto" w:fill="auto"/>
            <w:noWrap w:val="0"/>
            <w:vAlign w:val="center"/>
          </w:tcPr>
          <w:p w14:paraId="4E624125">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u w:val="none"/>
                <w:lang w:val="en-US" w:eastAsia="zh-CN"/>
              </w:rPr>
              <w:t>1.6~2.0</w:t>
            </w:r>
          </w:p>
        </w:tc>
        <w:tc>
          <w:tcPr>
            <w:tcW w:w="537" w:type="pct"/>
            <w:noWrap w:val="0"/>
            <w:vAlign w:val="center"/>
          </w:tcPr>
          <w:p w14:paraId="5689497A">
            <w:pPr>
              <w:pStyle w:val="31"/>
              <w:bidi w:val="0"/>
              <w:rPr>
                <w:rFonts w:hint="default"/>
                <w:u w:val="none"/>
                <w:lang w:val="en-US" w:eastAsia="zh-CN"/>
              </w:rPr>
            </w:pPr>
            <w:r>
              <w:rPr>
                <w:rFonts w:hint="eastAsia"/>
                <w:u w:val="none"/>
                <w:lang w:val="en-US" w:eastAsia="zh-CN"/>
              </w:rPr>
              <w:t>5</w:t>
            </w:r>
          </w:p>
        </w:tc>
        <w:tc>
          <w:tcPr>
            <w:tcW w:w="799" w:type="pct"/>
            <w:noWrap w:val="0"/>
            <w:vAlign w:val="center"/>
          </w:tcPr>
          <w:p w14:paraId="549AEF78">
            <w:pPr>
              <w:pStyle w:val="31"/>
              <w:bidi w:val="0"/>
              <w:rPr>
                <w:rFonts w:hint="default"/>
                <w:u w:val="none"/>
                <w:lang w:val="en-US" w:eastAsia="zh-CN"/>
              </w:rPr>
            </w:pPr>
            <w:r>
              <w:rPr>
                <w:rFonts w:hint="eastAsia"/>
                <w:u w:val="none"/>
                <w:lang w:val="en-US" w:eastAsia="zh-CN"/>
              </w:rPr>
              <w:t>120</w:t>
            </w:r>
          </w:p>
        </w:tc>
        <w:tc>
          <w:tcPr>
            <w:tcW w:w="537" w:type="pct"/>
            <w:noWrap w:val="0"/>
            <w:vAlign w:val="center"/>
          </w:tcPr>
          <w:p w14:paraId="270CCF98">
            <w:pPr>
              <w:pStyle w:val="31"/>
              <w:bidi w:val="0"/>
              <w:rPr>
                <w:rFonts w:hint="default"/>
                <w:u w:val="none"/>
                <w:lang w:val="en-US" w:eastAsia="zh-CN"/>
              </w:rPr>
            </w:pPr>
            <w:r>
              <w:rPr>
                <w:rFonts w:hint="eastAsia"/>
                <w:u w:val="none"/>
                <w:lang w:val="en-US" w:eastAsia="zh-CN"/>
              </w:rPr>
              <w:t>600</w:t>
            </w:r>
          </w:p>
        </w:tc>
      </w:tr>
      <w:tr w14:paraId="007B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3BE3F306">
            <w:pPr>
              <w:pStyle w:val="31"/>
              <w:bidi w:val="0"/>
              <w:rPr>
                <w:u w:val="none"/>
              </w:rPr>
            </w:pPr>
            <w:r>
              <w:rPr>
                <w:u w:val="none"/>
              </w:rPr>
              <w:t>3</w:t>
            </w:r>
          </w:p>
        </w:tc>
        <w:tc>
          <w:tcPr>
            <w:tcW w:w="537" w:type="pct"/>
            <w:noWrap w:val="0"/>
            <w:vAlign w:val="center"/>
          </w:tcPr>
          <w:p w14:paraId="0C681032">
            <w:pPr>
              <w:pStyle w:val="31"/>
              <w:bidi w:val="0"/>
              <w:rPr>
                <w:u w:val="none"/>
              </w:rPr>
            </w:pPr>
            <w:r>
              <w:rPr>
                <w:u w:val="none"/>
              </w:rPr>
              <w:t>多用途船</w:t>
            </w:r>
          </w:p>
        </w:tc>
        <w:tc>
          <w:tcPr>
            <w:tcW w:w="580" w:type="pct"/>
            <w:noWrap w:val="0"/>
            <w:vAlign w:val="center"/>
          </w:tcPr>
          <w:p w14:paraId="4EC90C59">
            <w:pPr>
              <w:pStyle w:val="31"/>
              <w:bidi w:val="0"/>
              <w:rPr>
                <w:u w:val="none"/>
              </w:rPr>
            </w:pPr>
            <w:r>
              <w:rPr>
                <w:u w:val="none"/>
              </w:rPr>
              <w:t>400-1000</w:t>
            </w:r>
          </w:p>
        </w:tc>
        <w:tc>
          <w:tcPr>
            <w:tcW w:w="509" w:type="pct"/>
            <w:noWrap w:val="0"/>
            <w:vAlign w:val="center"/>
          </w:tcPr>
          <w:p w14:paraId="1041A127">
            <w:pPr>
              <w:pStyle w:val="31"/>
              <w:bidi w:val="0"/>
              <w:rPr>
                <w:u w:val="none"/>
              </w:rPr>
            </w:pPr>
            <w:r>
              <w:rPr>
                <w:u w:val="none"/>
              </w:rPr>
              <w:t>30-65</w:t>
            </w:r>
          </w:p>
        </w:tc>
        <w:tc>
          <w:tcPr>
            <w:tcW w:w="535" w:type="pct"/>
            <w:noWrap w:val="0"/>
            <w:vAlign w:val="center"/>
          </w:tcPr>
          <w:p w14:paraId="467F84D0">
            <w:pPr>
              <w:pStyle w:val="31"/>
              <w:bidi w:val="0"/>
              <w:rPr>
                <w:u w:val="none"/>
              </w:rPr>
            </w:pPr>
            <w:r>
              <w:rPr>
                <w:u w:val="none"/>
              </w:rPr>
              <w:t>8-15.8</w:t>
            </w:r>
          </w:p>
        </w:tc>
        <w:tc>
          <w:tcPr>
            <w:tcW w:w="276" w:type="pct"/>
            <w:noWrap w:val="0"/>
            <w:vAlign w:val="center"/>
          </w:tcPr>
          <w:p w14:paraId="7A887D47">
            <w:pPr>
              <w:pStyle w:val="31"/>
              <w:bidi w:val="0"/>
              <w:rPr>
                <w:u w:val="none"/>
              </w:rPr>
            </w:pPr>
            <w:r>
              <w:rPr>
                <w:u w:val="none"/>
              </w:rPr>
              <w:t>6.5</w:t>
            </w:r>
          </w:p>
        </w:tc>
        <w:tc>
          <w:tcPr>
            <w:tcW w:w="410" w:type="pct"/>
            <w:noWrap w:val="0"/>
            <w:vAlign w:val="center"/>
          </w:tcPr>
          <w:p w14:paraId="58466011">
            <w:pPr>
              <w:pStyle w:val="31"/>
              <w:bidi w:val="0"/>
              <w:rPr>
                <w:u w:val="none"/>
              </w:rPr>
            </w:pPr>
            <w:r>
              <w:rPr>
                <w:u w:val="none"/>
              </w:rPr>
              <w:t>5.2</w:t>
            </w:r>
          </w:p>
        </w:tc>
        <w:tc>
          <w:tcPr>
            <w:tcW w:w="537" w:type="pct"/>
            <w:noWrap w:val="0"/>
            <w:vAlign w:val="center"/>
          </w:tcPr>
          <w:p w14:paraId="215DC101">
            <w:pPr>
              <w:pStyle w:val="31"/>
              <w:bidi w:val="0"/>
              <w:rPr>
                <w:rFonts w:hint="default"/>
                <w:u w:val="none"/>
                <w:lang w:val="en-US" w:eastAsia="zh-CN"/>
              </w:rPr>
            </w:pPr>
            <w:r>
              <w:rPr>
                <w:rFonts w:hint="eastAsia"/>
                <w:u w:val="none"/>
                <w:lang w:val="en-US" w:eastAsia="zh-CN"/>
              </w:rPr>
              <w:t>10</w:t>
            </w:r>
          </w:p>
        </w:tc>
        <w:tc>
          <w:tcPr>
            <w:tcW w:w="799" w:type="pct"/>
            <w:noWrap w:val="0"/>
            <w:vAlign w:val="center"/>
          </w:tcPr>
          <w:p w14:paraId="3B64B17E">
            <w:pPr>
              <w:pStyle w:val="31"/>
              <w:bidi w:val="0"/>
              <w:rPr>
                <w:rFonts w:hint="default"/>
                <w:u w:val="none"/>
                <w:lang w:val="en-US" w:eastAsia="zh-CN"/>
              </w:rPr>
            </w:pPr>
            <w:r>
              <w:rPr>
                <w:rFonts w:hint="eastAsia"/>
                <w:u w:val="none"/>
                <w:lang w:val="en-US" w:eastAsia="zh-CN"/>
              </w:rPr>
              <w:t>210</w:t>
            </w:r>
          </w:p>
        </w:tc>
        <w:tc>
          <w:tcPr>
            <w:tcW w:w="537" w:type="pct"/>
            <w:noWrap w:val="0"/>
            <w:vAlign w:val="center"/>
          </w:tcPr>
          <w:p w14:paraId="51092D80">
            <w:pPr>
              <w:pStyle w:val="31"/>
              <w:bidi w:val="0"/>
              <w:rPr>
                <w:rFonts w:hint="default"/>
                <w:u w:val="none"/>
                <w:lang w:val="en-US" w:eastAsia="zh-CN"/>
              </w:rPr>
            </w:pPr>
            <w:r>
              <w:rPr>
                <w:rFonts w:hint="eastAsia"/>
                <w:u w:val="none"/>
                <w:lang w:val="en-US" w:eastAsia="zh-CN"/>
              </w:rPr>
              <w:t>2100</w:t>
            </w:r>
          </w:p>
        </w:tc>
      </w:tr>
      <w:tr w14:paraId="71B54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23226F4D">
            <w:pPr>
              <w:pStyle w:val="31"/>
              <w:bidi w:val="0"/>
              <w:rPr>
                <w:u w:val="none"/>
              </w:rPr>
            </w:pPr>
            <w:r>
              <w:rPr>
                <w:u w:val="none"/>
              </w:rPr>
              <w:t>4</w:t>
            </w:r>
          </w:p>
        </w:tc>
        <w:tc>
          <w:tcPr>
            <w:tcW w:w="537" w:type="pct"/>
            <w:noWrap w:val="0"/>
            <w:vAlign w:val="center"/>
          </w:tcPr>
          <w:p w14:paraId="6BD7CDB5">
            <w:pPr>
              <w:pStyle w:val="31"/>
              <w:bidi w:val="0"/>
              <w:rPr>
                <w:u w:val="none"/>
              </w:rPr>
            </w:pPr>
            <w:r>
              <w:rPr>
                <w:u w:val="none"/>
              </w:rPr>
              <w:t>公务船</w:t>
            </w:r>
          </w:p>
        </w:tc>
        <w:tc>
          <w:tcPr>
            <w:tcW w:w="580" w:type="pct"/>
            <w:noWrap w:val="0"/>
            <w:vAlign w:val="center"/>
          </w:tcPr>
          <w:p w14:paraId="25D2DE09">
            <w:pPr>
              <w:pStyle w:val="31"/>
              <w:bidi w:val="0"/>
              <w:rPr>
                <w:u w:val="none"/>
              </w:rPr>
            </w:pPr>
            <w:r>
              <w:rPr>
                <w:u w:val="none"/>
              </w:rPr>
              <w:t>20-50</w:t>
            </w:r>
          </w:p>
        </w:tc>
        <w:tc>
          <w:tcPr>
            <w:tcW w:w="509" w:type="pct"/>
            <w:noWrap w:val="0"/>
            <w:vAlign w:val="center"/>
          </w:tcPr>
          <w:p w14:paraId="6DFE7DE8">
            <w:pPr>
              <w:pStyle w:val="31"/>
              <w:bidi w:val="0"/>
              <w:rPr>
                <w:u w:val="none"/>
              </w:rPr>
            </w:pPr>
            <w:r>
              <w:rPr>
                <w:u w:val="none"/>
              </w:rPr>
              <w:t>10-22.3</w:t>
            </w:r>
          </w:p>
        </w:tc>
        <w:tc>
          <w:tcPr>
            <w:tcW w:w="535" w:type="pct"/>
            <w:noWrap w:val="0"/>
            <w:vAlign w:val="center"/>
          </w:tcPr>
          <w:p w14:paraId="4ABFFA89">
            <w:pPr>
              <w:pStyle w:val="31"/>
              <w:bidi w:val="0"/>
              <w:rPr>
                <w:u w:val="none"/>
              </w:rPr>
            </w:pPr>
            <w:r>
              <w:rPr>
                <w:u w:val="none"/>
              </w:rPr>
              <w:t>1.8-5.3</w:t>
            </w:r>
          </w:p>
        </w:tc>
        <w:tc>
          <w:tcPr>
            <w:tcW w:w="276" w:type="pct"/>
            <w:noWrap w:val="0"/>
            <w:vAlign w:val="center"/>
          </w:tcPr>
          <w:p w14:paraId="7289032E">
            <w:pPr>
              <w:pStyle w:val="31"/>
              <w:bidi w:val="0"/>
              <w:rPr>
                <w:u w:val="none"/>
              </w:rPr>
            </w:pPr>
            <w:r>
              <w:rPr>
                <w:u w:val="none"/>
              </w:rPr>
              <w:t>2</w:t>
            </w:r>
          </w:p>
        </w:tc>
        <w:tc>
          <w:tcPr>
            <w:tcW w:w="410" w:type="pct"/>
            <w:noWrap w:val="0"/>
            <w:vAlign w:val="center"/>
          </w:tcPr>
          <w:p w14:paraId="745C5472">
            <w:pPr>
              <w:pStyle w:val="31"/>
              <w:bidi w:val="0"/>
              <w:rPr>
                <w:u w:val="none"/>
              </w:rPr>
            </w:pPr>
            <w:r>
              <w:rPr>
                <w:u w:val="none"/>
              </w:rPr>
              <w:t>1.2</w:t>
            </w:r>
          </w:p>
        </w:tc>
        <w:tc>
          <w:tcPr>
            <w:tcW w:w="537" w:type="pct"/>
            <w:noWrap w:val="0"/>
            <w:vAlign w:val="center"/>
          </w:tcPr>
          <w:p w14:paraId="79CBDC61">
            <w:pPr>
              <w:pStyle w:val="31"/>
              <w:bidi w:val="0"/>
              <w:rPr>
                <w:rFonts w:hint="default" w:eastAsia="宋体"/>
                <w:u w:val="none"/>
                <w:lang w:val="en-US" w:eastAsia="zh-CN"/>
              </w:rPr>
            </w:pPr>
            <w:r>
              <w:rPr>
                <w:rFonts w:hint="eastAsia" w:eastAsia="宋体"/>
                <w:u w:val="none"/>
                <w:lang w:val="en-US" w:eastAsia="zh-CN"/>
              </w:rPr>
              <w:t>5</w:t>
            </w:r>
          </w:p>
        </w:tc>
        <w:tc>
          <w:tcPr>
            <w:tcW w:w="799" w:type="pct"/>
            <w:noWrap w:val="0"/>
            <w:vAlign w:val="center"/>
          </w:tcPr>
          <w:p w14:paraId="4582ADD8">
            <w:pPr>
              <w:pStyle w:val="31"/>
              <w:bidi w:val="0"/>
              <w:rPr>
                <w:rFonts w:hint="default"/>
                <w:u w:val="none"/>
                <w:lang w:val="en-US" w:eastAsia="zh-CN"/>
              </w:rPr>
            </w:pPr>
            <w:r>
              <w:rPr>
                <w:rFonts w:hint="eastAsia"/>
                <w:u w:val="none"/>
                <w:lang w:val="en-US" w:eastAsia="zh-CN"/>
              </w:rPr>
              <w:t>10</w:t>
            </w:r>
          </w:p>
        </w:tc>
        <w:tc>
          <w:tcPr>
            <w:tcW w:w="537" w:type="pct"/>
            <w:noWrap w:val="0"/>
            <w:vAlign w:val="center"/>
          </w:tcPr>
          <w:p w14:paraId="51774123">
            <w:pPr>
              <w:pStyle w:val="31"/>
              <w:bidi w:val="0"/>
              <w:rPr>
                <w:rFonts w:hint="default" w:eastAsia="宋体"/>
                <w:u w:val="none"/>
                <w:lang w:val="en-US" w:eastAsia="zh-CN"/>
              </w:rPr>
            </w:pPr>
            <w:r>
              <w:rPr>
                <w:rFonts w:hint="eastAsia" w:eastAsia="宋体"/>
                <w:u w:val="none"/>
                <w:lang w:val="en-US" w:eastAsia="zh-CN"/>
              </w:rPr>
              <w:t>50</w:t>
            </w:r>
          </w:p>
        </w:tc>
      </w:tr>
      <w:tr w14:paraId="4CC9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38656722">
            <w:pPr>
              <w:pStyle w:val="31"/>
              <w:bidi w:val="0"/>
              <w:rPr>
                <w:u w:val="none"/>
              </w:rPr>
            </w:pPr>
            <w:r>
              <w:rPr>
                <w:u w:val="none"/>
              </w:rPr>
              <w:t>5</w:t>
            </w:r>
          </w:p>
        </w:tc>
        <w:tc>
          <w:tcPr>
            <w:tcW w:w="537" w:type="pct"/>
            <w:shd w:val="clear" w:color="auto" w:fill="auto"/>
            <w:noWrap w:val="0"/>
            <w:vAlign w:val="center"/>
          </w:tcPr>
          <w:p w14:paraId="327B36E6">
            <w:pPr>
              <w:pStyle w:val="31"/>
              <w:bidi w:val="0"/>
              <w:rPr>
                <w:u w:val="none"/>
                <w:lang w:val="en-US" w:eastAsia="zh-CN"/>
              </w:rPr>
            </w:pPr>
            <w:r>
              <w:rPr>
                <w:u w:val="none"/>
              </w:rPr>
              <w:t>非标准渡船</w:t>
            </w:r>
          </w:p>
        </w:tc>
        <w:tc>
          <w:tcPr>
            <w:tcW w:w="580" w:type="pct"/>
            <w:shd w:val="clear" w:color="auto" w:fill="auto"/>
            <w:noWrap w:val="0"/>
            <w:vAlign w:val="center"/>
          </w:tcPr>
          <w:p w14:paraId="71C897E6">
            <w:pPr>
              <w:pStyle w:val="31"/>
              <w:bidi w:val="0"/>
              <w:rPr>
                <w:u w:val="none"/>
                <w:lang w:val="en-US" w:eastAsia="zh-CN"/>
              </w:rPr>
            </w:pPr>
            <w:r>
              <w:rPr>
                <w:u w:val="none"/>
              </w:rPr>
              <w:t>20-100</w:t>
            </w:r>
          </w:p>
        </w:tc>
        <w:tc>
          <w:tcPr>
            <w:tcW w:w="509" w:type="pct"/>
            <w:shd w:val="clear" w:color="auto" w:fill="auto"/>
            <w:noWrap w:val="0"/>
            <w:vAlign w:val="center"/>
          </w:tcPr>
          <w:p w14:paraId="2AE4EE2D">
            <w:pPr>
              <w:pStyle w:val="31"/>
              <w:bidi w:val="0"/>
              <w:rPr>
                <w:u w:val="none"/>
                <w:lang w:val="en-US" w:eastAsia="zh-CN"/>
              </w:rPr>
            </w:pPr>
            <w:r>
              <w:rPr>
                <w:u w:val="none"/>
              </w:rPr>
              <w:t>10-50</w:t>
            </w:r>
          </w:p>
        </w:tc>
        <w:tc>
          <w:tcPr>
            <w:tcW w:w="535" w:type="pct"/>
            <w:shd w:val="clear" w:color="auto" w:fill="auto"/>
            <w:noWrap w:val="0"/>
            <w:vAlign w:val="center"/>
          </w:tcPr>
          <w:p w14:paraId="2B32B461">
            <w:pPr>
              <w:pStyle w:val="31"/>
              <w:bidi w:val="0"/>
              <w:rPr>
                <w:u w:val="none"/>
                <w:lang w:val="en-US" w:eastAsia="zh-CN"/>
              </w:rPr>
            </w:pPr>
            <w:r>
              <w:rPr>
                <w:u w:val="none"/>
              </w:rPr>
              <w:t>1.8-10</w:t>
            </w:r>
          </w:p>
        </w:tc>
        <w:tc>
          <w:tcPr>
            <w:tcW w:w="276" w:type="pct"/>
            <w:shd w:val="clear" w:color="auto" w:fill="auto"/>
            <w:noWrap w:val="0"/>
            <w:vAlign w:val="center"/>
          </w:tcPr>
          <w:p w14:paraId="3DE62CEA">
            <w:pPr>
              <w:pStyle w:val="31"/>
              <w:bidi w:val="0"/>
              <w:rPr>
                <w:u w:val="none"/>
                <w:lang w:val="en-US" w:eastAsia="zh-CN"/>
              </w:rPr>
            </w:pPr>
            <w:r>
              <w:rPr>
                <w:u w:val="none"/>
              </w:rPr>
              <w:t>3.5</w:t>
            </w:r>
          </w:p>
        </w:tc>
        <w:tc>
          <w:tcPr>
            <w:tcW w:w="410" w:type="pct"/>
            <w:shd w:val="clear" w:color="auto" w:fill="auto"/>
            <w:noWrap w:val="0"/>
            <w:vAlign w:val="center"/>
          </w:tcPr>
          <w:p w14:paraId="560A9936">
            <w:pPr>
              <w:pStyle w:val="31"/>
              <w:bidi w:val="0"/>
              <w:rPr>
                <w:u w:val="none"/>
                <w:lang w:val="en-US" w:eastAsia="zh-CN"/>
              </w:rPr>
            </w:pPr>
            <w:r>
              <w:rPr>
                <w:u w:val="none"/>
              </w:rPr>
              <w:t>2</w:t>
            </w:r>
          </w:p>
        </w:tc>
        <w:tc>
          <w:tcPr>
            <w:tcW w:w="537" w:type="pct"/>
            <w:shd w:val="clear" w:color="auto" w:fill="auto"/>
            <w:noWrap w:val="0"/>
            <w:vAlign w:val="center"/>
          </w:tcPr>
          <w:p w14:paraId="39BB1D76">
            <w:pPr>
              <w:pStyle w:val="31"/>
              <w:bidi w:val="0"/>
              <w:rPr>
                <w:rFonts w:hint="default" w:eastAsia="宋体"/>
                <w:u w:val="none"/>
                <w:lang w:val="en-US" w:eastAsia="zh-CN"/>
              </w:rPr>
            </w:pPr>
            <w:r>
              <w:rPr>
                <w:rFonts w:hint="eastAsia" w:eastAsia="宋体"/>
                <w:u w:val="none"/>
                <w:lang w:val="en-US" w:eastAsia="zh-CN"/>
              </w:rPr>
              <w:t>5</w:t>
            </w:r>
          </w:p>
        </w:tc>
        <w:tc>
          <w:tcPr>
            <w:tcW w:w="799" w:type="pct"/>
            <w:shd w:val="clear" w:color="auto" w:fill="auto"/>
            <w:noWrap w:val="0"/>
            <w:vAlign w:val="center"/>
          </w:tcPr>
          <w:p w14:paraId="5C1668F7">
            <w:pPr>
              <w:pStyle w:val="31"/>
              <w:bidi w:val="0"/>
              <w:rPr>
                <w:rFonts w:hint="default"/>
                <w:u w:val="none"/>
                <w:lang w:val="en-US" w:eastAsia="zh-CN"/>
              </w:rPr>
            </w:pPr>
            <w:r>
              <w:rPr>
                <w:u w:val="none"/>
              </w:rPr>
              <w:t>18</w:t>
            </w:r>
          </w:p>
        </w:tc>
        <w:tc>
          <w:tcPr>
            <w:tcW w:w="537" w:type="pct"/>
            <w:noWrap w:val="0"/>
            <w:vAlign w:val="center"/>
          </w:tcPr>
          <w:p w14:paraId="276E7180">
            <w:pPr>
              <w:pStyle w:val="31"/>
              <w:bidi w:val="0"/>
              <w:rPr>
                <w:rFonts w:hint="default" w:eastAsia="宋体"/>
                <w:u w:val="none"/>
                <w:lang w:val="en-US" w:eastAsia="zh-CN"/>
              </w:rPr>
            </w:pPr>
            <w:r>
              <w:rPr>
                <w:rFonts w:hint="eastAsia" w:eastAsia="宋体"/>
                <w:u w:val="none"/>
                <w:lang w:val="en-US" w:eastAsia="zh-CN"/>
              </w:rPr>
              <w:t>90</w:t>
            </w:r>
          </w:p>
        </w:tc>
      </w:tr>
      <w:tr w14:paraId="4E6D0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jc w:val="center"/>
        </w:trPr>
        <w:tc>
          <w:tcPr>
            <w:tcW w:w="274" w:type="pct"/>
            <w:noWrap w:val="0"/>
            <w:vAlign w:val="center"/>
          </w:tcPr>
          <w:p w14:paraId="78403CFF">
            <w:pPr>
              <w:pStyle w:val="31"/>
              <w:bidi w:val="0"/>
              <w:rPr>
                <w:u w:val="none"/>
              </w:rPr>
            </w:pPr>
            <w:r>
              <w:rPr>
                <w:u w:val="none"/>
              </w:rPr>
              <w:t>6</w:t>
            </w:r>
          </w:p>
        </w:tc>
        <w:tc>
          <w:tcPr>
            <w:tcW w:w="2850" w:type="pct"/>
            <w:gridSpan w:val="6"/>
            <w:noWrap w:val="0"/>
            <w:vAlign w:val="center"/>
          </w:tcPr>
          <w:p w14:paraId="17F6AF0D">
            <w:pPr>
              <w:pStyle w:val="31"/>
              <w:bidi w:val="0"/>
              <w:rPr>
                <w:u w:val="none"/>
              </w:rPr>
            </w:pPr>
            <w:r>
              <w:rPr>
                <w:u w:val="none"/>
              </w:rPr>
              <w:t>合计</w:t>
            </w:r>
          </w:p>
        </w:tc>
        <w:tc>
          <w:tcPr>
            <w:tcW w:w="537" w:type="pct"/>
            <w:noWrap w:val="0"/>
            <w:vAlign w:val="center"/>
          </w:tcPr>
          <w:p w14:paraId="01D4572E">
            <w:pPr>
              <w:pStyle w:val="31"/>
              <w:bidi w:val="0"/>
              <w:rPr>
                <w:rFonts w:hint="default"/>
                <w:u w:val="none"/>
                <w:lang w:val="en-US" w:eastAsia="zh-CN"/>
              </w:rPr>
            </w:pPr>
          </w:p>
        </w:tc>
        <w:tc>
          <w:tcPr>
            <w:tcW w:w="799" w:type="pct"/>
            <w:noWrap w:val="0"/>
            <w:vAlign w:val="center"/>
          </w:tcPr>
          <w:p w14:paraId="11F22316">
            <w:pPr>
              <w:pStyle w:val="31"/>
              <w:bidi w:val="0"/>
              <w:rPr>
                <w:rFonts w:hint="default"/>
                <w:u w:val="none"/>
                <w:lang w:val="en-US" w:eastAsia="zh-CN"/>
              </w:rPr>
            </w:pPr>
            <w:r>
              <w:rPr>
                <w:rFonts w:hint="eastAsia"/>
                <w:u w:val="none"/>
                <w:lang w:val="en-US" w:eastAsia="zh-CN"/>
              </w:rPr>
              <w:t>/</w:t>
            </w:r>
          </w:p>
        </w:tc>
        <w:tc>
          <w:tcPr>
            <w:tcW w:w="537" w:type="pct"/>
            <w:noWrap w:val="0"/>
            <w:vAlign w:val="center"/>
          </w:tcPr>
          <w:p w14:paraId="05FF3D4E">
            <w:pPr>
              <w:pStyle w:val="31"/>
              <w:bidi w:val="0"/>
              <w:rPr>
                <w:rFonts w:hint="default"/>
                <w:u w:val="none"/>
                <w:lang w:val="en-US" w:eastAsia="zh-CN"/>
              </w:rPr>
            </w:pPr>
            <w:r>
              <w:rPr>
                <w:rFonts w:hint="eastAsia"/>
                <w:u w:val="none"/>
                <w:lang w:val="en-US" w:eastAsia="zh-CN"/>
              </w:rPr>
              <w:t>3440</w:t>
            </w:r>
          </w:p>
        </w:tc>
      </w:tr>
    </w:tbl>
    <w:p w14:paraId="10AA0337">
      <w:pPr>
        <w:pStyle w:val="21"/>
        <w:rPr>
          <w:rFonts w:hint="default"/>
          <w:lang w:val="en-US" w:eastAsia="zh-CN"/>
        </w:rPr>
      </w:pPr>
      <w:r>
        <w:rPr>
          <w:rFonts w:hint="default"/>
          <w:lang w:val="en-US" w:eastAsia="zh-CN"/>
        </w:rPr>
        <w:t>船舶拆解后可得到的产物如下：</w:t>
      </w:r>
    </w:p>
    <w:p w14:paraId="2364EABF">
      <w:pPr>
        <w:pStyle w:val="23"/>
        <w:bidi w:val="0"/>
        <w:rPr>
          <w:rFonts w:hint="eastAsia"/>
          <w:lang w:val="en-US" w:eastAsia="zh-CN"/>
        </w:rPr>
      </w:pPr>
      <w:r>
        <w:rPr>
          <w:rFonts w:hint="eastAsia"/>
          <w:lang w:val="en-US" w:eastAsia="zh-CN"/>
        </w:rPr>
        <w:t>表3.2-4  船舶拆解产物一览表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3454"/>
        <w:gridCol w:w="1975"/>
        <w:gridCol w:w="2359"/>
      </w:tblGrid>
      <w:tr w14:paraId="237A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560A452">
            <w:pPr>
              <w:pStyle w:val="31"/>
              <w:bidi w:val="0"/>
              <w:rPr>
                <w:u w:val="none"/>
              </w:rPr>
            </w:pPr>
            <w:r>
              <w:rPr>
                <w:u w:val="none"/>
              </w:rPr>
              <w:t>序号</w:t>
            </w:r>
          </w:p>
        </w:tc>
        <w:tc>
          <w:tcPr>
            <w:tcW w:w="2027" w:type="pct"/>
            <w:noWrap w:val="0"/>
            <w:vAlign w:val="top"/>
          </w:tcPr>
          <w:p w14:paraId="6FFBEAC1">
            <w:pPr>
              <w:pStyle w:val="31"/>
              <w:bidi w:val="0"/>
              <w:rPr>
                <w:u w:val="none"/>
              </w:rPr>
            </w:pPr>
            <w:r>
              <w:rPr>
                <w:u w:val="none"/>
              </w:rPr>
              <w:t>可外售物品（产品）名称</w:t>
            </w:r>
          </w:p>
        </w:tc>
        <w:tc>
          <w:tcPr>
            <w:tcW w:w="1159" w:type="pct"/>
            <w:noWrap w:val="0"/>
            <w:vAlign w:val="top"/>
          </w:tcPr>
          <w:p w14:paraId="11EA67AB">
            <w:pPr>
              <w:pStyle w:val="31"/>
              <w:bidi w:val="0"/>
              <w:rPr>
                <w:rFonts w:hint="default" w:eastAsia="宋体"/>
                <w:u w:val="none"/>
                <w:lang w:val="en-US" w:eastAsia="zh-CN"/>
              </w:rPr>
            </w:pPr>
            <w:r>
              <w:rPr>
                <w:rFonts w:hint="eastAsia"/>
                <w:u w:val="none"/>
                <w:lang w:val="en-US" w:eastAsia="zh-CN"/>
              </w:rPr>
              <w:t>占总产品比例%</w:t>
            </w:r>
          </w:p>
        </w:tc>
        <w:tc>
          <w:tcPr>
            <w:tcW w:w="1384" w:type="pct"/>
            <w:noWrap w:val="0"/>
            <w:vAlign w:val="top"/>
          </w:tcPr>
          <w:p w14:paraId="63C44859">
            <w:pPr>
              <w:pStyle w:val="31"/>
              <w:bidi w:val="0"/>
              <w:rPr>
                <w:rFonts w:hint="default"/>
                <w:u w:val="none"/>
                <w:lang w:val="en-US" w:eastAsia="zh-CN"/>
              </w:rPr>
            </w:pPr>
            <w:r>
              <w:rPr>
                <w:rFonts w:hint="eastAsia"/>
                <w:u w:val="none"/>
                <w:lang w:val="en-US" w:eastAsia="zh-CN"/>
              </w:rPr>
              <w:t>本项目产生量t</w:t>
            </w:r>
          </w:p>
        </w:tc>
      </w:tr>
      <w:tr w14:paraId="119D1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C31020A">
            <w:pPr>
              <w:pStyle w:val="31"/>
              <w:bidi w:val="0"/>
              <w:rPr>
                <w:u w:val="none"/>
              </w:rPr>
            </w:pPr>
            <w:r>
              <w:rPr>
                <w:u w:val="none"/>
              </w:rPr>
              <w:t>1</w:t>
            </w:r>
          </w:p>
        </w:tc>
        <w:tc>
          <w:tcPr>
            <w:tcW w:w="2027" w:type="pct"/>
            <w:noWrap w:val="0"/>
            <w:vAlign w:val="center"/>
          </w:tcPr>
          <w:p w14:paraId="3FB49843">
            <w:pPr>
              <w:pStyle w:val="31"/>
              <w:bidi w:val="0"/>
              <w:rPr>
                <w:u w:val="none"/>
              </w:rPr>
            </w:pPr>
            <w:r>
              <w:rPr>
                <w:u w:val="none"/>
              </w:rPr>
              <w:t>钢板、钢材碎料及铁锈铁渣等</w:t>
            </w:r>
          </w:p>
        </w:tc>
        <w:tc>
          <w:tcPr>
            <w:tcW w:w="1159" w:type="pct"/>
            <w:noWrap w:val="0"/>
            <w:vAlign w:val="center"/>
          </w:tcPr>
          <w:p w14:paraId="60DB9AC3">
            <w:pPr>
              <w:pStyle w:val="31"/>
              <w:bidi w:val="0"/>
              <w:rPr>
                <w:rFonts w:hint="default" w:eastAsia="宋体"/>
                <w:u w:val="none"/>
                <w:lang w:val="en-US" w:eastAsia="zh-CN"/>
              </w:rPr>
            </w:pPr>
            <w:r>
              <w:rPr>
                <w:rFonts w:hint="eastAsia"/>
                <w:u w:val="none"/>
                <w:lang w:val="en-US" w:eastAsia="zh-CN"/>
              </w:rPr>
              <w:t>85</w:t>
            </w:r>
          </w:p>
        </w:tc>
        <w:tc>
          <w:tcPr>
            <w:tcW w:w="1384" w:type="pct"/>
            <w:noWrap w:val="0"/>
            <w:vAlign w:val="center"/>
          </w:tcPr>
          <w:p w14:paraId="53374571">
            <w:pPr>
              <w:pStyle w:val="31"/>
              <w:bidi w:val="0"/>
              <w:rPr>
                <w:rFonts w:hint="default" w:eastAsia="宋体"/>
                <w:u w:val="none"/>
                <w:lang w:val="en-US" w:eastAsia="zh-CN"/>
              </w:rPr>
            </w:pPr>
            <w:r>
              <w:rPr>
                <w:rFonts w:hint="eastAsia"/>
                <w:u w:val="none"/>
                <w:lang w:val="en-US" w:eastAsia="zh-CN"/>
              </w:rPr>
              <w:t>2923.21</w:t>
            </w:r>
          </w:p>
        </w:tc>
      </w:tr>
      <w:tr w14:paraId="4592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75B4B2D6">
            <w:pPr>
              <w:pStyle w:val="31"/>
              <w:bidi w:val="0"/>
              <w:rPr>
                <w:u w:val="none"/>
              </w:rPr>
            </w:pPr>
            <w:r>
              <w:rPr>
                <w:u w:val="none"/>
              </w:rPr>
              <w:t>2</w:t>
            </w:r>
          </w:p>
        </w:tc>
        <w:tc>
          <w:tcPr>
            <w:tcW w:w="2027" w:type="pct"/>
            <w:noWrap w:val="0"/>
            <w:vAlign w:val="center"/>
          </w:tcPr>
          <w:p w14:paraId="13C9B0D1">
            <w:pPr>
              <w:pStyle w:val="31"/>
              <w:bidi w:val="0"/>
              <w:rPr>
                <w:u w:val="none"/>
              </w:rPr>
            </w:pPr>
            <w:r>
              <w:rPr>
                <w:u w:val="none"/>
              </w:rPr>
              <w:t>木材家具</w:t>
            </w:r>
          </w:p>
        </w:tc>
        <w:tc>
          <w:tcPr>
            <w:tcW w:w="1159" w:type="pct"/>
            <w:noWrap w:val="0"/>
            <w:vAlign w:val="center"/>
          </w:tcPr>
          <w:p w14:paraId="7C738722">
            <w:pPr>
              <w:pStyle w:val="31"/>
              <w:bidi w:val="0"/>
              <w:rPr>
                <w:rFonts w:hint="default" w:eastAsia="宋体"/>
                <w:u w:val="none"/>
                <w:lang w:val="en-US" w:eastAsia="zh-CN"/>
              </w:rPr>
            </w:pPr>
            <w:r>
              <w:rPr>
                <w:rFonts w:hint="eastAsia"/>
                <w:u w:val="none"/>
                <w:lang w:val="en-US" w:eastAsia="zh-CN"/>
              </w:rPr>
              <w:t>0.75</w:t>
            </w:r>
          </w:p>
        </w:tc>
        <w:tc>
          <w:tcPr>
            <w:tcW w:w="1384" w:type="pct"/>
            <w:noWrap w:val="0"/>
            <w:vAlign w:val="center"/>
          </w:tcPr>
          <w:p w14:paraId="3160510B">
            <w:pPr>
              <w:pStyle w:val="31"/>
              <w:bidi w:val="0"/>
              <w:rPr>
                <w:rFonts w:hint="default" w:eastAsia="宋体"/>
                <w:u w:val="none"/>
                <w:lang w:val="en-US" w:eastAsia="zh-CN"/>
              </w:rPr>
            </w:pPr>
            <w:r>
              <w:rPr>
                <w:rFonts w:hint="eastAsia"/>
                <w:u w:val="none"/>
                <w:lang w:val="en-US" w:eastAsia="zh-CN"/>
              </w:rPr>
              <w:t>25.79</w:t>
            </w:r>
          </w:p>
        </w:tc>
      </w:tr>
      <w:tr w14:paraId="76264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0FD6B2FF">
            <w:pPr>
              <w:pStyle w:val="31"/>
              <w:bidi w:val="0"/>
              <w:rPr>
                <w:u w:val="none"/>
              </w:rPr>
            </w:pPr>
            <w:r>
              <w:rPr>
                <w:u w:val="none"/>
              </w:rPr>
              <w:t>3</w:t>
            </w:r>
          </w:p>
        </w:tc>
        <w:tc>
          <w:tcPr>
            <w:tcW w:w="2027" w:type="pct"/>
            <w:noWrap w:val="0"/>
            <w:vAlign w:val="center"/>
          </w:tcPr>
          <w:p w14:paraId="6BEF2088">
            <w:pPr>
              <w:pStyle w:val="31"/>
              <w:bidi w:val="0"/>
              <w:rPr>
                <w:u w:val="none"/>
              </w:rPr>
            </w:pPr>
            <w:r>
              <w:rPr>
                <w:u w:val="none"/>
              </w:rPr>
              <w:t>有色金属（含螺旋桨铜、铝碎料、铜碎料等）</w:t>
            </w:r>
          </w:p>
        </w:tc>
        <w:tc>
          <w:tcPr>
            <w:tcW w:w="1159" w:type="pct"/>
            <w:noWrap w:val="0"/>
            <w:vAlign w:val="center"/>
          </w:tcPr>
          <w:p w14:paraId="58F54EFB">
            <w:pPr>
              <w:pStyle w:val="31"/>
              <w:bidi w:val="0"/>
              <w:rPr>
                <w:rFonts w:hint="default" w:eastAsia="宋体"/>
                <w:u w:val="none"/>
                <w:lang w:val="en-US" w:eastAsia="zh-CN"/>
              </w:rPr>
            </w:pPr>
            <w:r>
              <w:rPr>
                <w:rFonts w:hint="eastAsia"/>
                <w:u w:val="none"/>
                <w:lang w:val="en-US" w:eastAsia="zh-CN"/>
              </w:rPr>
              <w:t>1.25</w:t>
            </w:r>
          </w:p>
        </w:tc>
        <w:tc>
          <w:tcPr>
            <w:tcW w:w="1384" w:type="pct"/>
            <w:noWrap w:val="0"/>
            <w:vAlign w:val="center"/>
          </w:tcPr>
          <w:p w14:paraId="5FD0188D">
            <w:pPr>
              <w:pStyle w:val="31"/>
              <w:bidi w:val="0"/>
              <w:rPr>
                <w:rFonts w:hint="default" w:eastAsia="宋体"/>
                <w:u w:val="none"/>
                <w:lang w:val="en-US" w:eastAsia="zh-CN"/>
              </w:rPr>
            </w:pPr>
            <w:r>
              <w:rPr>
                <w:rFonts w:hint="eastAsia"/>
                <w:u w:val="none"/>
                <w:lang w:val="en-US" w:eastAsia="zh-CN"/>
              </w:rPr>
              <w:t>42.99</w:t>
            </w:r>
          </w:p>
        </w:tc>
      </w:tr>
      <w:tr w14:paraId="3E729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B7F7FA9">
            <w:pPr>
              <w:pStyle w:val="31"/>
              <w:bidi w:val="0"/>
              <w:rPr>
                <w:u w:val="none"/>
              </w:rPr>
            </w:pPr>
            <w:r>
              <w:rPr>
                <w:u w:val="none"/>
              </w:rPr>
              <w:t>4</w:t>
            </w:r>
          </w:p>
        </w:tc>
        <w:tc>
          <w:tcPr>
            <w:tcW w:w="2027" w:type="pct"/>
            <w:noWrap w:val="0"/>
            <w:vAlign w:val="center"/>
          </w:tcPr>
          <w:p w14:paraId="7E3B154C">
            <w:pPr>
              <w:pStyle w:val="31"/>
              <w:bidi w:val="0"/>
              <w:rPr>
                <w:u w:val="none"/>
              </w:rPr>
            </w:pPr>
            <w:r>
              <w:rPr>
                <w:u w:val="none"/>
              </w:rPr>
              <w:t>电线电缆</w:t>
            </w:r>
          </w:p>
        </w:tc>
        <w:tc>
          <w:tcPr>
            <w:tcW w:w="1159" w:type="pct"/>
            <w:noWrap w:val="0"/>
            <w:vAlign w:val="center"/>
          </w:tcPr>
          <w:p w14:paraId="239348CD">
            <w:pPr>
              <w:pStyle w:val="31"/>
              <w:bidi w:val="0"/>
              <w:rPr>
                <w:rFonts w:hint="default" w:eastAsia="宋体"/>
                <w:u w:val="none"/>
                <w:lang w:val="en-US" w:eastAsia="zh-CN"/>
              </w:rPr>
            </w:pPr>
            <w:r>
              <w:rPr>
                <w:rFonts w:hint="eastAsia"/>
                <w:u w:val="none"/>
                <w:lang w:val="en-US" w:eastAsia="zh-CN"/>
              </w:rPr>
              <w:t>0.50</w:t>
            </w:r>
          </w:p>
        </w:tc>
        <w:tc>
          <w:tcPr>
            <w:tcW w:w="1384" w:type="pct"/>
            <w:noWrap w:val="0"/>
            <w:vAlign w:val="center"/>
          </w:tcPr>
          <w:p w14:paraId="3FC45A24">
            <w:pPr>
              <w:pStyle w:val="31"/>
              <w:bidi w:val="0"/>
              <w:rPr>
                <w:rFonts w:hint="default" w:eastAsia="宋体"/>
                <w:u w:val="none"/>
                <w:lang w:val="en-US" w:eastAsia="zh-CN"/>
              </w:rPr>
            </w:pPr>
            <w:r>
              <w:rPr>
                <w:rFonts w:hint="eastAsia"/>
                <w:u w:val="none"/>
                <w:lang w:val="en-US" w:eastAsia="zh-CN"/>
              </w:rPr>
              <w:t>17.20</w:t>
            </w:r>
          </w:p>
        </w:tc>
      </w:tr>
      <w:tr w14:paraId="7B7B3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0AB62681">
            <w:pPr>
              <w:pStyle w:val="31"/>
              <w:bidi w:val="0"/>
              <w:rPr>
                <w:u w:val="none"/>
              </w:rPr>
            </w:pPr>
            <w:r>
              <w:rPr>
                <w:u w:val="none"/>
              </w:rPr>
              <w:t>5</w:t>
            </w:r>
          </w:p>
        </w:tc>
        <w:tc>
          <w:tcPr>
            <w:tcW w:w="2027" w:type="pct"/>
            <w:noWrap w:val="0"/>
            <w:vAlign w:val="center"/>
          </w:tcPr>
          <w:p w14:paraId="05A48635">
            <w:pPr>
              <w:pStyle w:val="31"/>
              <w:bidi w:val="0"/>
              <w:rPr>
                <w:u w:val="none"/>
              </w:rPr>
            </w:pPr>
            <w:r>
              <w:rPr>
                <w:u w:val="none"/>
              </w:rPr>
              <w:t>机械设备及仪器仪表（起货机、绞缆机、起重机、机修设备、主机、发电机组、通讯导航仪器、水泵等）</w:t>
            </w:r>
          </w:p>
        </w:tc>
        <w:tc>
          <w:tcPr>
            <w:tcW w:w="1159" w:type="pct"/>
            <w:noWrap w:val="0"/>
            <w:vAlign w:val="center"/>
          </w:tcPr>
          <w:p w14:paraId="3BC4EC2D">
            <w:pPr>
              <w:pStyle w:val="31"/>
              <w:bidi w:val="0"/>
              <w:rPr>
                <w:rFonts w:hint="default" w:eastAsia="宋体"/>
                <w:u w:val="none"/>
                <w:lang w:val="en-US" w:eastAsia="zh-CN"/>
              </w:rPr>
            </w:pPr>
            <w:r>
              <w:rPr>
                <w:rFonts w:hint="eastAsia"/>
                <w:u w:val="none"/>
                <w:lang w:val="en-US" w:eastAsia="zh-CN"/>
              </w:rPr>
              <w:t>12.5</w:t>
            </w:r>
          </w:p>
        </w:tc>
        <w:tc>
          <w:tcPr>
            <w:tcW w:w="1384" w:type="pct"/>
            <w:noWrap w:val="0"/>
            <w:vAlign w:val="center"/>
          </w:tcPr>
          <w:p w14:paraId="26498BDE">
            <w:pPr>
              <w:pStyle w:val="31"/>
              <w:bidi w:val="0"/>
              <w:rPr>
                <w:rFonts w:hint="default" w:eastAsia="宋体"/>
                <w:u w:val="none"/>
                <w:lang w:val="en-US" w:eastAsia="zh-CN"/>
              </w:rPr>
            </w:pPr>
            <w:r>
              <w:rPr>
                <w:rFonts w:hint="eastAsia"/>
                <w:u w:val="none"/>
                <w:lang w:val="en-US" w:eastAsia="zh-CN"/>
              </w:rPr>
              <w:t>429.88</w:t>
            </w:r>
          </w:p>
        </w:tc>
      </w:tr>
      <w:tr w14:paraId="03906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5" w:type="pct"/>
            <w:gridSpan w:val="3"/>
            <w:noWrap w:val="0"/>
            <w:vAlign w:val="center"/>
          </w:tcPr>
          <w:p w14:paraId="159D6222">
            <w:pPr>
              <w:pStyle w:val="31"/>
              <w:bidi w:val="0"/>
              <w:rPr>
                <w:rFonts w:hint="eastAsia"/>
                <w:u w:val="none"/>
                <w:lang w:val="en-US" w:eastAsia="zh-CN"/>
              </w:rPr>
            </w:pPr>
            <w:r>
              <w:rPr>
                <w:rFonts w:hint="eastAsia"/>
                <w:u w:val="none"/>
                <w:lang w:val="en-US" w:eastAsia="zh-CN"/>
              </w:rPr>
              <w:t>合计</w:t>
            </w:r>
          </w:p>
        </w:tc>
        <w:tc>
          <w:tcPr>
            <w:tcW w:w="1384" w:type="pct"/>
            <w:noWrap w:val="0"/>
            <w:vAlign w:val="center"/>
          </w:tcPr>
          <w:p w14:paraId="0924B467">
            <w:pPr>
              <w:pStyle w:val="31"/>
              <w:bidi w:val="0"/>
              <w:rPr>
                <w:rFonts w:hint="default"/>
                <w:u w:val="none"/>
                <w:lang w:val="en-US" w:eastAsia="zh-CN"/>
              </w:rPr>
            </w:pPr>
            <w:r>
              <w:rPr>
                <w:rFonts w:hint="eastAsia"/>
                <w:u w:val="none"/>
                <w:lang w:val="en-US" w:eastAsia="zh-CN"/>
              </w:rPr>
              <w:t>3439.07</w:t>
            </w:r>
          </w:p>
        </w:tc>
      </w:tr>
    </w:tbl>
    <w:p w14:paraId="63C75D38">
      <w:pPr>
        <w:pStyle w:val="21"/>
        <w:rPr>
          <w:rFonts w:hint="eastAsia"/>
          <w:lang w:val="en-US" w:eastAsia="zh-CN"/>
        </w:rPr>
      </w:pPr>
      <w:r>
        <w:rPr>
          <w:rFonts w:hint="eastAsia"/>
          <w:lang w:val="en-US" w:eastAsia="zh-CN"/>
        </w:rPr>
        <w:t>注：上表中产品依据《排污许可证申请与核发技术规范 废弃资源加工工业》（HJ 1034-2019）中“4.9.1.4产品名称 钢板、钢铁碎料、螺旋桨铜、铝碎料、铜碎料、电线电缆、木材家具、机械设备及仪器仪表（如起货机、绞缆机、起重机、机修设备、主机、发电机组、通讯导航仪器等）等。”</w:t>
      </w:r>
    </w:p>
    <w:p w14:paraId="5D9CEDA6">
      <w:pPr>
        <w:pStyle w:val="21"/>
        <w:rPr>
          <w:rFonts w:hint="default"/>
          <w:lang w:val="en-US" w:eastAsia="zh-CN"/>
        </w:rPr>
      </w:pPr>
      <w:r>
        <w:rPr>
          <w:rFonts w:hint="default"/>
          <w:lang w:val="en-US" w:eastAsia="zh-CN"/>
        </w:rPr>
        <w:t>拆解后的产物规格需小于货运车辆集装箱的规格，</w:t>
      </w:r>
      <w:r>
        <w:rPr>
          <w:rFonts w:hint="eastAsia"/>
          <w:lang w:val="en-US" w:eastAsia="zh-CN"/>
        </w:rPr>
        <w:t>拆解产物临时堆存在自建房的坪地</w:t>
      </w:r>
      <w:r>
        <w:rPr>
          <w:rFonts w:hint="default"/>
          <w:lang w:val="en-US" w:eastAsia="zh-CN"/>
        </w:rPr>
        <w:t>，及时通过货车运走，不在厂区内长时间暂存。</w:t>
      </w:r>
    </w:p>
    <w:p w14:paraId="5CE71278">
      <w:pPr>
        <w:pStyle w:val="33"/>
      </w:pPr>
      <w:bookmarkStart w:id="96" w:name="_Toc31352"/>
      <w:r>
        <w:rPr>
          <w:rFonts w:hint="eastAsia"/>
        </w:rPr>
        <w:t>3.</w:t>
      </w:r>
      <w:r>
        <w:rPr>
          <w:rFonts w:hint="eastAsia"/>
          <w:lang w:val="en-US" w:eastAsia="zh-CN"/>
        </w:rPr>
        <w:t>2</w:t>
      </w:r>
      <w:r>
        <w:rPr>
          <w:rFonts w:hint="eastAsia"/>
        </w:rPr>
        <w:t>.4主要原辅材料</w:t>
      </w:r>
      <w:bookmarkEnd w:id="96"/>
    </w:p>
    <w:p w14:paraId="63FE3022">
      <w:pPr>
        <w:pStyle w:val="21"/>
        <w:ind w:firstLine="480"/>
        <w:rPr>
          <w:rFonts w:hint="eastAsia"/>
          <w:lang w:val="en-US" w:eastAsia="zh-CN"/>
        </w:rPr>
      </w:pPr>
      <w:r>
        <w:rPr>
          <w:rFonts w:hint="eastAsia"/>
          <w:lang w:val="en-US" w:eastAsia="zh-CN"/>
        </w:rPr>
        <w:t>本次扩建不改变船舶维修规模及工艺，船舶维修原辅材料详见表3.1-5，本次扩建新增船舶拆解原辅材料消耗情况如下：</w:t>
      </w:r>
    </w:p>
    <w:p w14:paraId="7A92A592">
      <w:pPr>
        <w:pStyle w:val="23"/>
        <w:bidi w:val="0"/>
        <w:rPr>
          <w:rFonts w:hint="eastAsia"/>
          <w:lang w:val="en-US" w:eastAsia="zh-CN"/>
        </w:rPr>
      </w:pPr>
      <w:r>
        <w:rPr>
          <w:rFonts w:hint="eastAsia"/>
          <w:lang w:val="en-US" w:eastAsia="zh-CN"/>
        </w:rPr>
        <w:t>表3.2-5  船舶拆解原辅材料使用清单</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154"/>
        <w:gridCol w:w="927"/>
        <w:gridCol w:w="1154"/>
        <w:gridCol w:w="1842"/>
        <w:gridCol w:w="2750"/>
      </w:tblGrid>
      <w:tr w14:paraId="76DCB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401D61DB">
            <w:pPr>
              <w:pStyle w:val="31"/>
            </w:pPr>
            <w:r>
              <w:rPr>
                <w:rFonts w:hint="eastAsia"/>
              </w:rPr>
              <w:t>序号</w:t>
            </w:r>
          </w:p>
        </w:tc>
        <w:tc>
          <w:tcPr>
            <w:tcW w:w="677" w:type="pct"/>
            <w:vAlign w:val="center"/>
          </w:tcPr>
          <w:p w14:paraId="423FF057">
            <w:pPr>
              <w:pStyle w:val="31"/>
            </w:pPr>
            <w:r>
              <w:rPr>
                <w:rFonts w:hint="eastAsia"/>
              </w:rPr>
              <w:t>名称</w:t>
            </w:r>
          </w:p>
        </w:tc>
        <w:tc>
          <w:tcPr>
            <w:tcW w:w="544" w:type="pct"/>
            <w:shd w:val="clear" w:color="auto" w:fill="auto"/>
            <w:vAlign w:val="center"/>
          </w:tcPr>
          <w:p w14:paraId="29F41505">
            <w:pPr>
              <w:pStyle w:val="31"/>
            </w:pPr>
            <w:r>
              <w:rPr>
                <w:rFonts w:hint="eastAsia"/>
              </w:rPr>
              <w:t>单位</w:t>
            </w:r>
          </w:p>
        </w:tc>
        <w:tc>
          <w:tcPr>
            <w:tcW w:w="677" w:type="pct"/>
            <w:shd w:val="clear" w:color="auto" w:fill="auto"/>
            <w:vAlign w:val="center"/>
          </w:tcPr>
          <w:p w14:paraId="13D72B60">
            <w:pPr>
              <w:pStyle w:val="31"/>
            </w:pPr>
            <w:r>
              <w:rPr>
                <w:rFonts w:hint="eastAsia"/>
              </w:rPr>
              <w:t>年使用量</w:t>
            </w:r>
          </w:p>
        </w:tc>
        <w:tc>
          <w:tcPr>
            <w:tcW w:w="1081" w:type="pct"/>
            <w:vAlign w:val="center"/>
          </w:tcPr>
          <w:p w14:paraId="40A7AB16">
            <w:pPr>
              <w:pStyle w:val="31"/>
            </w:pPr>
            <w:r>
              <w:rPr>
                <w:rFonts w:hint="eastAsia"/>
              </w:rPr>
              <w:t>厂区最大暂存量</w:t>
            </w:r>
          </w:p>
        </w:tc>
        <w:tc>
          <w:tcPr>
            <w:tcW w:w="1613" w:type="pct"/>
            <w:shd w:val="clear" w:color="auto" w:fill="auto"/>
            <w:vAlign w:val="center"/>
          </w:tcPr>
          <w:p w14:paraId="7B5B4115">
            <w:pPr>
              <w:pStyle w:val="31"/>
            </w:pPr>
            <w:r>
              <w:rPr>
                <w:rFonts w:hint="eastAsia"/>
              </w:rPr>
              <w:t>备注</w:t>
            </w:r>
          </w:p>
        </w:tc>
      </w:tr>
      <w:tr w14:paraId="43D32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0C792A95">
            <w:pPr>
              <w:pStyle w:val="31"/>
            </w:pPr>
            <w:r>
              <w:rPr>
                <w:rFonts w:hint="eastAsia"/>
              </w:rPr>
              <w:t>1</w:t>
            </w:r>
          </w:p>
        </w:tc>
        <w:tc>
          <w:tcPr>
            <w:tcW w:w="677" w:type="pct"/>
            <w:vAlign w:val="center"/>
          </w:tcPr>
          <w:p w14:paraId="1F6351B3">
            <w:pPr>
              <w:pStyle w:val="31"/>
            </w:pPr>
            <w:r>
              <w:rPr>
                <w:rFonts w:hint="eastAsia"/>
              </w:rPr>
              <w:t>报废船舶</w:t>
            </w:r>
          </w:p>
        </w:tc>
        <w:tc>
          <w:tcPr>
            <w:tcW w:w="544" w:type="pct"/>
            <w:shd w:val="clear" w:color="auto" w:fill="auto"/>
            <w:vAlign w:val="center"/>
          </w:tcPr>
          <w:p w14:paraId="40420303">
            <w:pPr>
              <w:pStyle w:val="31"/>
            </w:pPr>
            <w:r>
              <w:rPr>
                <w:rFonts w:hint="eastAsia"/>
              </w:rPr>
              <w:t>艘</w:t>
            </w:r>
          </w:p>
        </w:tc>
        <w:tc>
          <w:tcPr>
            <w:tcW w:w="677" w:type="pct"/>
            <w:shd w:val="clear" w:color="auto" w:fill="auto"/>
            <w:vAlign w:val="center"/>
          </w:tcPr>
          <w:p w14:paraId="3F7A72C4">
            <w:pPr>
              <w:pStyle w:val="31"/>
              <w:rPr>
                <w:rFonts w:hint="default" w:eastAsia="宋体"/>
                <w:lang w:val="en-US" w:eastAsia="zh-CN"/>
              </w:rPr>
            </w:pPr>
            <w:r>
              <w:rPr>
                <w:rFonts w:hint="eastAsia"/>
                <w:lang w:val="en-US" w:eastAsia="zh-CN"/>
              </w:rPr>
              <w:t>30</w:t>
            </w:r>
          </w:p>
        </w:tc>
        <w:tc>
          <w:tcPr>
            <w:tcW w:w="1081" w:type="pct"/>
            <w:vAlign w:val="center"/>
          </w:tcPr>
          <w:p w14:paraId="57919986">
            <w:pPr>
              <w:pStyle w:val="31"/>
              <w:rPr>
                <w:rFonts w:hint="eastAsia" w:eastAsia="宋体"/>
                <w:lang w:eastAsia="zh-CN"/>
              </w:rPr>
            </w:pPr>
            <w:r>
              <w:rPr>
                <w:rFonts w:hint="eastAsia"/>
                <w:lang w:val="en-US" w:eastAsia="zh-CN"/>
              </w:rPr>
              <w:t>1</w:t>
            </w:r>
          </w:p>
        </w:tc>
        <w:tc>
          <w:tcPr>
            <w:tcW w:w="1613" w:type="pct"/>
            <w:shd w:val="clear" w:color="auto" w:fill="auto"/>
            <w:vAlign w:val="center"/>
          </w:tcPr>
          <w:p w14:paraId="07BB9F19">
            <w:pPr>
              <w:pStyle w:val="31"/>
              <w:rPr>
                <w:rFonts w:hint="default" w:eastAsia="宋体"/>
                <w:lang w:val="en-US" w:eastAsia="zh-CN"/>
              </w:rPr>
            </w:pPr>
            <w:r>
              <w:rPr>
                <w:rFonts w:hint="eastAsia"/>
                <w:lang w:val="en-US" w:eastAsia="zh-CN"/>
              </w:rPr>
              <w:t>具体详见表3.2-3</w:t>
            </w:r>
          </w:p>
        </w:tc>
      </w:tr>
      <w:tr w14:paraId="5BBAE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169B3911">
            <w:pPr>
              <w:pStyle w:val="31"/>
            </w:pPr>
            <w:r>
              <w:rPr>
                <w:rFonts w:hint="eastAsia"/>
              </w:rPr>
              <w:t>2</w:t>
            </w:r>
          </w:p>
        </w:tc>
        <w:tc>
          <w:tcPr>
            <w:tcW w:w="677" w:type="pct"/>
            <w:vAlign w:val="center"/>
          </w:tcPr>
          <w:p w14:paraId="5BE8FFD1">
            <w:pPr>
              <w:pStyle w:val="31"/>
            </w:pPr>
            <w:r>
              <w:rPr>
                <w:rFonts w:hint="eastAsia"/>
              </w:rPr>
              <w:t>氧气</w:t>
            </w:r>
          </w:p>
        </w:tc>
        <w:tc>
          <w:tcPr>
            <w:tcW w:w="544" w:type="pct"/>
            <w:shd w:val="clear" w:color="auto" w:fill="auto"/>
            <w:vAlign w:val="center"/>
          </w:tcPr>
          <w:p w14:paraId="14AAC913">
            <w:pPr>
              <w:pStyle w:val="31"/>
            </w:pPr>
            <w:r>
              <w:rPr>
                <w:rFonts w:hint="eastAsia"/>
              </w:rPr>
              <w:t>瓶</w:t>
            </w:r>
          </w:p>
        </w:tc>
        <w:tc>
          <w:tcPr>
            <w:tcW w:w="677" w:type="pct"/>
            <w:shd w:val="clear" w:color="auto" w:fill="auto"/>
            <w:vAlign w:val="center"/>
          </w:tcPr>
          <w:p w14:paraId="76F090B3">
            <w:pPr>
              <w:pStyle w:val="31"/>
              <w:rPr>
                <w:rFonts w:hint="default" w:eastAsia="宋体"/>
                <w:lang w:val="en-US" w:eastAsia="zh-CN"/>
              </w:rPr>
            </w:pPr>
            <w:r>
              <w:rPr>
                <w:rFonts w:hint="eastAsia"/>
                <w:lang w:val="en-US" w:eastAsia="zh-CN"/>
              </w:rPr>
              <w:t>600</w:t>
            </w:r>
          </w:p>
        </w:tc>
        <w:tc>
          <w:tcPr>
            <w:tcW w:w="1081" w:type="pct"/>
            <w:vAlign w:val="center"/>
          </w:tcPr>
          <w:p w14:paraId="05EC2914">
            <w:pPr>
              <w:pStyle w:val="31"/>
            </w:pPr>
            <w:r>
              <w:t>10</w:t>
            </w:r>
          </w:p>
        </w:tc>
        <w:tc>
          <w:tcPr>
            <w:tcW w:w="1613" w:type="pct"/>
            <w:shd w:val="clear" w:color="auto" w:fill="auto"/>
            <w:vAlign w:val="center"/>
          </w:tcPr>
          <w:p w14:paraId="01F7ED4B">
            <w:pPr>
              <w:pStyle w:val="31"/>
              <w:bidi w:val="0"/>
              <w:jc w:val="center"/>
              <w:rPr>
                <w:rFonts w:hint="eastAsia"/>
                <w:vertAlign w:val="baseline"/>
                <w:lang w:val="en-US" w:eastAsia="zh-CN"/>
              </w:rPr>
            </w:pPr>
            <w:r>
              <w:rPr>
                <w:rFonts w:hint="eastAsia"/>
                <w:lang w:val="en-US" w:eastAsia="zh-CN"/>
              </w:rPr>
              <w:t>6Nm</w:t>
            </w:r>
            <w:r>
              <w:rPr>
                <w:rFonts w:hint="eastAsia"/>
                <w:vertAlign w:val="superscript"/>
                <w:lang w:val="en-US" w:eastAsia="zh-CN"/>
              </w:rPr>
              <w:t>3</w:t>
            </w:r>
            <w:r>
              <w:rPr>
                <w:rFonts w:hint="eastAsia"/>
                <w:vertAlign w:val="baseline"/>
                <w:lang w:val="en-US" w:eastAsia="zh-CN"/>
              </w:rPr>
              <w:t>/瓶，实际容积40L/瓶</w:t>
            </w:r>
          </w:p>
          <w:p w14:paraId="341163AF">
            <w:pPr>
              <w:pStyle w:val="31"/>
            </w:pPr>
            <w:r>
              <w:rPr>
                <w:rFonts w:hint="eastAsia"/>
                <w:vertAlign w:val="baseline"/>
                <w:lang w:val="en-US" w:eastAsia="zh-CN"/>
              </w:rPr>
              <w:t>，压力1.2~1.5Mpa</w:t>
            </w:r>
          </w:p>
        </w:tc>
      </w:tr>
      <w:tr w14:paraId="5F74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2C77DD76">
            <w:pPr>
              <w:pStyle w:val="31"/>
            </w:pPr>
            <w:r>
              <w:t>3</w:t>
            </w:r>
          </w:p>
        </w:tc>
        <w:tc>
          <w:tcPr>
            <w:tcW w:w="677" w:type="pct"/>
            <w:vAlign w:val="center"/>
          </w:tcPr>
          <w:p w14:paraId="0D77BDDB">
            <w:pPr>
              <w:pStyle w:val="31"/>
            </w:pPr>
            <w:r>
              <w:rPr>
                <w:rFonts w:hint="eastAsia"/>
              </w:rPr>
              <w:t>乙炔</w:t>
            </w:r>
          </w:p>
        </w:tc>
        <w:tc>
          <w:tcPr>
            <w:tcW w:w="544" w:type="pct"/>
            <w:shd w:val="clear" w:color="auto" w:fill="auto"/>
            <w:vAlign w:val="center"/>
          </w:tcPr>
          <w:p w14:paraId="45BB20B2">
            <w:pPr>
              <w:pStyle w:val="31"/>
            </w:pPr>
            <w:r>
              <w:rPr>
                <w:rFonts w:hint="eastAsia"/>
              </w:rPr>
              <w:t>瓶</w:t>
            </w:r>
          </w:p>
        </w:tc>
        <w:tc>
          <w:tcPr>
            <w:tcW w:w="677" w:type="pct"/>
            <w:shd w:val="clear" w:color="auto" w:fill="auto"/>
            <w:vAlign w:val="center"/>
          </w:tcPr>
          <w:p w14:paraId="36E237F6">
            <w:pPr>
              <w:pStyle w:val="31"/>
              <w:rPr>
                <w:rFonts w:hint="default" w:eastAsia="宋体"/>
                <w:lang w:val="en-US" w:eastAsia="zh-CN"/>
              </w:rPr>
            </w:pPr>
            <w:r>
              <w:rPr>
                <w:rFonts w:hint="eastAsia"/>
                <w:lang w:val="en-US" w:eastAsia="zh-CN"/>
              </w:rPr>
              <w:t>300</w:t>
            </w:r>
          </w:p>
        </w:tc>
        <w:tc>
          <w:tcPr>
            <w:tcW w:w="1081" w:type="pct"/>
            <w:vAlign w:val="center"/>
          </w:tcPr>
          <w:p w14:paraId="1F89B668">
            <w:pPr>
              <w:pStyle w:val="31"/>
            </w:pPr>
            <w:r>
              <w:t>5</w:t>
            </w:r>
          </w:p>
        </w:tc>
        <w:tc>
          <w:tcPr>
            <w:tcW w:w="1613" w:type="pct"/>
            <w:shd w:val="clear" w:color="auto" w:fill="auto"/>
            <w:vAlign w:val="center"/>
          </w:tcPr>
          <w:p w14:paraId="27AE5FA4">
            <w:pPr>
              <w:pStyle w:val="31"/>
              <w:bidi w:val="0"/>
              <w:jc w:val="center"/>
              <w:rPr>
                <w:rFonts w:hint="eastAsia"/>
                <w:vertAlign w:val="baseline"/>
                <w:lang w:val="en-US" w:eastAsia="zh-CN"/>
              </w:rPr>
            </w:pPr>
            <w:r>
              <w:rPr>
                <w:rFonts w:hint="eastAsia"/>
                <w:lang w:val="en-US" w:eastAsia="zh-CN"/>
              </w:rPr>
              <w:t>6Nm</w:t>
            </w:r>
            <w:r>
              <w:rPr>
                <w:rFonts w:hint="eastAsia"/>
                <w:vertAlign w:val="superscript"/>
                <w:lang w:val="en-US" w:eastAsia="zh-CN"/>
              </w:rPr>
              <w:t>3</w:t>
            </w:r>
            <w:r>
              <w:rPr>
                <w:rFonts w:hint="eastAsia"/>
                <w:vertAlign w:val="baseline"/>
                <w:lang w:val="en-US" w:eastAsia="zh-CN"/>
              </w:rPr>
              <w:t>/瓶，实际容积40L/瓶</w:t>
            </w:r>
          </w:p>
          <w:p w14:paraId="472495B5">
            <w:pPr>
              <w:pStyle w:val="31"/>
            </w:pPr>
            <w:r>
              <w:rPr>
                <w:rFonts w:hint="eastAsia"/>
                <w:vertAlign w:val="baseline"/>
                <w:lang w:val="en-US" w:eastAsia="zh-CN"/>
              </w:rPr>
              <w:t>，压力1.2~1.5Mpa</w:t>
            </w:r>
          </w:p>
        </w:tc>
      </w:tr>
      <w:tr w14:paraId="10638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1D77A9FE">
            <w:pPr>
              <w:pStyle w:val="31"/>
            </w:pPr>
            <w:r>
              <w:t>4</w:t>
            </w:r>
          </w:p>
        </w:tc>
        <w:tc>
          <w:tcPr>
            <w:tcW w:w="677" w:type="pct"/>
            <w:vAlign w:val="center"/>
          </w:tcPr>
          <w:p w14:paraId="12C14719">
            <w:pPr>
              <w:pStyle w:val="31"/>
            </w:pPr>
            <w:r>
              <w:rPr>
                <w:rFonts w:hint="eastAsia"/>
              </w:rPr>
              <w:t>年用水量</w:t>
            </w:r>
          </w:p>
        </w:tc>
        <w:tc>
          <w:tcPr>
            <w:tcW w:w="544" w:type="pct"/>
            <w:shd w:val="clear" w:color="auto" w:fill="auto"/>
            <w:vAlign w:val="center"/>
          </w:tcPr>
          <w:p w14:paraId="1BD14B0C">
            <w:pPr>
              <w:pStyle w:val="31"/>
            </w:pPr>
            <w:r>
              <w:rPr>
                <w:rFonts w:hint="eastAsia"/>
              </w:rPr>
              <w:t>m</w:t>
            </w:r>
            <w:r>
              <w:rPr>
                <w:vertAlign w:val="superscript"/>
              </w:rPr>
              <w:t>3</w:t>
            </w:r>
          </w:p>
        </w:tc>
        <w:tc>
          <w:tcPr>
            <w:tcW w:w="677" w:type="pct"/>
            <w:shd w:val="clear" w:color="auto" w:fill="auto"/>
            <w:vAlign w:val="center"/>
          </w:tcPr>
          <w:p w14:paraId="4738D158">
            <w:pPr>
              <w:pStyle w:val="31"/>
            </w:pPr>
            <w:r>
              <w:rPr>
                <w:rFonts w:hint="eastAsia"/>
              </w:rPr>
              <w:t>140</w:t>
            </w:r>
          </w:p>
        </w:tc>
        <w:tc>
          <w:tcPr>
            <w:tcW w:w="1081" w:type="pct"/>
            <w:vAlign w:val="center"/>
          </w:tcPr>
          <w:p w14:paraId="69C3E978">
            <w:pPr>
              <w:pStyle w:val="31"/>
            </w:pPr>
            <w:r>
              <w:rPr>
                <w:rFonts w:hint="eastAsia"/>
              </w:rPr>
              <w:t>/</w:t>
            </w:r>
          </w:p>
        </w:tc>
        <w:tc>
          <w:tcPr>
            <w:tcW w:w="1613" w:type="pct"/>
            <w:shd w:val="clear" w:color="auto" w:fill="auto"/>
            <w:vAlign w:val="center"/>
          </w:tcPr>
          <w:p w14:paraId="1BE08BE5">
            <w:pPr>
              <w:pStyle w:val="31"/>
            </w:pPr>
            <w:r>
              <w:rPr>
                <w:rFonts w:hint="eastAsia"/>
              </w:rPr>
              <w:t>乡镇供水</w:t>
            </w:r>
          </w:p>
        </w:tc>
      </w:tr>
      <w:tr w14:paraId="0BA99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 w:type="pct"/>
            <w:shd w:val="clear" w:color="auto" w:fill="auto"/>
            <w:vAlign w:val="center"/>
          </w:tcPr>
          <w:p w14:paraId="5560018D">
            <w:pPr>
              <w:pStyle w:val="31"/>
            </w:pPr>
            <w:r>
              <w:t>5</w:t>
            </w:r>
          </w:p>
        </w:tc>
        <w:tc>
          <w:tcPr>
            <w:tcW w:w="677" w:type="pct"/>
            <w:vAlign w:val="center"/>
          </w:tcPr>
          <w:p w14:paraId="5F285703">
            <w:pPr>
              <w:pStyle w:val="31"/>
            </w:pPr>
            <w:r>
              <w:rPr>
                <w:rFonts w:hint="eastAsia"/>
              </w:rPr>
              <w:t>年用电量</w:t>
            </w:r>
          </w:p>
        </w:tc>
        <w:tc>
          <w:tcPr>
            <w:tcW w:w="544" w:type="pct"/>
            <w:shd w:val="clear" w:color="auto" w:fill="auto"/>
            <w:vAlign w:val="center"/>
          </w:tcPr>
          <w:p w14:paraId="299EF14C">
            <w:pPr>
              <w:pStyle w:val="31"/>
            </w:pPr>
            <w:r>
              <w:t>K</w:t>
            </w:r>
            <w:r>
              <w:rPr>
                <w:rFonts w:hint="eastAsia"/>
              </w:rPr>
              <w:t>w</w:t>
            </w:r>
            <w:r>
              <w:rPr>
                <w:rFonts w:hint="eastAsia"/>
              </w:rPr>
              <w:sym w:font="Wingdings 2" w:char="F096"/>
            </w:r>
            <w:r>
              <w:rPr>
                <w:rFonts w:hint="eastAsia"/>
              </w:rPr>
              <w:t>h</w:t>
            </w:r>
          </w:p>
        </w:tc>
        <w:tc>
          <w:tcPr>
            <w:tcW w:w="677" w:type="pct"/>
            <w:shd w:val="clear" w:color="auto" w:fill="auto"/>
            <w:vAlign w:val="center"/>
          </w:tcPr>
          <w:p w14:paraId="519BB6F7">
            <w:pPr>
              <w:pStyle w:val="31"/>
            </w:pPr>
            <w:r>
              <w:t>15</w:t>
            </w:r>
            <w:r>
              <w:rPr>
                <w:rFonts w:hint="eastAsia"/>
              </w:rPr>
              <w:t>000</w:t>
            </w:r>
          </w:p>
        </w:tc>
        <w:tc>
          <w:tcPr>
            <w:tcW w:w="1081" w:type="pct"/>
            <w:vAlign w:val="center"/>
          </w:tcPr>
          <w:p w14:paraId="5DC71113">
            <w:pPr>
              <w:pStyle w:val="31"/>
            </w:pPr>
            <w:r>
              <w:rPr>
                <w:rFonts w:hint="eastAsia"/>
              </w:rPr>
              <w:t>/</w:t>
            </w:r>
          </w:p>
        </w:tc>
        <w:tc>
          <w:tcPr>
            <w:tcW w:w="1613" w:type="pct"/>
            <w:shd w:val="clear" w:color="auto" w:fill="auto"/>
            <w:vAlign w:val="center"/>
          </w:tcPr>
          <w:p w14:paraId="38E6DC98">
            <w:pPr>
              <w:pStyle w:val="31"/>
            </w:pPr>
            <w:r>
              <w:rPr>
                <w:rFonts w:hint="eastAsia"/>
              </w:rPr>
              <w:t>乡镇供电及现有变压设备</w:t>
            </w:r>
          </w:p>
        </w:tc>
      </w:tr>
    </w:tbl>
    <w:p w14:paraId="5F747056">
      <w:pPr>
        <w:pStyle w:val="21"/>
        <w:rPr>
          <w:rFonts w:hint="eastAsia"/>
          <w:lang w:val="en-US" w:eastAsia="zh-CN"/>
        </w:rPr>
      </w:pPr>
      <w:r>
        <w:rPr>
          <w:rFonts w:hint="eastAsia"/>
          <w:lang w:val="en-US" w:eastAsia="zh-CN"/>
        </w:rPr>
        <w:t>本次扩建后全长原辅材料用量变化情况如下：</w:t>
      </w:r>
    </w:p>
    <w:p w14:paraId="289011A5">
      <w:pPr>
        <w:pStyle w:val="23"/>
        <w:bidi w:val="0"/>
        <w:rPr>
          <w:rFonts w:hint="eastAsia"/>
          <w:lang w:val="en-US" w:eastAsia="zh-CN"/>
        </w:rPr>
      </w:pPr>
      <w:r>
        <w:rPr>
          <w:rFonts w:hint="eastAsia"/>
          <w:lang w:val="en-US" w:eastAsia="zh-CN"/>
        </w:rPr>
        <w:t>表3.2-6  全厂原辅材料用量变化情况表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19"/>
        <w:gridCol w:w="1419"/>
        <w:gridCol w:w="1420"/>
        <w:gridCol w:w="1420"/>
        <w:gridCol w:w="1420"/>
      </w:tblGrid>
      <w:tr w14:paraId="038E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14:paraId="777B5799">
            <w:pPr>
              <w:pStyle w:val="31"/>
              <w:bidi w:val="0"/>
              <w:jc w:val="center"/>
              <w:rPr>
                <w:rFonts w:hint="default"/>
                <w:lang w:val="en-US" w:eastAsia="zh-CN"/>
              </w:rPr>
            </w:pPr>
            <w:r>
              <w:rPr>
                <w:rFonts w:hint="eastAsia"/>
                <w:lang w:val="en-US" w:eastAsia="zh-CN"/>
              </w:rPr>
              <w:t>序号</w:t>
            </w:r>
          </w:p>
        </w:tc>
        <w:tc>
          <w:tcPr>
            <w:tcW w:w="1419" w:type="dxa"/>
            <w:vMerge w:val="restart"/>
            <w:vAlign w:val="center"/>
          </w:tcPr>
          <w:p w14:paraId="27B3DF97">
            <w:pPr>
              <w:pStyle w:val="31"/>
              <w:bidi w:val="0"/>
              <w:jc w:val="center"/>
              <w:rPr>
                <w:rFonts w:hint="default"/>
                <w:lang w:val="en-US" w:eastAsia="zh-CN"/>
              </w:rPr>
            </w:pPr>
            <w:r>
              <w:rPr>
                <w:rFonts w:hint="eastAsia"/>
                <w:lang w:val="en-US" w:eastAsia="zh-CN"/>
              </w:rPr>
              <w:t>名称</w:t>
            </w:r>
          </w:p>
        </w:tc>
        <w:tc>
          <w:tcPr>
            <w:tcW w:w="1419" w:type="dxa"/>
            <w:vMerge w:val="restart"/>
            <w:vAlign w:val="center"/>
          </w:tcPr>
          <w:p w14:paraId="5C576460">
            <w:pPr>
              <w:pStyle w:val="31"/>
              <w:bidi w:val="0"/>
              <w:jc w:val="center"/>
              <w:rPr>
                <w:rFonts w:hint="default"/>
                <w:lang w:val="en-US" w:eastAsia="zh-CN"/>
              </w:rPr>
            </w:pPr>
            <w:r>
              <w:rPr>
                <w:rFonts w:hint="eastAsia"/>
                <w:lang w:val="en-US" w:eastAsia="zh-CN"/>
              </w:rPr>
              <w:t>单位</w:t>
            </w:r>
          </w:p>
        </w:tc>
        <w:tc>
          <w:tcPr>
            <w:tcW w:w="4260" w:type="dxa"/>
            <w:gridSpan w:val="3"/>
            <w:vAlign w:val="center"/>
          </w:tcPr>
          <w:p w14:paraId="0B331816">
            <w:pPr>
              <w:pStyle w:val="31"/>
              <w:bidi w:val="0"/>
              <w:jc w:val="center"/>
              <w:rPr>
                <w:rFonts w:hint="default"/>
                <w:lang w:val="en-US" w:eastAsia="zh-CN"/>
              </w:rPr>
            </w:pPr>
            <w:r>
              <w:rPr>
                <w:rFonts w:hint="eastAsia"/>
                <w:lang w:val="en-US" w:eastAsia="zh-CN"/>
              </w:rPr>
              <w:t>年用量</w:t>
            </w:r>
          </w:p>
        </w:tc>
      </w:tr>
      <w:tr w14:paraId="72F4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14:paraId="2330F352">
            <w:pPr>
              <w:pStyle w:val="31"/>
              <w:bidi w:val="0"/>
              <w:jc w:val="center"/>
              <w:rPr>
                <w:rFonts w:hint="default"/>
                <w:lang w:val="en-US" w:eastAsia="zh-CN"/>
              </w:rPr>
            </w:pPr>
          </w:p>
        </w:tc>
        <w:tc>
          <w:tcPr>
            <w:tcW w:w="1419" w:type="dxa"/>
            <w:vMerge w:val="continue"/>
            <w:vAlign w:val="center"/>
          </w:tcPr>
          <w:p w14:paraId="4F632A73">
            <w:pPr>
              <w:pStyle w:val="31"/>
              <w:bidi w:val="0"/>
              <w:jc w:val="center"/>
              <w:rPr>
                <w:rFonts w:hint="default"/>
                <w:lang w:val="en-US" w:eastAsia="zh-CN"/>
              </w:rPr>
            </w:pPr>
          </w:p>
        </w:tc>
        <w:tc>
          <w:tcPr>
            <w:tcW w:w="1419" w:type="dxa"/>
            <w:vMerge w:val="continue"/>
            <w:vAlign w:val="center"/>
          </w:tcPr>
          <w:p w14:paraId="530FFF3B">
            <w:pPr>
              <w:pStyle w:val="31"/>
              <w:bidi w:val="0"/>
              <w:jc w:val="center"/>
              <w:rPr>
                <w:rFonts w:hint="default"/>
                <w:lang w:val="en-US" w:eastAsia="zh-CN"/>
              </w:rPr>
            </w:pPr>
          </w:p>
        </w:tc>
        <w:tc>
          <w:tcPr>
            <w:tcW w:w="1420" w:type="dxa"/>
            <w:vAlign w:val="center"/>
          </w:tcPr>
          <w:p w14:paraId="1ADBA23D">
            <w:pPr>
              <w:pStyle w:val="31"/>
              <w:bidi w:val="0"/>
              <w:jc w:val="center"/>
              <w:rPr>
                <w:rFonts w:hint="default"/>
                <w:lang w:val="en-US" w:eastAsia="zh-CN"/>
              </w:rPr>
            </w:pPr>
            <w:r>
              <w:rPr>
                <w:rFonts w:hint="eastAsia"/>
                <w:lang w:val="en-US" w:eastAsia="zh-CN"/>
              </w:rPr>
              <w:t>扩建前</w:t>
            </w:r>
          </w:p>
        </w:tc>
        <w:tc>
          <w:tcPr>
            <w:tcW w:w="1420" w:type="dxa"/>
            <w:vAlign w:val="center"/>
          </w:tcPr>
          <w:p w14:paraId="680AB5FB">
            <w:pPr>
              <w:pStyle w:val="31"/>
              <w:bidi w:val="0"/>
              <w:jc w:val="center"/>
              <w:rPr>
                <w:rFonts w:hint="default"/>
                <w:lang w:val="en-US" w:eastAsia="zh-CN"/>
              </w:rPr>
            </w:pPr>
            <w:r>
              <w:rPr>
                <w:rFonts w:hint="eastAsia"/>
                <w:lang w:val="en-US" w:eastAsia="zh-CN"/>
              </w:rPr>
              <w:t>扩建后</w:t>
            </w:r>
          </w:p>
        </w:tc>
        <w:tc>
          <w:tcPr>
            <w:tcW w:w="1420" w:type="dxa"/>
            <w:vAlign w:val="center"/>
          </w:tcPr>
          <w:p w14:paraId="4535655F">
            <w:pPr>
              <w:pStyle w:val="31"/>
              <w:bidi w:val="0"/>
              <w:jc w:val="center"/>
              <w:rPr>
                <w:rFonts w:hint="default"/>
                <w:lang w:val="en-US" w:eastAsia="zh-CN"/>
              </w:rPr>
            </w:pPr>
            <w:r>
              <w:rPr>
                <w:rFonts w:hint="eastAsia"/>
                <w:lang w:val="en-US" w:eastAsia="zh-CN"/>
              </w:rPr>
              <w:t>变化量</w:t>
            </w:r>
          </w:p>
        </w:tc>
      </w:tr>
      <w:tr w14:paraId="6A291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00D75356">
            <w:pPr>
              <w:pStyle w:val="31"/>
              <w:bidi w:val="0"/>
              <w:jc w:val="center"/>
              <w:rPr>
                <w:rFonts w:hint="default"/>
                <w:lang w:val="en-US" w:eastAsia="zh-CN"/>
              </w:rPr>
            </w:pPr>
            <w:r>
              <w:rPr>
                <w:rFonts w:hint="eastAsia"/>
                <w:lang w:val="en-US" w:eastAsia="zh-CN"/>
              </w:rPr>
              <w:t>1</w:t>
            </w:r>
          </w:p>
        </w:tc>
        <w:tc>
          <w:tcPr>
            <w:tcW w:w="1419" w:type="dxa"/>
            <w:vAlign w:val="center"/>
          </w:tcPr>
          <w:p w14:paraId="76565C1A">
            <w:pPr>
              <w:pStyle w:val="31"/>
              <w:bidi w:val="0"/>
              <w:jc w:val="center"/>
              <w:rPr>
                <w:rFonts w:hint="default"/>
                <w:lang w:val="en-US" w:eastAsia="zh-CN"/>
              </w:rPr>
            </w:pPr>
            <w:r>
              <w:rPr>
                <w:rFonts w:hint="eastAsia"/>
                <w:lang w:val="en-US" w:eastAsia="zh-CN"/>
              </w:rPr>
              <w:t>钢板</w:t>
            </w:r>
          </w:p>
        </w:tc>
        <w:tc>
          <w:tcPr>
            <w:tcW w:w="1419" w:type="dxa"/>
            <w:vAlign w:val="center"/>
          </w:tcPr>
          <w:p w14:paraId="4586E54C">
            <w:pPr>
              <w:pStyle w:val="31"/>
              <w:bidi w:val="0"/>
              <w:jc w:val="center"/>
              <w:rPr>
                <w:rFonts w:hint="default"/>
                <w:lang w:val="en-US" w:eastAsia="zh-CN"/>
              </w:rPr>
            </w:pPr>
            <w:r>
              <w:rPr>
                <w:rFonts w:hint="eastAsia"/>
                <w:lang w:val="en-US" w:eastAsia="zh-CN"/>
              </w:rPr>
              <w:t>t</w:t>
            </w:r>
          </w:p>
        </w:tc>
        <w:tc>
          <w:tcPr>
            <w:tcW w:w="1420" w:type="dxa"/>
            <w:vAlign w:val="center"/>
          </w:tcPr>
          <w:p w14:paraId="2D70098C">
            <w:pPr>
              <w:pStyle w:val="31"/>
              <w:bidi w:val="0"/>
              <w:jc w:val="center"/>
              <w:rPr>
                <w:rFonts w:hint="default"/>
                <w:lang w:val="en-US" w:eastAsia="zh-CN"/>
              </w:rPr>
            </w:pPr>
            <w:r>
              <w:rPr>
                <w:rFonts w:hint="eastAsia"/>
                <w:lang w:val="en-US" w:eastAsia="zh-CN"/>
              </w:rPr>
              <w:t>158</w:t>
            </w:r>
          </w:p>
        </w:tc>
        <w:tc>
          <w:tcPr>
            <w:tcW w:w="1420" w:type="dxa"/>
            <w:vAlign w:val="center"/>
          </w:tcPr>
          <w:p w14:paraId="7BC837AA">
            <w:pPr>
              <w:pStyle w:val="31"/>
              <w:bidi w:val="0"/>
              <w:jc w:val="center"/>
              <w:rPr>
                <w:rFonts w:hint="default"/>
                <w:lang w:val="en-US" w:eastAsia="zh-CN"/>
              </w:rPr>
            </w:pPr>
            <w:r>
              <w:rPr>
                <w:rFonts w:hint="eastAsia"/>
                <w:lang w:val="en-US" w:eastAsia="zh-CN"/>
              </w:rPr>
              <w:t>158</w:t>
            </w:r>
          </w:p>
        </w:tc>
        <w:tc>
          <w:tcPr>
            <w:tcW w:w="1420" w:type="dxa"/>
            <w:vAlign w:val="center"/>
          </w:tcPr>
          <w:p w14:paraId="5E1F9B24">
            <w:pPr>
              <w:pStyle w:val="31"/>
              <w:bidi w:val="0"/>
              <w:jc w:val="center"/>
              <w:rPr>
                <w:rFonts w:hint="default"/>
                <w:lang w:val="en-US" w:eastAsia="zh-CN"/>
              </w:rPr>
            </w:pPr>
            <w:r>
              <w:rPr>
                <w:rFonts w:hint="eastAsia"/>
                <w:lang w:val="en-US" w:eastAsia="zh-CN"/>
              </w:rPr>
              <w:t>0</w:t>
            </w:r>
          </w:p>
        </w:tc>
      </w:tr>
      <w:tr w14:paraId="2B159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65A17B33">
            <w:pPr>
              <w:pStyle w:val="31"/>
              <w:bidi w:val="0"/>
              <w:jc w:val="center"/>
              <w:rPr>
                <w:rFonts w:hint="default"/>
                <w:lang w:val="en-US" w:eastAsia="zh-CN"/>
              </w:rPr>
            </w:pPr>
            <w:r>
              <w:rPr>
                <w:rFonts w:hint="eastAsia"/>
                <w:lang w:val="en-US" w:eastAsia="zh-CN"/>
              </w:rPr>
              <w:t>2</w:t>
            </w:r>
          </w:p>
        </w:tc>
        <w:tc>
          <w:tcPr>
            <w:tcW w:w="1419" w:type="dxa"/>
            <w:vAlign w:val="center"/>
          </w:tcPr>
          <w:p w14:paraId="5CAF515D">
            <w:pPr>
              <w:pStyle w:val="31"/>
              <w:bidi w:val="0"/>
              <w:jc w:val="center"/>
              <w:rPr>
                <w:rFonts w:hint="default"/>
                <w:lang w:val="en-US" w:eastAsia="zh-CN"/>
              </w:rPr>
            </w:pPr>
            <w:r>
              <w:rPr>
                <w:rFonts w:hint="eastAsia"/>
                <w:lang w:val="en-US" w:eastAsia="zh-CN"/>
              </w:rPr>
              <w:t>焊条</w:t>
            </w:r>
          </w:p>
        </w:tc>
        <w:tc>
          <w:tcPr>
            <w:tcW w:w="1419" w:type="dxa"/>
            <w:vAlign w:val="center"/>
          </w:tcPr>
          <w:p w14:paraId="559CB84A">
            <w:pPr>
              <w:pStyle w:val="31"/>
              <w:bidi w:val="0"/>
              <w:jc w:val="center"/>
              <w:rPr>
                <w:rFonts w:hint="default"/>
                <w:lang w:val="en-US" w:eastAsia="zh-CN"/>
              </w:rPr>
            </w:pPr>
            <w:r>
              <w:rPr>
                <w:rFonts w:hint="eastAsia"/>
                <w:lang w:val="en-US" w:eastAsia="zh-CN"/>
              </w:rPr>
              <w:t>t</w:t>
            </w:r>
          </w:p>
        </w:tc>
        <w:tc>
          <w:tcPr>
            <w:tcW w:w="1420" w:type="dxa"/>
            <w:vAlign w:val="center"/>
          </w:tcPr>
          <w:p w14:paraId="3B5690A5">
            <w:pPr>
              <w:pStyle w:val="31"/>
              <w:bidi w:val="0"/>
              <w:jc w:val="center"/>
              <w:rPr>
                <w:rFonts w:hint="default"/>
                <w:lang w:val="en-US" w:eastAsia="zh-CN"/>
              </w:rPr>
            </w:pPr>
            <w:r>
              <w:rPr>
                <w:rFonts w:hint="eastAsia"/>
                <w:lang w:val="en-US" w:eastAsia="zh-CN"/>
              </w:rPr>
              <w:t>2.9</w:t>
            </w:r>
          </w:p>
        </w:tc>
        <w:tc>
          <w:tcPr>
            <w:tcW w:w="1420" w:type="dxa"/>
            <w:vAlign w:val="center"/>
          </w:tcPr>
          <w:p w14:paraId="20C0D5A8">
            <w:pPr>
              <w:pStyle w:val="31"/>
              <w:bidi w:val="0"/>
              <w:jc w:val="center"/>
              <w:rPr>
                <w:rFonts w:hint="default"/>
                <w:lang w:val="en-US" w:eastAsia="zh-CN"/>
              </w:rPr>
            </w:pPr>
            <w:r>
              <w:rPr>
                <w:rFonts w:hint="eastAsia"/>
                <w:lang w:val="en-US" w:eastAsia="zh-CN"/>
              </w:rPr>
              <w:t>2.9</w:t>
            </w:r>
          </w:p>
        </w:tc>
        <w:tc>
          <w:tcPr>
            <w:tcW w:w="1420" w:type="dxa"/>
            <w:vAlign w:val="center"/>
          </w:tcPr>
          <w:p w14:paraId="7F38CE7C">
            <w:pPr>
              <w:pStyle w:val="31"/>
              <w:bidi w:val="0"/>
              <w:jc w:val="center"/>
              <w:rPr>
                <w:rFonts w:hint="default"/>
                <w:lang w:val="en-US" w:eastAsia="zh-CN"/>
              </w:rPr>
            </w:pPr>
            <w:r>
              <w:rPr>
                <w:rFonts w:hint="eastAsia"/>
                <w:lang w:val="en-US" w:eastAsia="zh-CN"/>
              </w:rPr>
              <w:t>0</w:t>
            </w:r>
          </w:p>
        </w:tc>
      </w:tr>
      <w:tr w14:paraId="3A48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7BA500A6">
            <w:pPr>
              <w:pStyle w:val="31"/>
              <w:bidi w:val="0"/>
              <w:jc w:val="center"/>
              <w:rPr>
                <w:rFonts w:hint="default"/>
                <w:lang w:val="en-US" w:eastAsia="zh-CN"/>
              </w:rPr>
            </w:pPr>
            <w:r>
              <w:rPr>
                <w:rFonts w:hint="eastAsia"/>
                <w:lang w:val="en-US" w:eastAsia="zh-CN"/>
              </w:rPr>
              <w:t>3</w:t>
            </w:r>
          </w:p>
        </w:tc>
        <w:tc>
          <w:tcPr>
            <w:tcW w:w="1419" w:type="dxa"/>
            <w:vAlign w:val="center"/>
          </w:tcPr>
          <w:p w14:paraId="3E1EDB34">
            <w:pPr>
              <w:pStyle w:val="31"/>
              <w:bidi w:val="0"/>
              <w:jc w:val="center"/>
              <w:rPr>
                <w:rFonts w:hint="default"/>
                <w:lang w:val="en-US" w:eastAsia="zh-CN"/>
              </w:rPr>
            </w:pPr>
            <w:r>
              <w:rPr>
                <w:rFonts w:hint="eastAsia"/>
                <w:lang w:val="en-US" w:eastAsia="zh-CN"/>
              </w:rPr>
              <w:t>乙炔气体</w:t>
            </w:r>
          </w:p>
        </w:tc>
        <w:tc>
          <w:tcPr>
            <w:tcW w:w="1419" w:type="dxa"/>
            <w:vAlign w:val="center"/>
          </w:tcPr>
          <w:p w14:paraId="4E8E2558">
            <w:pPr>
              <w:pStyle w:val="31"/>
              <w:bidi w:val="0"/>
              <w:jc w:val="center"/>
              <w:rPr>
                <w:rFonts w:hint="default"/>
                <w:lang w:val="en-US" w:eastAsia="zh-CN"/>
              </w:rPr>
            </w:pPr>
            <w:r>
              <w:rPr>
                <w:rFonts w:hint="eastAsia"/>
                <w:lang w:val="en-US" w:eastAsia="zh-CN"/>
              </w:rPr>
              <w:t>瓶</w:t>
            </w:r>
          </w:p>
        </w:tc>
        <w:tc>
          <w:tcPr>
            <w:tcW w:w="1420" w:type="dxa"/>
            <w:vAlign w:val="center"/>
          </w:tcPr>
          <w:p w14:paraId="69E72D66">
            <w:pPr>
              <w:pStyle w:val="31"/>
              <w:bidi w:val="0"/>
              <w:jc w:val="center"/>
              <w:rPr>
                <w:rFonts w:hint="default"/>
                <w:lang w:val="en-US" w:eastAsia="zh-CN"/>
              </w:rPr>
            </w:pPr>
            <w:r>
              <w:rPr>
                <w:rFonts w:hint="eastAsia"/>
                <w:lang w:val="en-US" w:eastAsia="zh-CN"/>
              </w:rPr>
              <w:t>300</w:t>
            </w:r>
          </w:p>
        </w:tc>
        <w:tc>
          <w:tcPr>
            <w:tcW w:w="1420" w:type="dxa"/>
            <w:vAlign w:val="center"/>
          </w:tcPr>
          <w:p w14:paraId="7311F0EB">
            <w:pPr>
              <w:pStyle w:val="31"/>
              <w:bidi w:val="0"/>
              <w:jc w:val="center"/>
              <w:rPr>
                <w:rFonts w:hint="default"/>
                <w:lang w:val="en-US" w:eastAsia="zh-CN"/>
              </w:rPr>
            </w:pPr>
            <w:r>
              <w:rPr>
                <w:rFonts w:hint="eastAsia"/>
                <w:lang w:val="en-US" w:eastAsia="zh-CN"/>
              </w:rPr>
              <w:t>600</w:t>
            </w:r>
          </w:p>
        </w:tc>
        <w:tc>
          <w:tcPr>
            <w:tcW w:w="1420" w:type="dxa"/>
            <w:vAlign w:val="center"/>
          </w:tcPr>
          <w:p w14:paraId="25D04B69">
            <w:pPr>
              <w:pStyle w:val="31"/>
              <w:bidi w:val="0"/>
              <w:jc w:val="center"/>
              <w:rPr>
                <w:rFonts w:hint="default"/>
                <w:lang w:val="en-US" w:eastAsia="zh-CN"/>
              </w:rPr>
            </w:pPr>
            <w:r>
              <w:rPr>
                <w:rFonts w:hint="eastAsia"/>
                <w:lang w:val="en-US" w:eastAsia="zh-CN"/>
              </w:rPr>
              <w:t>+300</w:t>
            </w:r>
          </w:p>
        </w:tc>
      </w:tr>
      <w:tr w14:paraId="7D47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36EE0B68">
            <w:pPr>
              <w:pStyle w:val="31"/>
              <w:bidi w:val="0"/>
              <w:jc w:val="center"/>
              <w:rPr>
                <w:rFonts w:hint="default"/>
                <w:lang w:val="en-US" w:eastAsia="zh-CN"/>
              </w:rPr>
            </w:pPr>
            <w:r>
              <w:rPr>
                <w:rFonts w:hint="eastAsia"/>
                <w:lang w:val="en-US" w:eastAsia="zh-CN"/>
              </w:rPr>
              <w:t>4</w:t>
            </w:r>
          </w:p>
        </w:tc>
        <w:tc>
          <w:tcPr>
            <w:tcW w:w="1419" w:type="dxa"/>
            <w:vAlign w:val="center"/>
          </w:tcPr>
          <w:p w14:paraId="35512480">
            <w:pPr>
              <w:pStyle w:val="31"/>
              <w:bidi w:val="0"/>
              <w:jc w:val="center"/>
              <w:rPr>
                <w:rFonts w:hint="default"/>
                <w:lang w:val="en-US" w:eastAsia="zh-CN"/>
              </w:rPr>
            </w:pPr>
            <w:r>
              <w:rPr>
                <w:rFonts w:hint="eastAsia"/>
                <w:lang w:val="en-US" w:eastAsia="zh-CN"/>
              </w:rPr>
              <w:t>氧气气体</w:t>
            </w:r>
          </w:p>
        </w:tc>
        <w:tc>
          <w:tcPr>
            <w:tcW w:w="1419" w:type="dxa"/>
            <w:vAlign w:val="center"/>
          </w:tcPr>
          <w:p w14:paraId="47F1D6AA">
            <w:pPr>
              <w:pStyle w:val="31"/>
              <w:bidi w:val="0"/>
              <w:jc w:val="center"/>
              <w:rPr>
                <w:rFonts w:hint="default"/>
                <w:lang w:val="en-US" w:eastAsia="zh-CN"/>
              </w:rPr>
            </w:pPr>
            <w:r>
              <w:rPr>
                <w:rFonts w:hint="eastAsia"/>
                <w:lang w:val="en-US" w:eastAsia="zh-CN"/>
              </w:rPr>
              <w:t>t</w:t>
            </w:r>
          </w:p>
        </w:tc>
        <w:tc>
          <w:tcPr>
            <w:tcW w:w="1420" w:type="dxa"/>
            <w:vAlign w:val="center"/>
          </w:tcPr>
          <w:p w14:paraId="3E521182">
            <w:pPr>
              <w:pStyle w:val="31"/>
              <w:bidi w:val="0"/>
              <w:jc w:val="center"/>
              <w:rPr>
                <w:rFonts w:hint="default"/>
                <w:lang w:val="en-US" w:eastAsia="zh-CN"/>
              </w:rPr>
            </w:pPr>
            <w:r>
              <w:rPr>
                <w:rFonts w:hint="eastAsia"/>
                <w:lang w:val="en-US" w:eastAsia="zh-CN"/>
              </w:rPr>
              <w:t>600</w:t>
            </w:r>
          </w:p>
        </w:tc>
        <w:tc>
          <w:tcPr>
            <w:tcW w:w="1420" w:type="dxa"/>
            <w:vAlign w:val="center"/>
          </w:tcPr>
          <w:p w14:paraId="07D5403E">
            <w:pPr>
              <w:pStyle w:val="31"/>
              <w:bidi w:val="0"/>
              <w:jc w:val="center"/>
              <w:rPr>
                <w:rFonts w:hint="default"/>
                <w:lang w:val="en-US" w:eastAsia="zh-CN"/>
              </w:rPr>
            </w:pPr>
            <w:r>
              <w:rPr>
                <w:rFonts w:hint="eastAsia"/>
                <w:lang w:val="en-US" w:eastAsia="zh-CN"/>
              </w:rPr>
              <w:t>1200</w:t>
            </w:r>
          </w:p>
        </w:tc>
        <w:tc>
          <w:tcPr>
            <w:tcW w:w="1420" w:type="dxa"/>
            <w:vAlign w:val="center"/>
          </w:tcPr>
          <w:p w14:paraId="0F7B7083">
            <w:pPr>
              <w:pStyle w:val="31"/>
              <w:bidi w:val="0"/>
              <w:jc w:val="center"/>
              <w:rPr>
                <w:rFonts w:hint="default"/>
                <w:lang w:val="en-US" w:eastAsia="zh-CN"/>
              </w:rPr>
            </w:pPr>
            <w:r>
              <w:rPr>
                <w:rFonts w:hint="eastAsia"/>
                <w:lang w:val="en-US" w:eastAsia="zh-CN"/>
              </w:rPr>
              <w:t>+600</w:t>
            </w:r>
          </w:p>
        </w:tc>
      </w:tr>
      <w:tr w14:paraId="7E21E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139DE05E">
            <w:pPr>
              <w:pStyle w:val="31"/>
              <w:bidi w:val="0"/>
              <w:jc w:val="center"/>
              <w:rPr>
                <w:rFonts w:hint="default"/>
                <w:lang w:val="en-US" w:eastAsia="zh-CN"/>
              </w:rPr>
            </w:pPr>
            <w:r>
              <w:rPr>
                <w:rFonts w:hint="eastAsia"/>
                <w:lang w:val="en-US" w:eastAsia="zh-CN"/>
              </w:rPr>
              <w:t>5</w:t>
            </w:r>
          </w:p>
        </w:tc>
        <w:tc>
          <w:tcPr>
            <w:tcW w:w="1419" w:type="dxa"/>
            <w:vAlign w:val="center"/>
          </w:tcPr>
          <w:p w14:paraId="24B35FDE">
            <w:pPr>
              <w:pStyle w:val="31"/>
              <w:bidi w:val="0"/>
              <w:jc w:val="center"/>
              <w:rPr>
                <w:rFonts w:hint="default"/>
                <w:lang w:val="en-US" w:eastAsia="zh-CN"/>
              </w:rPr>
            </w:pPr>
            <w:r>
              <w:rPr>
                <w:rFonts w:hint="eastAsia"/>
                <w:lang w:val="en-US" w:eastAsia="zh-CN"/>
              </w:rPr>
              <w:t>沥青漆</w:t>
            </w:r>
          </w:p>
        </w:tc>
        <w:tc>
          <w:tcPr>
            <w:tcW w:w="1419" w:type="dxa"/>
            <w:vAlign w:val="center"/>
          </w:tcPr>
          <w:p w14:paraId="3343C17F">
            <w:pPr>
              <w:pStyle w:val="31"/>
              <w:bidi w:val="0"/>
              <w:jc w:val="center"/>
              <w:rPr>
                <w:rFonts w:hint="default"/>
                <w:lang w:val="en-US" w:eastAsia="zh-CN"/>
              </w:rPr>
            </w:pPr>
            <w:r>
              <w:rPr>
                <w:rFonts w:hint="eastAsia"/>
                <w:lang w:val="en-US" w:eastAsia="zh-CN"/>
              </w:rPr>
              <w:t>t</w:t>
            </w:r>
          </w:p>
        </w:tc>
        <w:tc>
          <w:tcPr>
            <w:tcW w:w="1420" w:type="dxa"/>
            <w:vAlign w:val="center"/>
          </w:tcPr>
          <w:p w14:paraId="6A82E9EF">
            <w:pPr>
              <w:pStyle w:val="31"/>
              <w:bidi w:val="0"/>
              <w:jc w:val="center"/>
              <w:rPr>
                <w:rFonts w:hint="default"/>
                <w:lang w:val="en-US" w:eastAsia="zh-CN"/>
              </w:rPr>
            </w:pPr>
            <w:r>
              <w:rPr>
                <w:rFonts w:hint="eastAsia"/>
                <w:lang w:val="en-US" w:eastAsia="zh-CN"/>
              </w:rPr>
              <w:t>2</w:t>
            </w:r>
          </w:p>
        </w:tc>
        <w:tc>
          <w:tcPr>
            <w:tcW w:w="1420" w:type="dxa"/>
            <w:vAlign w:val="center"/>
          </w:tcPr>
          <w:p w14:paraId="08642E0A">
            <w:pPr>
              <w:pStyle w:val="31"/>
              <w:bidi w:val="0"/>
              <w:jc w:val="center"/>
              <w:rPr>
                <w:rFonts w:hint="default"/>
                <w:lang w:val="en-US" w:eastAsia="zh-CN"/>
              </w:rPr>
            </w:pPr>
            <w:r>
              <w:rPr>
                <w:rFonts w:hint="eastAsia"/>
                <w:lang w:val="en-US" w:eastAsia="zh-CN"/>
              </w:rPr>
              <w:t>2</w:t>
            </w:r>
          </w:p>
        </w:tc>
        <w:tc>
          <w:tcPr>
            <w:tcW w:w="1420" w:type="dxa"/>
            <w:vAlign w:val="center"/>
          </w:tcPr>
          <w:p w14:paraId="14B036B3">
            <w:pPr>
              <w:pStyle w:val="31"/>
              <w:bidi w:val="0"/>
              <w:jc w:val="center"/>
              <w:rPr>
                <w:rFonts w:hint="default"/>
                <w:lang w:val="en-US" w:eastAsia="zh-CN"/>
              </w:rPr>
            </w:pPr>
            <w:r>
              <w:rPr>
                <w:rFonts w:hint="eastAsia"/>
                <w:lang w:val="en-US" w:eastAsia="zh-CN"/>
              </w:rPr>
              <w:t>0</w:t>
            </w:r>
          </w:p>
        </w:tc>
      </w:tr>
      <w:tr w14:paraId="24E6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3799BB45">
            <w:pPr>
              <w:pStyle w:val="31"/>
              <w:bidi w:val="0"/>
              <w:jc w:val="center"/>
              <w:rPr>
                <w:rFonts w:hint="default"/>
                <w:lang w:val="en-US" w:eastAsia="zh-CN"/>
              </w:rPr>
            </w:pPr>
            <w:r>
              <w:rPr>
                <w:rFonts w:hint="eastAsia"/>
                <w:lang w:val="en-US" w:eastAsia="zh-CN"/>
              </w:rPr>
              <w:t>6</w:t>
            </w:r>
          </w:p>
        </w:tc>
        <w:tc>
          <w:tcPr>
            <w:tcW w:w="1419" w:type="dxa"/>
            <w:vAlign w:val="center"/>
          </w:tcPr>
          <w:p w14:paraId="569103A1">
            <w:pPr>
              <w:pStyle w:val="31"/>
              <w:bidi w:val="0"/>
              <w:jc w:val="center"/>
              <w:rPr>
                <w:rFonts w:hint="default"/>
                <w:lang w:val="en-US" w:eastAsia="zh-CN"/>
              </w:rPr>
            </w:pPr>
            <w:r>
              <w:rPr>
                <w:rFonts w:hint="eastAsia"/>
                <w:lang w:val="en-US" w:eastAsia="zh-CN"/>
              </w:rPr>
              <w:t>调和漆</w:t>
            </w:r>
          </w:p>
        </w:tc>
        <w:tc>
          <w:tcPr>
            <w:tcW w:w="1419" w:type="dxa"/>
            <w:vAlign w:val="center"/>
          </w:tcPr>
          <w:p w14:paraId="1B6D92E9">
            <w:pPr>
              <w:pStyle w:val="31"/>
              <w:bidi w:val="0"/>
              <w:jc w:val="center"/>
              <w:rPr>
                <w:rFonts w:hint="default"/>
                <w:lang w:val="en-US" w:eastAsia="zh-CN"/>
              </w:rPr>
            </w:pPr>
            <w:r>
              <w:rPr>
                <w:rFonts w:hint="eastAsia"/>
                <w:lang w:val="en-US" w:eastAsia="zh-CN"/>
              </w:rPr>
              <w:t>t</w:t>
            </w:r>
          </w:p>
        </w:tc>
        <w:tc>
          <w:tcPr>
            <w:tcW w:w="1420" w:type="dxa"/>
            <w:vAlign w:val="center"/>
          </w:tcPr>
          <w:p w14:paraId="0CD8D7C3">
            <w:pPr>
              <w:pStyle w:val="31"/>
              <w:bidi w:val="0"/>
              <w:jc w:val="center"/>
              <w:rPr>
                <w:rFonts w:hint="default"/>
                <w:lang w:val="en-US" w:eastAsia="zh-CN"/>
              </w:rPr>
            </w:pPr>
            <w:r>
              <w:rPr>
                <w:rFonts w:hint="eastAsia"/>
                <w:lang w:val="en-US" w:eastAsia="zh-CN"/>
              </w:rPr>
              <w:t>1</w:t>
            </w:r>
          </w:p>
        </w:tc>
        <w:tc>
          <w:tcPr>
            <w:tcW w:w="1420" w:type="dxa"/>
            <w:vAlign w:val="center"/>
          </w:tcPr>
          <w:p w14:paraId="635DA410">
            <w:pPr>
              <w:pStyle w:val="31"/>
              <w:bidi w:val="0"/>
              <w:jc w:val="center"/>
              <w:rPr>
                <w:rFonts w:hint="default"/>
                <w:lang w:val="en-US" w:eastAsia="zh-CN"/>
              </w:rPr>
            </w:pPr>
            <w:r>
              <w:rPr>
                <w:rFonts w:hint="eastAsia"/>
                <w:lang w:val="en-US" w:eastAsia="zh-CN"/>
              </w:rPr>
              <w:t>1</w:t>
            </w:r>
          </w:p>
        </w:tc>
        <w:tc>
          <w:tcPr>
            <w:tcW w:w="1420" w:type="dxa"/>
            <w:vAlign w:val="center"/>
          </w:tcPr>
          <w:p w14:paraId="044E4A9A">
            <w:pPr>
              <w:pStyle w:val="31"/>
              <w:bidi w:val="0"/>
              <w:jc w:val="center"/>
              <w:rPr>
                <w:rFonts w:hint="default"/>
                <w:lang w:val="en-US" w:eastAsia="zh-CN"/>
              </w:rPr>
            </w:pPr>
            <w:r>
              <w:rPr>
                <w:rFonts w:hint="eastAsia"/>
                <w:lang w:val="en-US" w:eastAsia="zh-CN"/>
              </w:rPr>
              <w:t>0</w:t>
            </w:r>
          </w:p>
        </w:tc>
      </w:tr>
      <w:tr w14:paraId="1027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2631A3D4">
            <w:pPr>
              <w:pStyle w:val="31"/>
              <w:bidi w:val="0"/>
              <w:jc w:val="center"/>
              <w:rPr>
                <w:rFonts w:hint="default"/>
                <w:lang w:val="en-US" w:eastAsia="zh-CN"/>
              </w:rPr>
            </w:pPr>
            <w:r>
              <w:rPr>
                <w:rFonts w:hint="eastAsia"/>
                <w:lang w:val="en-US" w:eastAsia="zh-CN"/>
              </w:rPr>
              <w:t>7</w:t>
            </w:r>
          </w:p>
        </w:tc>
        <w:tc>
          <w:tcPr>
            <w:tcW w:w="1419" w:type="dxa"/>
            <w:vAlign w:val="center"/>
          </w:tcPr>
          <w:p w14:paraId="2DCA848D">
            <w:pPr>
              <w:pStyle w:val="31"/>
              <w:bidi w:val="0"/>
              <w:jc w:val="center"/>
              <w:rPr>
                <w:rFonts w:hint="default"/>
                <w:lang w:val="en-US" w:eastAsia="zh-CN"/>
              </w:rPr>
            </w:pPr>
            <w:r>
              <w:rPr>
                <w:rFonts w:hint="eastAsia"/>
                <w:lang w:val="en-US" w:eastAsia="zh-CN"/>
              </w:rPr>
              <w:t>河沙</w:t>
            </w:r>
          </w:p>
        </w:tc>
        <w:tc>
          <w:tcPr>
            <w:tcW w:w="1419" w:type="dxa"/>
            <w:vAlign w:val="center"/>
          </w:tcPr>
          <w:p w14:paraId="5D4F4673">
            <w:pPr>
              <w:pStyle w:val="31"/>
              <w:bidi w:val="0"/>
              <w:jc w:val="center"/>
              <w:rPr>
                <w:rFonts w:hint="default"/>
                <w:lang w:val="en-US" w:eastAsia="zh-CN"/>
              </w:rPr>
            </w:pPr>
            <w:r>
              <w:rPr>
                <w:rFonts w:hint="eastAsia"/>
                <w:lang w:val="en-US" w:eastAsia="zh-CN"/>
              </w:rPr>
              <w:t>t</w:t>
            </w:r>
          </w:p>
        </w:tc>
        <w:tc>
          <w:tcPr>
            <w:tcW w:w="1420" w:type="dxa"/>
            <w:vAlign w:val="center"/>
          </w:tcPr>
          <w:p w14:paraId="451FDEFE">
            <w:pPr>
              <w:pStyle w:val="31"/>
              <w:bidi w:val="0"/>
              <w:jc w:val="center"/>
              <w:rPr>
                <w:rFonts w:hint="default"/>
                <w:lang w:val="en-US" w:eastAsia="zh-CN"/>
              </w:rPr>
            </w:pPr>
            <w:r>
              <w:rPr>
                <w:rFonts w:hint="eastAsia"/>
                <w:lang w:val="en-US" w:eastAsia="zh-CN"/>
              </w:rPr>
              <w:t>5</w:t>
            </w:r>
          </w:p>
        </w:tc>
        <w:tc>
          <w:tcPr>
            <w:tcW w:w="1420" w:type="dxa"/>
            <w:vAlign w:val="center"/>
          </w:tcPr>
          <w:p w14:paraId="3B32D263">
            <w:pPr>
              <w:pStyle w:val="31"/>
              <w:bidi w:val="0"/>
              <w:jc w:val="center"/>
              <w:rPr>
                <w:rFonts w:hint="default"/>
                <w:lang w:val="en-US" w:eastAsia="zh-CN"/>
              </w:rPr>
            </w:pPr>
            <w:r>
              <w:rPr>
                <w:rFonts w:hint="eastAsia"/>
                <w:lang w:val="en-US" w:eastAsia="zh-CN"/>
              </w:rPr>
              <w:t>5</w:t>
            </w:r>
          </w:p>
        </w:tc>
        <w:tc>
          <w:tcPr>
            <w:tcW w:w="1420" w:type="dxa"/>
            <w:vAlign w:val="center"/>
          </w:tcPr>
          <w:p w14:paraId="43B8C319">
            <w:pPr>
              <w:pStyle w:val="31"/>
              <w:bidi w:val="0"/>
              <w:jc w:val="center"/>
              <w:rPr>
                <w:rFonts w:hint="default"/>
                <w:lang w:val="en-US" w:eastAsia="zh-CN"/>
              </w:rPr>
            </w:pPr>
            <w:r>
              <w:rPr>
                <w:rFonts w:hint="eastAsia"/>
                <w:lang w:val="en-US" w:eastAsia="zh-CN"/>
              </w:rPr>
              <w:t>0</w:t>
            </w:r>
          </w:p>
        </w:tc>
      </w:tr>
      <w:tr w14:paraId="550AA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37CA8EB3">
            <w:pPr>
              <w:pStyle w:val="31"/>
              <w:bidi w:val="0"/>
              <w:jc w:val="center"/>
              <w:rPr>
                <w:rFonts w:hint="default"/>
                <w:lang w:val="en-US" w:eastAsia="zh-CN"/>
              </w:rPr>
            </w:pPr>
            <w:r>
              <w:rPr>
                <w:rFonts w:hint="eastAsia"/>
                <w:lang w:val="en-US" w:eastAsia="zh-CN"/>
              </w:rPr>
              <w:t>8</w:t>
            </w:r>
          </w:p>
        </w:tc>
        <w:tc>
          <w:tcPr>
            <w:tcW w:w="1419" w:type="dxa"/>
            <w:vAlign w:val="center"/>
          </w:tcPr>
          <w:p w14:paraId="2127A796">
            <w:pPr>
              <w:pStyle w:val="31"/>
              <w:bidi w:val="0"/>
              <w:jc w:val="center"/>
              <w:rPr>
                <w:rFonts w:hint="default"/>
                <w:lang w:val="en-US" w:eastAsia="zh-CN"/>
              </w:rPr>
            </w:pPr>
            <w:r>
              <w:rPr>
                <w:rFonts w:hint="eastAsia"/>
                <w:lang w:val="en-US" w:eastAsia="zh-CN"/>
              </w:rPr>
              <w:t>报废船舶</w:t>
            </w:r>
          </w:p>
        </w:tc>
        <w:tc>
          <w:tcPr>
            <w:tcW w:w="1419" w:type="dxa"/>
            <w:vAlign w:val="center"/>
          </w:tcPr>
          <w:p w14:paraId="3BF3C0AD">
            <w:pPr>
              <w:pStyle w:val="31"/>
              <w:bidi w:val="0"/>
              <w:jc w:val="center"/>
              <w:rPr>
                <w:rFonts w:hint="default"/>
                <w:lang w:val="en-US" w:eastAsia="zh-CN"/>
              </w:rPr>
            </w:pPr>
            <w:r>
              <w:rPr>
                <w:rFonts w:hint="eastAsia"/>
                <w:lang w:val="en-US" w:eastAsia="zh-CN"/>
              </w:rPr>
              <w:t>艘</w:t>
            </w:r>
          </w:p>
        </w:tc>
        <w:tc>
          <w:tcPr>
            <w:tcW w:w="1420" w:type="dxa"/>
            <w:vAlign w:val="center"/>
          </w:tcPr>
          <w:p w14:paraId="7C1F6175">
            <w:pPr>
              <w:pStyle w:val="31"/>
              <w:bidi w:val="0"/>
              <w:jc w:val="center"/>
              <w:rPr>
                <w:rFonts w:hint="default"/>
                <w:lang w:val="en-US" w:eastAsia="zh-CN"/>
              </w:rPr>
            </w:pPr>
            <w:r>
              <w:rPr>
                <w:rFonts w:hint="eastAsia"/>
                <w:lang w:val="en-US" w:eastAsia="zh-CN"/>
              </w:rPr>
              <w:t>0</w:t>
            </w:r>
          </w:p>
        </w:tc>
        <w:tc>
          <w:tcPr>
            <w:tcW w:w="1420" w:type="dxa"/>
            <w:vAlign w:val="center"/>
          </w:tcPr>
          <w:p w14:paraId="435977BA">
            <w:pPr>
              <w:pStyle w:val="31"/>
              <w:bidi w:val="0"/>
              <w:jc w:val="center"/>
              <w:rPr>
                <w:rFonts w:hint="default"/>
                <w:lang w:val="en-US" w:eastAsia="zh-CN"/>
              </w:rPr>
            </w:pPr>
            <w:r>
              <w:rPr>
                <w:rFonts w:hint="eastAsia"/>
                <w:lang w:val="en-US" w:eastAsia="zh-CN"/>
              </w:rPr>
              <w:t>30</w:t>
            </w:r>
          </w:p>
        </w:tc>
        <w:tc>
          <w:tcPr>
            <w:tcW w:w="1420" w:type="dxa"/>
            <w:vAlign w:val="center"/>
          </w:tcPr>
          <w:p w14:paraId="00D0CC15">
            <w:pPr>
              <w:pStyle w:val="31"/>
              <w:bidi w:val="0"/>
              <w:jc w:val="center"/>
              <w:rPr>
                <w:rFonts w:hint="default"/>
                <w:lang w:val="en-US" w:eastAsia="zh-CN"/>
              </w:rPr>
            </w:pPr>
            <w:r>
              <w:rPr>
                <w:rFonts w:hint="eastAsia"/>
                <w:lang w:val="en-US" w:eastAsia="zh-CN"/>
              </w:rPr>
              <w:t>+30</w:t>
            </w:r>
          </w:p>
        </w:tc>
      </w:tr>
      <w:tr w14:paraId="5D2E1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0F3FFF0A">
            <w:pPr>
              <w:pStyle w:val="31"/>
              <w:bidi w:val="0"/>
              <w:jc w:val="center"/>
              <w:rPr>
                <w:rFonts w:hint="default"/>
                <w:lang w:val="en-US" w:eastAsia="zh-CN"/>
              </w:rPr>
            </w:pPr>
            <w:r>
              <w:rPr>
                <w:rFonts w:hint="eastAsia"/>
                <w:lang w:val="en-US" w:eastAsia="zh-CN"/>
              </w:rPr>
              <w:t>9</w:t>
            </w:r>
          </w:p>
        </w:tc>
        <w:tc>
          <w:tcPr>
            <w:tcW w:w="1419" w:type="dxa"/>
            <w:vAlign w:val="center"/>
          </w:tcPr>
          <w:p w14:paraId="22AA393F">
            <w:pPr>
              <w:pStyle w:val="31"/>
              <w:bidi w:val="0"/>
              <w:jc w:val="center"/>
              <w:rPr>
                <w:rFonts w:hint="default"/>
                <w:lang w:val="en-US" w:eastAsia="zh-CN"/>
              </w:rPr>
            </w:pPr>
            <w:r>
              <w:rPr>
                <w:rFonts w:hint="eastAsia"/>
                <w:lang w:val="en-US" w:eastAsia="zh-CN"/>
              </w:rPr>
              <w:t>水</w:t>
            </w:r>
          </w:p>
        </w:tc>
        <w:tc>
          <w:tcPr>
            <w:tcW w:w="1419" w:type="dxa"/>
            <w:vAlign w:val="center"/>
          </w:tcPr>
          <w:p w14:paraId="002C2436">
            <w:pPr>
              <w:pStyle w:val="31"/>
              <w:bidi w:val="0"/>
              <w:jc w:val="center"/>
              <w:rPr>
                <w:rFonts w:hint="default"/>
                <w:vertAlign w:val="baseline"/>
                <w:lang w:val="en-US" w:eastAsia="zh-CN"/>
              </w:rPr>
            </w:pPr>
            <w:r>
              <w:rPr>
                <w:rFonts w:hint="eastAsia"/>
                <w:lang w:val="en-US" w:eastAsia="zh-CN"/>
              </w:rPr>
              <w:t>m</w:t>
            </w:r>
            <w:r>
              <w:rPr>
                <w:rFonts w:hint="eastAsia"/>
                <w:vertAlign w:val="superscript"/>
                <w:lang w:val="en-US" w:eastAsia="zh-CN"/>
              </w:rPr>
              <w:t>3</w:t>
            </w:r>
          </w:p>
        </w:tc>
        <w:tc>
          <w:tcPr>
            <w:tcW w:w="1420" w:type="dxa"/>
            <w:vAlign w:val="center"/>
          </w:tcPr>
          <w:p w14:paraId="1FEA1FC3">
            <w:pPr>
              <w:pStyle w:val="31"/>
              <w:bidi w:val="0"/>
              <w:jc w:val="center"/>
              <w:rPr>
                <w:rFonts w:hint="default"/>
                <w:lang w:val="en-US" w:eastAsia="zh-CN"/>
              </w:rPr>
            </w:pPr>
            <w:r>
              <w:rPr>
                <w:rFonts w:hint="eastAsia"/>
                <w:lang w:val="en-US" w:eastAsia="zh-CN"/>
              </w:rPr>
              <w:t>415</w:t>
            </w:r>
          </w:p>
        </w:tc>
        <w:tc>
          <w:tcPr>
            <w:tcW w:w="1420" w:type="dxa"/>
            <w:vAlign w:val="center"/>
          </w:tcPr>
          <w:p w14:paraId="7FF4E364">
            <w:pPr>
              <w:pStyle w:val="31"/>
              <w:bidi w:val="0"/>
              <w:jc w:val="center"/>
              <w:rPr>
                <w:rFonts w:hint="default"/>
                <w:lang w:val="en-US" w:eastAsia="zh-CN"/>
              </w:rPr>
            </w:pPr>
            <w:r>
              <w:rPr>
                <w:rFonts w:hint="eastAsia"/>
                <w:lang w:val="en-US" w:eastAsia="zh-CN"/>
              </w:rPr>
              <w:t>555</w:t>
            </w:r>
          </w:p>
        </w:tc>
        <w:tc>
          <w:tcPr>
            <w:tcW w:w="1420" w:type="dxa"/>
            <w:vAlign w:val="center"/>
          </w:tcPr>
          <w:p w14:paraId="08797C8E">
            <w:pPr>
              <w:pStyle w:val="31"/>
              <w:bidi w:val="0"/>
              <w:jc w:val="center"/>
              <w:rPr>
                <w:rFonts w:hint="default"/>
                <w:lang w:val="en-US" w:eastAsia="zh-CN"/>
              </w:rPr>
            </w:pPr>
            <w:r>
              <w:rPr>
                <w:rFonts w:hint="eastAsia"/>
                <w:lang w:val="en-US" w:eastAsia="zh-CN"/>
              </w:rPr>
              <w:t>+140</w:t>
            </w:r>
          </w:p>
        </w:tc>
      </w:tr>
      <w:tr w14:paraId="32AC7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14:paraId="386B6249">
            <w:pPr>
              <w:pStyle w:val="31"/>
              <w:bidi w:val="0"/>
              <w:jc w:val="center"/>
              <w:rPr>
                <w:rFonts w:hint="default"/>
                <w:lang w:val="en-US" w:eastAsia="zh-CN"/>
              </w:rPr>
            </w:pPr>
            <w:r>
              <w:rPr>
                <w:rFonts w:hint="eastAsia"/>
                <w:lang w:val="en-US" w:eastAsia="zh-CN"/>
              </w:rPr>
              <w:t>10</w:t>
            </w:r>
          </w:p>
        </w:tc>
        <w:tc>
          <w:tcPr>
            <w:tcW w:w="1419" w:type="dxa"/>
            <w:vAlign w:val="center"/>
          </w:tcPr>
          <w:p w14:paraId="1B4BFDEF">
            <w:pPr>
              <w:pStyle w:val="31"/>
              <w:bidi w:val="0"/>
              <w:jc w:val="center"/>
              <w:rPr>
                <w:rFonts w:hint="default"/>
                <w:lang w:val="en-US" w:eastAsia="zh-CN"/>
              </w:rPr>
            </w:pPr>
            <w:r>
              <w:rPr>
                <w:rFonts w:hint="eastAsia"/>
                <w:lang w:val="en-US" w:eastAsia="zh-CN"/>
              </w:rPr>
              <w:t>电</w:t>
            </w:r>
          </w:p>
        </w:tc>
        <w:tc>
          <w:tcPr>
            <w:tcW w:w="1419" w:type="dxa"/>
            <w:vAlign w:val="center"/>
          </w:tcPr>
          <w:p w14:paraId="730FA43B">
            <w:pPr>
              <w:pStyle w:val="31"/>
              <w:bidi w:val="0"/>
              <w:jc w:val="center"/>
              <w:rPr>
                <w:rFonts w:hint="default"/>
                <w:lang w:val="en-US" w:eastAsia="zh-CN"/>
              </w:rPr>
            </w:pPr>
            <w:r>
              <w:rPr>
                <w:rFonts w:hint="eastAsia"/>
                <w:lang w:val="en-US" w:eastAsia="zh-CN"/>
              </w:rPr>
              <w:t>kwh</w:t>
            </w:r>
          </w:p>
        </w:tc>
        <w:tc>
          <w:tcPr>
            <w:tcW w:w="1420" w:type="dxa"/>
            <w:vAlign w:val="center"/>
          </w:tcPr>
          <w:p w14:paraId="56C745A9">
            <w:pPr>
              <w:pStyle w:val="31"/>
              <w:bidi w:val="0"/>
              <w:jc w:val="center"/>
              <w:rPr>
                <w:rFonts w:hint="default"/>
                <w:lang w:val="en-US" w:eastAsia="zh-CN"/>
              </w:rPr>
            </w:pPr>
            <w:r>
              <w:rPr>
                <w:rFonts w:hint="eastAsia"/>
                <w:lang w:val="en-US" w:eastAsia="zh-CN"/>
              </w:rPr>
              <w:t>10000</w:t>
            </w:r>
          </w:p>
        </w:tc>
        <w:tc>
          <w:tcPr>
            <w:tcW w:w="1420" w:type="dxa"/>
            <w:vAlign w:val="center"/>
          </w:tcPr>
          <w:p w14:paraId="28CD9C95">
            <w:pPr>
              <w:pStyle w:val="31"/>
              <w:bidi w:val="0"/>
              <w:jc w:val="center"/>
              <w:rPr>
                <w:rFonts w:hint="default"/>
                <w:lang w:val="en-US" w:eastAsia="zh-CN"/>
              </w:rPr>
            </w:pPr>
            <w:r>
              <w:rPr>
                <w:rFonts w:hint="eastAsia"/>
                <w:lang w:val="en-US" w:eastAsia="zh-CN"/>
              </w:rPr>
              <w:t>25000</w:t>
            </w:r>
          </w:p>
        </w:tc>
        <w:tc>
          <w:tcPr>
            <w:tcW w:w="1420" w:type="dxa"/>
            <w:vAlign w:val="center"/>
          </w:tcPr>
          <w:p w14:paraId="780866A8">
            <w:pPr>
              <w:pStyle w:val="31"/>
              <w:bidi w:val="0"/>
              <w:jc w:val="center"/>
              <w:rPr>
                <w:rFonts w:hint="default"/>
                <w:lang w:val="en-US" w:eastAsia="zh-CN"/>
              </w:rPr>
            </w:pPr>
            <w:r>
              <w:rPr>
                <w:rFonts w:hint="eastAsia"/>
                <w:lang w:val="en-US" w:eastAsia="zh-CN"/>
              </w:rPr>
              <w:t>+15000</w:t>
            </w:r>
          </w:p>
        </w:tc>
      </w:tr>
    </w:tbl>
    <w:p w14:paraId="1BEC8566">
      <w:pPr>
        <w:pStyle w:val="33"/>
      </w:pPr>
      <w:bookmarkStart w:id="97" w:name="_Toc28434"/>
      <w:r>
        <w:rPr>
          <w:rFonts w:hint="eastAsia"/>
        </w:rPr>
        <w:t>3.</w:t>
      </w:r>
      <w:r>
        <w:rPr>
          <w:rFonts w:hint="eastAsia"/>
          <w:lang w:val="en-US" w:eastAsia="zh-CN"/>
        </w:rPr>
        <w:t>2</w:t>
      </w:r>
      <w:r>
        <w:rPr>
          <w:rFonts w:hint="eastAsia"/>
        </w:rPr>
        <w:t>.5主要生产设备</w:t>
      </w:r>
      <w:bookmarkEnd w:id="97"/>
    </w:p>
    <w:p w14:paraId="1731F07B">
      <w:pPr>
        <w:pStyle w:val="21"/>
        <w:ind w:firstLine="480"/>
        <w:rPr>
          <w:rFonts w:hint="eastAsia"/>
          <w:lang w:val="en-US" w:eastAsia="zh-CN"/>
        </w:rPr>
      </w:pPr>
      <w:r>
        <w:rPr>
          <w:rFonts w:hint="eastAsia"/>
          <w:lang w:val="en-US" w:eastAsia="zh-CN"/>
        </w:rPr>
        <w:t>本次扩建保留现有工程全部设备，仅增加拆解工段所需设备，扩建后全长设备变化情况如下：</w:t>
      </w:r>
    </w:p>
    <w:p w14:paraId="7304C62A">
      <w:pPr>
        <w:pStyle w:val="21"/>
        <w:ind w:firstLine="480"/>
        <w:rPr>
          <w:rFonts w:hint="eastAsia"/>
          <w:lang w:val="en-US" w:eastAsia="zh-CN"/>
        </w:rPr>
      </w:pPr>
    </w:p>
    <w:p w14:paraId="52C52EAC">
      <w:pPr>
        <w:pStyle w:val="23"/>
        <w:bidi w:val="0"/>
        <w:rPr>
          <w:rFonts w:hint="eastAsia"/>
          <w:lang w:val="en-US" w:eastAsia="zh-CN"/>
        </w:rPr>
      </w:pPr>
      <w:r>
        <w:rPr>
          <w:rFonts w:hint="eastAsia"/>
          <w:lang w:val="en-US" w:eastAsia="zh-CN"/>
        </w:rPr>
        <w:t>表5.2-7  扩建后全厂主要生产设备变化情况表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2543"/>
        <w:gridCol w:w="1524"/>
        <w:gridCol w:w="743"/>
        <w:gridCol w:w="987"/>
        <w:gridCol w:w="987"/>
        <w:gridCol w:w="992"/>
      </w:tblGrid>
      <w:tr w14:paraId="67E1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vMerge w:val="restart"/>
          </w:tcPr>
          <w:p w14:paraId="032732EA">
            <w:pPr>
              <w:pStyle w:val="31"/>
              <w:bidi w:val="0"/>
              <w:rPr>
                <w:rFonts w:hint="default"/>
                <w:lang w:val="en-US" w:eastAsia="zh-CN"/>
              </w:rPr>
            </w:pPr>
            <w:r>
              <w:rPr>
                <w:rFonts w:hint="eastAsia"/>
                <w:lang w:val="en-US" w:eastAsia="zh-CN"/>
              </w:rPr>
              <w:t>序号</w:t>
            </w:r>
          </w:p>
        </w:tc>
        <w:tc>
          <w:tcPr>
            <w:tcW w:w="1492" w:type="pct"/>
            <w:vMerge w:val="restart"/>
          </w:tcPr>
          <w:p w14:paraId="449ABEA3">
            <w:pPr>
              <w:pStyle w:val="31"/>
              <w:bidi w:val="0"/>
              <w:rPr>
                <w:rFonts w:hint="default"/>
                <w:lang w:val="en-US" w:eastAsia="zh-CN"/>
              </w:rPr>
            </w:pPr>
            <w:r>
              <w:rPr>
                <w:rFonts w:hint="eastAsia"/>
                <w:lang w:val="en-US" w:eastAsia="zh-CN"/>
              </w:rPr>
              <w:t>名称</w:t>
            </w:r>
          </w:p>
        </w:tc>
        <w:tc>
          <w:tcPr>
            <w:tcW w:w="894" w:type="pct"/>
            <w:vMerge w:val="restart"/>
          </w:tcPr>
          <w:p w14:paraId="5FB95F80">
            <w:pPr>
              <w:pStyle w:val="31"/>
              <w:bidi w:val="0"/>
              <w:rPr>
                <w:rFonts w:hint="default"/>
                <w:lang w:val="en-US" w:eastAsia="zh-CN"/>
              </w:rPr>
            </w:pPr>
            <w:r>
              <w:rPr>
                <w:rFonts w:hint="eastAsia"/>
                <w:lang w:val="en-US" w:eastAsia="zh-CN"/>
              </w:rPr>
              <w:t>规格/型号</w:t>
            </w:r>
          </w:p>
        </w:tc>
        <w:tc>
          <w:tcPr>
            <w:tcW w:w="436" w:type="pct"/>
            <w:vMerge w:val="restart"/>
          </w:tcPr>
          <w:p w14:paraId="5228A30C">
            <w:pPr>
              <w:pStyle w:val="31"/>
              <w:bidi w:val="0"/>
              <w:rPr>
                <w:rFonts w:hint="default"/>
                <w:lang w:val="en-US" w:eastAsia="zh-CN"/>
              </w:rPr>
            </w:pPr>
            <w:r>
              <w:rPr>
                <w:rFonts w:hint="eastAsia"/>
                <w:lang w:val="en-US" w:eastAsia="zh-CN"/>
              </w:rPr>
              <w:t>单位</w:t>
            </w:r>
          </w:p>
        </w:tc>
        <w:tc>
          <w:tcPr>
            <w:tcW w:w="1740" w:type="pct"/>
            <w:gridSpan w:val="3"/>
          </w:tcPr>
          <w:p w14:paraId="176C5829">
            <w:pPr>
              <w:pStyle w:val="31"/>
              <w:bidi w:val="0"/>
              <w:rPr>
                <w:rFonts w:hint="eastAsia"/>
                <w:lang w:val="en-US" w:eastAsia="zh-CN"/>
              </w:rPr>
            </w:pPr>
            <w:r>
              <w:rPr>
                <w:rFonts w:hint="eastAsia"/>
                <w:lang w:val="en-US" w:eastAsia="zh-CN"/>
              </w:rPr>
              <w:t>数量</w:t>
            </w:r>
          </w:p>
        </w:tc>
      </w:tr>
      <w:tr w14:paraId="334AD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vMerge w:val="continue"/>
          </w:tcPr>
          <w:p w14:paraId="6F226184">
            <w:pPr>
              <w:pStyle w:val="31"/>
              <w:bidi w:val="0"/>
              <w:rPr>
                <w:rFonts w:hint="default"/>
                <w:lang w:val="en-US" w:eastAsia="zh-CN"/>
              </w:rPr>
            </w:pPr>
          </w:p>
        </w:tc>
        <w:tc>
          <w:tcPr>
            <w:tcW w:w="1492" w:type="pct"/>
            <w:vMerge w:val="continue"/>
          </w:tcPr>
          <w:p w14:paraId="472AE6E9">
            <w:pPr>
              <w:pStyle w:val="31"/>
              <w:bidi w:val="0"/>
              <w:rPr>
                <w:rFonts w:hint="default"/>
                <w:lang w:val="en-US" w:eastAsia="zh-CN"/>
              </w:rPr>
            </w:pPr>
          </w:p>
        </w:tc>
        <w:tc>
          <w:tcPr>
            <w:tcW w:w="894" w:type="pct"/>
            <w:vMerge w:val="continue"/>
          </w:tcPr>
          <w:p w14:paraId="7830E2D9">
            <w:pPr>
              <w:pStyle w:val="31"/>
              <w:bidi w:val="0"/>
              <w:rPr>
                <w:rFonts w:hint="default"/>
                <w:lang w:val="en-US" w:eastAsia="zh-CN"/>
              </w:rPr>
            </w:pPr>
          </w:p>
        </w:tc>
        <w:tc>
          <w:tcPr>
            <w:tcW w:w="436" w:type="pct"/>
            <w:vMerge w:val="continue"/>
          </w:tcPr>
          <w:p w14:paraId="7E4485F7">
            <w:pPr>
              <w:pStyle w:val="31"/>
              <w:bidi w:val="0"/>
              <w:rPr>
                <w:rFonts w:hint="default"/>
                <w:lang w:val="en-US" w:eastAsia="zh-CN"/>
              </w:rPr>
            </w:pPr>
          </w:p>
        </w:tc>
        <w:tc>
          <w:tcPr>
            <w:tcW w:w="579" w:type="pct"/>
          </w:tcPr>
          <w:p w14:paraId="4A3D50B2">
            <w:pPr>
              <w:pStyle w:val="31"/>
              <w:bidi w:val="0"/>
              <w:rPr>
                <w:rFonts w:hint="default"/>
                <w:lang w:val="en-US" w:eastAsia="zh-CN"/>
              </w:rPr>
            </w:pPr>
            <w:r>
              <w:rPr>
                <w:rFonts w:hint="eastAsia"/>
                <w:lang w:val="en-US" w:eastAsia="zh-CN"/>
              </w:rPr>
              <w:t>扩建前</w:t>
            </w:r>
          </w:p>
        </w:tc>
        <w:tc>
          <w:tcPr>
            <w:tcW w:w="579" w:type="pct"/>
          </w:tcPr>
          <w:p w14:paraId="7B1AAAB4">
            <w:pPr>
              <w:pStyle w:val="31"/>
              <w:bidi w:val="0"/>
              <w:rPr>
                <w:rFonts w:hint="default"/>
                <w:lang w:val="en-US" w:eastAsia="zh-CN"/>
              </w:rPr>
            </w:pPr>
            <w:r>
              <w:rPr>
                <w:rFonts w:hint="eastAsia"/>
                <w:lang w:val="en-US" w:eastAsia="zh-CN"/>
              </w:rPr>
              <w:t>扩建后</w:t>
            </w:r>
          </w:p>
        </w:tc>
        <w:tc>
          <w:tcPr>
            <w:tcW w:w="580" w:type="pct"/>
          </w:tcPr>
          <w:p w14:paraId="2CD9EFC3">
            <w:pPr>
              <w:pStyle w:val="31"/>
              <w:bidi w:val="0"/>
              <w:rPr>
                <w:rFonts w:hint="default"/>
                <w:lang w:val="en-US" w:eastAsia="zh-CN"/>
              </w:rPr>
            </w:pPr>
            <w:r>
              <w:rPr>
                <w:rFonts w:hint="eastAsia"/>
                <w:lang w:val="en-US" w:eastAsia="zh-CN"/>
              </w:rPr>
              <w:t>变化量</w:t>
            </w:r>
          </w:p>
        </w:tc>
      </w:tr>
      <w:tr w14:paraId="4E4AB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652800D5">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1</w:t>
            </w:r>
          </w:p>
        </w:tc>
        <w:tc>
          <w:tcPr>
            <w:tcW w:w="1492" w:type="pct"/>
            <w:shd w:val="clear" w:color="auto" w:fill="auto"/>
            <w:vAlign w:val="center"/>
          </w:tcPr>
          <w:p w14:paraId="1EBCB952">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卷扬机</w:t>
            </w:r>
          </w:p>
        </w:tc>
        <w:tc>
          <w:tcPr>
            <w:tcW w:w="894" w:type="pct"/>
            <w:shd w:val="clear" w:color="auto" w:fill="auto"/>
            <w:vAlign w:val="center"/>
          </w:tcPr>
          <w:p w14:paraId="116680C0">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5T</w:t>
            </w:r>
          </w:p>
        </w:tc>
        <w:tc>
          <w:tcPr>
            <w:tcW w:w="436" w:type="pct"/>
          </w:tcPr>
          <w:p w14:paraId="50D65573">
            <w:pPr>
              <w:pStyle w:val="31"/>
              <w:bidi w:val="0"/>
              <w:rPr>
                <w:rFonts w:hint="default"/>
                <w:lang w:val="en-US" w:eastAsia="zh-CN"/>
              </w:rPr>
            </w:pPr>
            <w:r>
              <w:rPr>
                <w:rFonts w:hint="eastAsia"/>
                <w:lang w:val="en-US" w:eastAsia="zh-CN"/>
              </w:rPr>
              <w:t>台</w:t>
            </w:r>
          </w:p>
        </w:tc>
        <w:tc>
          <w:tcPr>
            <w:tcW w:w="579" w:type="pct"/>
          </w:tcPr>
          <w:p w14:paraId="22C594CC">
            <w:pPr>
              <w:pStyle w:val="31"/>
              <w:bidi w:val="0"/>
              <w:rPr>
                <w:rFonts w:hint="default"/>
                <w:lang w:val="en-US" w:eastAsia="zh-CN"/>
              </w:rPr>
            </w:pPr>
            <w:r>
              <w:rPr>
                <w:rFonts w:hint="eastAsia"/>
                <w:lang w:val="en-US" w:eastAsia="zh-CN"/>
              </w:rPr>
              <w:t>1</w:t>
            </w:r>
          </w:p>
        </w:tc>
        <w:tc>
          <w:tcPr>
            <w:tcW w:w="579" w:type="pct"/>
          </w:tcPr>
          <w:p w14:paraId="41170E20">
            <w:pPr>
              <w:pStyle w:val="31"/>
              <w:bidi w:val="0"/>
              <w:rPr>
                <w:rFonts w:hint="default"/>
                <w:lang w:val="en-US" w:eastAsia="zh-CN"/>
              </w:rPr>
            </w:pPr>
            <w:r>
              <w:rPr>
                <w:rFonts w:hint="eastAsia"/>
                <w:lang w:val="en-US" w:eastAsia="zh-CN"/>
              </w:rPr>
              <w:t>3</w:t>
            </w:r>
          </w:p>
        </w:tc>
        <w:tc>
          <w:tcPr>
            <w:tcW w:w="580" w:type="pct"/>
          </w:tcPr>
          <w:p w14:paraId="66DD0B0B">
            <w:pPr>
              <w:pStyle w:val="31"/>
              <w:bidi w:val="0"/>
              <w:rPr>
                <w:rFonts w:hint="default"/>
                <w:lang w:val="en-US" w:eastAsia="zh-CN"/>
              </w:rPr>
            </w:pPr>
            <w:r>
              <w:rPr>
                <w:rFonts w:hint="eastAsia"/>
                <w:lang w:val="en-US" w:eastAsia="zh-CN"/>
              </w:rPr>
              <w:t>+2</w:t>
            </w:r>
          </w:p>
        </w:tc>
      </w:tr>
      <w:tr w14:paraId="54062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49E25B69">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2</w:t>
            </w:r>
          </w:p>
        </w:tc>
        <w:tc>
          <w:tcPr>
            <w:tcW w:w="1492" w:type="pct"/>
            <w:shd w:val="clear" w:color="auto" w:fill="auto"/>
            <w:vAlign w:val="center"/>
          </w:tcPr>
          <w:p w14:paraId="392C51F6">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地锚、缆桩</w:t>
            </w:r>
          </w:p>
        </w:tc>
        <w:tc>
          <w:tcPr>
            <w:tcW w:w="894" w:type="pct"/>
            <w:shd w:val="clear" w:color="auto" w:fill="auto"/>
            <w:vAlign w:val="center"/>
          </w:tcPr>
          <w:p w14:paraId="45A48EFE">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w:t>
            </w:r>
          </w:p>
        </w:tc>
        <w:tc>
          <w:tcPr>
            <w:tcW w:w="436" w:type="pct"/>
          </w:tcPr>
          <w:p w14:paraId="3AB4281D">
            <w:pPr>
              <w:pStyle w:val="31"/>
              <w:bidi w:val="0"/>
              <w:rPr>
                <w:rFonts w:hint="default"/>
                <w:lang w:val="en-US" w:eastAsia="zh-CN"/>
              </w:rPr>
            </w:pPr>
            <w:r>
              <w:rPr>
                <w:rFonts w:hint="eastAsia"/>
                <w:lang w:val="en-US" w:eastAsia="zh-CN"/>
              </w:rPr>
              <w:t>套</w:t>
            </w:r>
          </w:p>
        </w:tc>
        <w:tc>
          <w:tcPr>
            <w:tcW w:w="579" w:type="pct"/>
          </w:tcPr>
          <w:p w14:paraId="1FF586D6">
            <w:pPr>
              <w:pStyle w:val="31"/>
              <w:bidi w:val="0"/>
              <w:rPr>
                <w:rFonts w:hint="default"/>
                <w:lang w:val="en-US" w:eastAsia="zh-CN"/>
              </w:rPr>
            </w:pPr>
            <w:r>
              <w:rPr>
                <w:rFonts w:hint="eastAsia"/>
                <w:lang w:val="en-US" w:eastAsia="zh-CN"/>
              </w:rPr>
              <w:t>1</w:t>
            </w:r>
          </w:p>
        </w:tc>
        <w:tc>
          <w:tcPr>
            <w:tcW w:w="579" w:type="pct"/>
          </w:tcPr>
          <w:p w14:paraId="4AD0FA1A">
            <w:pPr>
              <w:pStyle w:val="31"/>
              <w:bidi w:val="0"/>
              <w:rPr>
                <w:rFonts w:hint="default"/>
                <w:lang w:val="en-US" w:eastAsia="zh-CN"/>
              </w:rPr>
            </w:pPr>
            <w:r>
              <w:rPr>
                <w:rFonts w:hint="eastAsia"/>
                <w:lang w:val="en-US" w:eastAsia="zh-CN"/>
              </w:rPr>
              <w:t>3</w:t>
            </w:r>
          </w:p>
        </w:tc>
        <w:tc>
          <w:tcPr>
            <w:tcW w:w="580" w:type="pct"/>
          </w:tcPr>
          <w:p w14:paraId="4C595012">
            <w:pPr>
              <w:pStyle w:val="31"/>
              <w:bidi w:val="0"/>
              <w:rPr>
                <w:rFonts w:hint="default"/>
                <w:lang w:val="en-US" w:eastAsia="zh-CN"/>
              </w:rPr>
            </w:pPr>
            <w:r>
              <w:rPr>
                <w:rFonts w:hint="eastAsia"/>
                <w:lang w:val="en-US" w:eastAsia="zh-CN"/>
              </w:rPr>
              <w:t>+2</w:t>
            </w:r>
          </w:p>
        </w:tc>
      </w:tr>
      <w:tr w14:paraId="25140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2F1E9E41">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3</w:t>
            </w:r>
          </w:p>
        </w:tc>
        <w:tc>
          <w:tcPr>
            <w:tcW w:w="1492" w:type="pct"/>
            <w:shd w:val="clear" w:color="auto" w:fill="auto"/>
            <w:vAlign w:val="center"/>
          </w:tcPr>
          <w:p w14:paraId="41FD0EBE">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重载荷气囊</w:t>
            </w:r>
          </w:p>
        </w:tc>
        <w:tc>
          <w:tcPr>
            <w:tcW w:w="894" w:type="pct"/>
            <w:shd w:val="clear" w:color="auto" w:fill="auto"/>
            <w:vAlign w:val="center"/>
          </w:tcPr>
          <w:p w14:paraId="057FB6B1">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Ф1.2m*8m</w:t>
            </w:r>
          </w:p>
        </w:tc>
        <w:tc>
          <w:tcPr>
            <w:tcW w:w="436" w:type="pct"/>
          </w:tcPr>
          <w:p w14:paraId="1A5E2792">
            <w:pPr>
              <w:pStyle w:val="31"/>
              <w:bidi w:val="0"/>
              <w:rPr>
                <w:rFonts w:hint="default"/>
                <w:lang w:val="en-US" w:eastAsia="zh-CN"/>
              </w:rPr>
            </w:pPr>
            <w:r>
              <w:rPr>
                <w:rFonts w:hint="eastAsia"/>
                <w:lang w:val="en-US" w:eastAsia="zh-CN"/>
              </w:rPr>
              <w:t>条</w:t>
            </w:r>
          </w:p>
        </w:tc>
        <w:tc>
          <w:tcPr>
            <w:tcW w:w="579" w:type="pct"/>
          </w:tcPr>
          <w:p w14:paraId="0B92C3CD">
            <w:pPr>
              <w:pStyle w:val="31"/>
              <w:bidi w:val="0"/>
              <w:rPr>
                <w:rFonts w:hint="default"/>
                <w:lang w:val="en-US" w:eastAsia="zh-CN"/>
              </w:rPr>
            </w:pPr>
            <w:r>
              <w:rPr>
                <w:rFonts w:hint="eastAsia"/>
                <w:lang w:val="en-US" w:eastAsia="zh-CN"/>
              </w:rPr>
              <w:t>20</w:t>
            </w:r>
          </w:p>
        </w:tc>
        <w:tc>
          <w:tcPr>
            <w:tcW w:w="579" w:type="pct"/>
          </w:tcPr>
          <w:p w14:paraId="04F57629">
            <w:pPr>
              <w:pStyle w:val="31"/>
              <w:bidi w:val="0"/>
              <w:rPr>
                <w:rFonts w:hint="default"/>
                <w:lang w:val="en-US" w:eastAsia="zh-CN"/>
              </w:rPr>
            </w:pPr>
            <w:r>
              <w:rPr>
                <w:rFonts w:hint="eastAsia"/>
                <w:lang w:val="en-US" w:eastAsia="zh-CN"/>
              </w:rPr>
              <w:t>20</w:t>
            </w:r>
          </w:p>
        </w:tc>
        <w:tc>
          <w:tcPr>
            <w:tcW w:w="580" w:type="pct"/>
          </w:tcPr>
          <w:p w14:paraId="713C25FC">
            <w:pPr>
              <w:pStyle w:val="31"/>
              <w:bidi w:val="0"/>
              <w:rPr>
                <w:rFonts w:hint="default"/>
                <w:lang w:val="en-US" w:eastAsia="zh-CN"/>
              </w:rPr>
            </w:pPr>
            <w:r>
              <w:rPr>
                <w:rFonts w:hint="eastAsia"/>
                <w:lang w:val="en-US" w:eastAsia="zh-CN"/>
              </w:rPr>
              <w:t>0</w:t>
            </w:r>
          </w:p>
        </w:tc>
      </w:tr>
      <w:tr w14:paraId="6DCF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324DBE98">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4</w:t>
            </w:r>
          </w:p>
        </w:tc>
        <w:tc>
          <w:tcPr>
            <w:tcW w:w="1492" w:type="pct"/>
            <w:shd w:val="clear" w:color="auto" w:fill="auto"/>
            <w:vAlign w:val="center"/>
          </w:tcPr>
          <w:p w14:paraId="10D33622">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空压机</w:t>
            </w:r>
          </w:p>
        </w:tc>
        <w:tc>
          <w:tcPr>
            <w:tcW w:w="894" w:type="pct"/>
            <w:shd w:val="clear" w:color="auto" w:fill="auto"/>
            <w:vAlign w:val="center"/>
          </w:tcPr>
          <w:p w14:paraId="10623AD6">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hint="eastAsia" w:ascii="Times New Roman" w:hAnsi="Times New Roman" w:eastAsia="宋体" w:cs="Times New Roman"/>
                <w:color w:val="000000"/>
                <w:szCs w:val="21"/>
                <w:u w:val="none" w:color="auto"/>
                <w:lang w:val="en-US" w:eastAsia="zh-CN"/>
              </w:rPr>
              <w:t>Z75A</w:t>
            </w:r>
          </w:p>
        </w:tc>
        <w:tc>
          <w:tcPr>
            <w:tcW w:w="436" w:type="pct"/>
          </w:tcPr>
          <w:p w14:paraId="703EFB7F">
            <w:pPr>
              <w:pStyle w:val="31"/>
              <w:bidi w:val="0"/>
              <w:rPr>
                <w:rFonts w:hint="default"/>
                <w:lang w:val="en-US" w:eastAsia="zh-CN"/>
              </w:rPr>
            </w:pPr>
            <w:r>
              <w:rPr>
                <w:rFonts w:hint="eastAsia"/>
                <w:lang w:val="en-US" w:eastAsia="zh-CN"/>
              </w:rPr>
              <w:t>台</w:t>
            </w:r>
          </w:p>
        </w:tc>
        <w:tc>
          <w:tcPr>
            <w:tcW w:w="579" w:type="pct"/>
          </w:tcPr>
          <w:p w14:paraId="469575F6">
            <w:pPr>
              <w:pStyle w:val="31"/>
              <w:bidi w:val="0"/>
              <w:rPr>
                <w:rFonts w:hint="default"/>
                <w:lang w:val="en-US" w:eastAsia="zh-CN"/>
              </w:rPr>
            </w:pPr>
            <w:r>
              <w:rPr>
                <w:rFonts w:hint="eastAsia"/>
                <w:lang w:val="en-US" w:eastAsia="zh-CN"/>
              </w:rPr>
              <w:t>1</w:t>
            </w:r>
          </w:p>
        </w:tc>
        <w:tc>
          <w:tcPr>
            <w:tcW w:w="579" w:type="pct"/>
          </w:tcPr>
          <w:p w14:paraId="61C988C8">
            <w:pPr>
              <w:pStyle w:val="31"/>
              <w:bidi w:val="0"/>
              <w:rPr>
                <w:rFonts w:hint="default"/>
                <w:lang w:val="en-US" w:eastAsia="zh-CN"/>
              </w:rPr>
            </w:pPr>
            <w:r>
              <w:rPr>
                <w:rFonts w:hint="eastAsia"/>
                <w:lang w:val="en-US" w:eastAsia="zh-CN"/>
              </w:rPr>
              <w:t>2</w:t>
            </w:r>
          </w:p>
        </w:tc>
        <w:tc>
          <w:tcPr>
            <w:tcW w:w="580" w:type="pct"/>
          </w:tcPr>
          <w:p w14:paraId="21C05CB3">
            <w:pPr>
              <w:pStyle w:val="31"/>
              <w:bidi w:val="0"/>
              <w:rPr>
                <w:rFonts w:hint="default"/>
                <w:lang w:val="en-US" w:eastAsia="zh-CN"/>
              </w:rPr>
            </w:pPr>
            <w:r>
              <w:rPr>
                <w:rFonts w:hint="eastAsia"/>
                <w:lang w:val="en-US" w:eastAsia="zh-CN"/>
              </w:rPr>
              <w:t>+1</w:t>
            </w:r>
          </w:p>
        </w:tc>
      </w:tr>
      <w:tr w14:paraId="02376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2C28E293">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5</w:t>
            </w:r>
          </w:p>
        </w:tc>
        <w:tc>
          <w:tcPr>
            <w:tcW w:w="1492" w:type="pct"/>
            <w:shd w:val="clear" w:color="auto" w:fill="auto"/>
            <w:vAlign w:val="center"/>
          </w:tcPr>
          <w:p w14:paraId="4FA51529">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电焊机</w:t>
            </w:r>
          </w:p>
        </w:tc>
        <w:tc>
          <w:tcPr>
            <w:tcW w:w="894" w:type="pct"/>
            <w:shd w:val="clear" w:color="auto" w:fill="auto"/>
            <w:vAlign w:val="center"/>
          </w:tcPr>
          <w:p w14:paraId="680DD9B8">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BX1-500</w:t>
            </w:r>
          </w:p>
        </w:tc>
        <w:tc>
          <w:tcPr>
            <w:tcW w:w="436" w:type="pct"/>
          </w:tcPr>
          <w:p w14:paraId="3DA91AE7">
            <w:pPr>
              <w:pStyle w:val="31"/>
              <w:bidi w:val="0"/>
              <w:rPr>
                <w:rFonts w:hint="default"/>
                <w:lang w:val="en-US" w:eastAsia="zh-CN"/>
              </w:rPr>
            </w:pPr>
            <w:r>
              <w:rPr>
                <w:rFonts w:hint="eastAsia"/>
                <w:lang w:val="en-US" w:eastAsia="zh-CN"/>
              </w:rPr>
              <w:t>台</w:t>
            </w:r>
          </w:p>
        </w:tc>
        <w:tc>
          <w:tcPr>
            <w:tcW w:w="579" w:type="pct"/>
          </w:tcPr>
          <w:p w14:paraId="4EEF6749">
            <w:pPr>
              <w:pStyle w:val="31"/>
              <w:bidi w:val="0"/>
              <w:rPr>
                <w:rFonts w:hint="default"/>
                <w:lang w:val="en-US" w:eastAsia="zh-CN"/>
              </w:rPr>
            </w:pPr>
            <w:r>
              <w:rPr>
                <w:rFonts w:hint="eastAsia"/>
                <w:lang w:val="en-US" w:eastAsia="zh-CN"/>
              </w:rPr>
              <w:t>4</w:t>
            </w:r>
          </w:p>
        </w:tc>
        <w:tc>
          <w:tcPr>
            <w:tcW w:w="579" w:type="pct"/>
          </w:tcPr>
          <w:p w14:paraId="3C712A09">
            <w:pPr>
              <w:pStyle w:val="31"/>
              <w:bidi w:val="0"/>
              <w:rPr>
                <w:rFonts w:hint="default"/>
                <w:lang w:val="en-US" w:eastAsia="zh-CN"/>
              </w:rPr>
            </w:pPr>
            <w:r>
              <w:rPr>
                <w:rFonts w:hint="eastAsia"/>
                <w:lang w:val="en-US" w:eastAsia="zh-CN"/>
              </w:rPr>
              <w:t>4</w:t>
            </w:r>
          </w:p>
        </w:tc>
        <w:tc>
          <w:tcPr>
            <w:tcW w:w="580" w:type="pct"/>
          </w:tcPr>
          <w:p w14:paraId="273B9C7B">
            <w:pPr>
              <w:pStyle w:val="31"/>
              <w:bidi w:val="0"/>
              <w:rPr>
                <w:rFonts w:hint="default"/>
                <w:lang w:val="en-US" w:eastAsia="zh-CN"/>
              </w:rPr>
            </w:pPr>
            <w:r>
              <w:rPr>
                <w:rFonts w:hint="eastAsia"/>
                <w:lang w:val="en-US" w:eastAsia="zh-CN"/>
              </w:rPr>
              <w:t>0</w:t>
            </w:r>
          </w:p>
        </w:tc>
      </w:tr>
      <w:tr w14:paraId="51301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tcPr>
          <w:p w14:paraId="65BA1785">
            <w:pPr>
              <w:pStyle w:val="31"/>
              <w:bidi w:val="0"/>
              <w:rPr>
                <w:rFonts w:hint="default"/>
                <w:lang w:val="en-US" w:eastAsia="zh-CN"/>
              </w:rPr>
            </w:pPr>
          </w:p>
        </w:tc>
        <w:tc>
          <w:tcPr>
            <w:tcW w:w="1492" w:type="pct"/>
          </w:tcPr>
          <w:p w14:paraId="6F72A657">
            <w:pPr>
              <w:pStyle w:val="31"/>
              <w:bidi w:val="0"/>
              <w:rPr>
                <w:rFonts w:hint="default"/>
                <w:lang w:val="en-US" w:eastAsia="zh-CN"/>
              </w:rPr>
            </w:pPr>
          </w:p>
        </w:tc>
        <w:tc>
          <w:tcPr>
            <w:tcW w:w="894" w:type="pct"/>
            <w:shd w:val="clear" w:color="auto" w:fill="auto"/>
            <w:vAlign w:val="center"/>
          </w:tcPr>
          <w:p w14:paraId="24CAD67F">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BX1-</w:t>
            </w:r>
            <w:r>
              <w:rPr>
                <w:rFonts w:hint="eastAsia" w:ascii="Times New Roman" w:hAnsi="Times New Roman" w:eastAsia="宋体" w:cs="Times New Roman"/>
                <w:color w:val="000000"/>
                <w:szCs w:val="21"/>
                <w:u w:val="none" w:color="auto"/>
                <w:lang w:val="en-US" w:eastAsia="zh-CN"/>
              </w:rPr>
              <w:t>4</w:t>
            </w:r>
            <w:r>
              <w:rPr>
                <w:rFonts w:ascii="Times New Roman" w:hAnsi="Times New Roman" w:eastAsia="宋体" w:cs="Times New Roman"/>
                <w:color w:val="000000"/>
                <w:szCs w:val="21"/>
                <w:u w:val="none" w:color="auto"/>
              </w:rPr>
              <w:t>00</w:t>
            </w:r>
          </w:p>
        </w:tc>
        <w:tc>
          <w:tcPr>
            <w:tcW w:w="436" w:type="pct"/>
          </w:tcPr>
          <w:p w14:paraId="6396DC2F">
            <w:pPr>
              <w:pStyle w:val="31"/>
              <w:bidi w:val="0"/>
              <w:rPr>
                <w:rFonts w:hint="default"/>
                <w:lang w:val="en-US" w:eastAsia="zh-CN"/>
              </w:rPr>
            </w:pPr>
            <w:r>
              <w:rPr>
                <w:rFonts w:hint="eastAsia"/>
                <w:lang w:val="en-US" w:eastAsia="zh-CN"/>
              </w:rPr>
              <w:t>台</w:t>
            </w:r>
          </w:p>
        </w:tc>
        <w:tc>
          <w:tcPr>
            <w:tcW w:w="579" w:type="pct"/>
          </w:tcPr>
          <w:p w14:paraId="5F55DEDF">
            <w:pPr>
              <w:pStyle w:val="31"/>
              <w:bidi w:val="0"/>
              <w:rPr>
                <w:rFonts w:hint="default"/>
                <w:lang w:val="en-US" w:eastAsia="zh-CN"/>
              </w:rPr>
            </w:pPr>
            <w:r>
              <w:rPr>
                <w:rFonts w:hint="eastAsia"/>
                <w:lang w:val="en-US" w:eastAsia="zh-CN"/>
              </w:rPr>
              <w:t>2</w:t>
            </w:r>
          </w:p>
        </w:tc>
        <w:tc>
          <w:tcPr>
            <w:tcW w:w="579" w:type="pct"/>
          </w:tcPr>
          <w:p w14:paraId="4BD3A778">
            <w:pPr>
              <w:pStyle w:val="31"/>
              <w:bidi w:val="0"/>
              <w:rPr>
                <w:rFonts w:hint="default"/>
                <w:lang w:val="en-US" w:eastAsia="zh-CN"/>
              </w:rPr>
            </w:pPr>
            <w:r>
              <w:rPr>
                <w:rFonts w:hint="eastAsia"/>
                <w:lang w:val="en-US" w:eastAsia="zh-CN"/>
              </w:rPr>
              <w:t>2</w:t>
            </w:r>
          </w:p>
        </w:tc>
        <w:tc>
          <w:tcPr>
            <w:tcW w:w="580" w:type="pct"/>
          </w:tcPr>
          <w:p w14:paraId="386CC5DD">
            <w:pPr>
              <w:pStyle w:val="31"/>
              <w:bidi w:val="0"/>
              <w:rPr>
                <w:rFonts w:hint="default"/>
                <w:lang w:val="en-US" w:eastAsia="zh-CN"/>
              </w:rPr>
            </w:pPr>
            <w:r>
              <w:rPr>
                <w:rFonts w:hint="eastAsia"/>
                <w:lang w:val="en-US" w:eastAsia="zh-CN"/>
              </w:rPr>
              <w:t>0</w:t>
            </w:r>
          </w:p>
        </w:tc>
      </w:tr>
      <w:tr w14:paraId="1022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1FACE7AF">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6</w:t>
            </w:r>
          </w:p>
        </w:tc>
        <w:tc>
          <w:tcPr>
            <w:tcW w:w="1492" w:type="pct"/>
            <w:shd w:val="clear" w:color="auto" w:fill="auto"/>
            <w:vAlign w:val="center"/>
          </w:tcPr>
          <w:p w14:paraId="0FAE2EBF">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氧割机</w:t>
            </w:r>
          </w:p>
        </w:tc>
        <w:tc>
          <w:tcPr>
            <w:tcW w:w="894" w:type="pct"/>
            <w:shd w:val="clear" w:color="auto" w:fill="auto"/>
            <w:vAlign w:val="center"/>
          </w:tcPr>
          <w:p w14:paraId="3AB92BB2">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DK7760</w:t>
            </w:r>
          </w:p>
        </w:tc>
        <w:tc>
          <w:tcPr>
            <w:tcW w:w="436" w:type="pct"/>
          </w:tcPr>
          <w:p w14:paraId="3FB91505">
            <w:pPr>
              <w:pStyle w:val="31"/>
              <w:bidi w:val="0"/>
              <w:rPr>
                <w:rFonts w:hint="default"/>
                <w:lang w:val="en-US" w:eastAsia="zh-CN"/>
              </w:rPr>
            </w:pPr>
            <w:r>
              <w:rPr>
                <w:rFonts w:hint="eastAsia"/>
                <w:lang w:val="en-US" w:eastAsia="zh-CN"/>
              </w:rPr>
              <w:t>台</w:t>
            </w:r>
          </w:p>
        </w:tc>
        <w:tc>
          <w:tcPr>
            <w:tcW w:w="579" w:type="pct"/>
          </w:tcPr>
          <w:p w14:paraId="1D5D2530">
            <w:pPr>
              <w:pStyle w:val="31"/>
              <w:bidi w:val="0"/>
              <w:rPr>
                <w:rFonts w:hint="default"/>
                <w:lang w:val="en-US" w:eastAsia="zh-CN"/>
              </w:rPr>
            </w:pPr>
            <w:r>
              <w:rPr>
                <w:rFonts w:hint="eastAsia"/>
                <w:lang w:val="en-US" w:eastAsia="zh-CN"/>
              </w:rPr>
              <w:t>2</w:t>
            </w:r>
          </w:p>
        </w:tc>
        <w:tc>
          <w:tcPr>
            <w:tcW w:w="579" w:type="pct"/>
          </w:tcPr>
          <w:p w14:paraId="73365D30">
            <w:pPr>
              <w:pStyle w:val="31"/>
              <w:bidi w:val="0"/>
              <w:rPr>
                <w:rFonts w:hint="default"/>
                <w:lang w:val="en-US" w:eastAsia="zh-CN"/>
              </w:rPr>
            </w:pPr>
            <w:r>
              <w:rPr>
                <w:rFonts w:hint="eastAsia"/>
                <w:lang w:val="en-US" w:eastAsia="zh-CN"/>
              </w:rPr>
              <w:t>4</w:t>
            </w:r>
          </w:p>
        </w:tc>
        <w:tc>
          <w:tcPr>
            <w:tcW w:w="580" w:type="pct"/>
          </w:tcPr>
          <w:p w14:paraId="421081A7">
            <w:pPr>
              <w:pStyle w:val="31"/>
              <w:bidi w:val="0"/>
              <w:rPr>
                <w:rFonts w:hint="default"/>
                <w:lang w:val="en-US" w:eastAsia="zh-CN"/>
              </w:rPr>
            </w:pPr>
            <w:r>
              <w:rPr>
                <w:rFonts w:hint="eastAsia"/>
                <w:lang w:val="en-US" w:eastAsia="zh-CN"/>
              </w:rPr>
              <w:t>+2</w:t>
            </w:r>
          </w:p>
        </w:tc>
      </w:tr>
      <w:tr w14:paraId="3F0D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1D756B57">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7</w:t>
            </w:r>
          </w:p>
        </w:tc>
        <w:tc>
          <w:tcPr>
            <w:tcW w:w="1492" w:type="pct"/>
            <w:shd w:val="clear" w:color="auto" w:fill="auto"/>
            <w:vAlign w:val="center"/>
          </w:tcPr>
          <w:p w14:paraId="09903FDB">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减压器</w:t>
            </w:r>
          </w:p>
        </w:tc>
        <w:tc>
          <w:tcPr>
            <w:tcW w:w="894" w:type="pct"/>
            <w:shd w:val="clear" w:color="auto" w:fill="auto"/>
            <w:vAlign w:val="center"/>
          </w:tcPr>
          <w:p w14:paraId="36227D38">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w:t>
            </w:r>
          </w:p>
        </w:tc>
        <w:tc>
          <w:tcPr>
            <w:tcW w:w="436" w:type="pct"/>
          </w:tcPr>
          <w:p w14:paraId="069DDBFC">
            <w:pPr>
              <w:pStyle w:val="31"/>
              <w:bidi w:val="0"/>
              <w:rPr>
                <w:rFonts w:hint="default"/>
                <w:lang w:val="en-US" w:eastAsia="zh-CN"/>
              </w:rPr>
            </w:pPr>
            <w:r>
              <w:rPr>
                <w:rFonts w:hint="eastAsia"/>
                <w:lang w:val="en-US" w:eastAsia="zh-CN"/>
              </w:rPr>
              <w:t>台</w:t>
            </w:r>
          </w:p>
        </w:tc>
        <w:tc>
          <w:tcPr>
            <w:tcW w:w="579" w:type="pct"/>
          </w:tcPr>
          <w:p w14:paraId="4EA5D3F9">
            <w:pPr>
              <w:pStyle w:val="31"/>
              <w:bidi w:val="0"/>
              <w:rPr>
                <w:rFonts w:hint="default"/>
                <w:lang w:val="en-US" w:eastAsia="zh-CN"/>
              </w:rPr>
            </w:pPr>
            <w:r>
              <w:rPr>
                <w:rFonts w:hint="eastAsia"/>
                <w:lang w:val="en-US" w:eastAsia="zh-CN"/>
              </w:rPr>
              <w:t>2</w:t>
            </w:r>
          </w:p>
        </w:tc>
        <w:tc>
          <w:tcPr>
            <w:tcW w:w="579" w:type="pct"/>
          </w:tcPr>
          <w:p w14:paraId="5B195BAA">
            <w:pPr>
              <w:pStyle w:val="31"/>
              <w:bidi w:val="0"/>
              <w:rPr>
                <w:rFonts w:hint="default"/>
                <w:lang w:val="en-US" w:eastAsia="zh-CN"/>
              </w:rPr>
            </w:pPr>
            <w:r>
              <w:rPr>
                <w:rFonts w:hint="eastAsia"/>
                <w:lang w:val="en-US" w:eastAsia="zh-CN"/>
              </w:rPr>
              <w:t>2</w:t>
            </w:r>
          </w:p>
        </w:tc>
        <w:tc>
          <w:tcPr>
            <w:tcW w:w="580" w:type="pct"/>
          </w:tcPr>
          <w:p w14:paraId="50ABA7C0">
            <w:pPr>
              <w:pStyle w:val="31"/>
              <w:bidi w:val="0"/>
              <w:rPr>
                <w:rFonts w:hint="default"/>
                <w:lang w:val="en-US" w:eastAsia="zh-CN"/>
              </w:rPr>
            </w:pPr>
            <w:r>
              <w:rPr>
                <w:rFonts w:hint="eastAsia"/>
                <w:lang w:val="en-US" w:eastAsia="zh-CN"/>
              </w:rPr>
              <w:t>0</w:t>
            </w:r>
          </w:p>
        </w:tc>
      </w:tr>
      <w:tr w14:paraId="3A9DC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621175F0">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8</w:t>
            </w:r>
          </w:p>
        </w:tc>
        <w:tc>
          <w:tcPr>
            <w:tcW w:w="1492" w:type="pct"/>
            <w:shd w:val="clear" w:color="auto" w:fill="auto"/>
            <w:vAlign w:val="center"/>
          </w:tcPr>
          <w:p w14:paraId="44374E05">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割炬</w:t>
            </w:r>
          </w:p>
        </w:tc>
        <w:tc>
          <w:tcPr>
            <w:tcW w:w="894" w:type="pct"/>
            <w:shd w:val="clear" w:color="auto" w:fill="auto"/>
            <w:vAlign w:val="center"/>
          </w:tcPr>
          <w:p w14:paraId="3AF7FB4E">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w:t>
            </w:r>
          </w:p>
        </w:tc>
        <w:tc>
          <w:tcPr>
            <w:tcW w:w="436" w:type="pct"/>
          </w:tcPr>
          <w:p w14:paraId="5BED2272">
            <w:pPr>
              <w:pStyle w:val="31"/>
              <w:bidi w:val="0"/>
              <w:rPr>
                <w:rFonts w:hint="default"/>
                <w:lang w:val="en-US" w:eastAsia="zh-CN"/>
              </w:rPr>
            </w:pPr>
            <w:r>
              <w:rPr>
                <w:rFonts w:hint="eastAsia"/>
                <w:lang w:val="en-US" w:eastAsia="zh-CN"/>
              </w:rPr>
              <w:t>支</w:t>
            </w:r>
          </w:p>
        </w:tc>
        <w:tc>
          <w:tcPr>
            <w:tcW w:w="579" w:type="pct"/>
          </w:tcPr>
          <w:p w14:paraId="522EB750">
            <w:pPr>
              <w:pStyle w:val="31"/>
              <w:bidi w:val="0"/>
              <w:rPr>
                <w:rFonts w:hint="default"/>
                <w:lang w:val="en-US" w:eastAsia="zh-CN"/>
              </w:rPr>
            </w:pPr>
            <w:r>
              <w:rPr>
                <w:rFonts w:hint="eastAsia"/>
                <w:lang w:val="en-US" w:eastAsia="zh-CN"/>
              </w:rPr>
              <w:t>4</w:t>
            </w:r>
          </w:p>
        </w:tc>
        <w:tc>
          <w:tcPr>
            <w:tcW w:w="579" w:type="pct"/>
          </w:tcPr>
          <w:p w14:paraId="0F3953A8">
            <w:pPr>
              <w:pStyle w:val="31"/>
              <w:bidi w:val="0"/>
              <w:rPr>
                <w:rFonts w:hint="default"/>
                <w:lang w:val="en-US" w:eastAsia="zh-CN"/>
              </w:rPr>
            </w:pPr>
            <w:r>
              <w:rPr>
                <w:rFonts w:hint="eastAsia"/>
                <w:lang w:val="en-US" w:eastAsia="zh-CN"/>
              </w:rPr>
              <w:t>8</w:t>
            </w:r>
          </w:p>
        </w:tc>
        <w:tc>
          <w:tcPr>
            <w:tcW w:w="580" w:type="pct"/>
          </w:tcPr>
          <w:p w14:paraId="1F528F99">
            <w:pPr>
              <w:pStyle w:val="31"/>
              <w:bidi w:val="0"/>
              <w:rPr>
                <w:rFonts w:hint="default"/>
                <w:lang w:val="en-US" w:eastAsia="zh-CN"/>
              </w:rPr>
            </w:pPr>
            <w:r>
              <w:rPr>
                <w:rFonts w:hint="eastAsia"/>
                <w:lang w:val="en-US" w:eastAsia="zh-CN"/>
              </w:rPr>
              <w:t>+4</w:t>
            </w:r>
          </w:p>
        </w:tc>
      </w:tr>
      <w:tr w14:paraId="7F4A1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4D0403A6">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9</w:t>
            </w:r>
          </w:p>
        </w:tc>
        <w:tc>
          <w:tcPr>
            <w:tcW w:w="1492" w:type="pct"/>
            <w:shd w:val="clear" w:color="auto" w:fill="auto"/>
            <w:vAlign w:val="center"/>
          </w:tcPr>
          <w:p w14:paraId="506FF6DB">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打磨机</w:t>
            </w:r>
          </w:p>
        </w:tc>
        <w:tc>
          <w:tcPr>
            <w:tcW w:w="894" w:type="pct"/>
            <w:shd w:val="clear" w:color="auto" w:fill="auto"/>
            <w:vAlign w:val="center"/>
          </w:tcPr>
          <w:p w14:paraId="76677D47">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ascii="Times New Roman" w:hAnsi="Times New Roman" w:eastAsia="宋体" w:cs="Times New Roman"/>
                <w:color w:val="000000"/>
                <w:szCs w:val="21"/>
                <w:u w:val="none" w:color="auto"/>
              </w:rPr>
              <w:t>TWS6700</w:t>
            </w:r>
          </w:p>
        </w:tc>
        <w:tc>
          <w:tcPr>
            <w:tcW w:w="436" w:type="pct"/>
          </w:tcPr>
          <w:p w14:paraId="2A451022">
            <w:pPr>
              <w:pStyle w:val="31"/>
              <w:bidi w:val="0"/>
              <w:rPr>
                <w:rFonts w:hint="default"/>
                <w:lang w:val="en-US" w:eastAsia="zh-CN"/>
              </w:rPr>
            </w:pPr>
            <w:r>
              <w:rPr>
                <w:rFonts w:hint="eastAsia"/>
                <w:lang w:val="en-US" w:eastAsia="zh-CN"/>
              </w:rPr>
              <w:t>台</w:t>
            </w:r>
          </w:p>
        </w:tc>
        <w:tc>
          <w:tcPr>
            <w:tcW w:w="579" w:type="pct"/>
          </w:tcPr>
          <w:p w14:paraId="0A0D7BC4">
            <w:pPr>
              <w:pStyle w:val="31"/>
              <w:bidi w:val="0"/>
              <w:rPr>
                <w:rFonts w:hint="default"/>
                <w:lang w:val="en-US" w:eastAsia="zh-CN"/>
              </w:rPr>
            </w:pPr>
            <w:r>
              <w:rPr>
                <w:rFonts w:hint="eastAsia"/>
                <w:lang w:val="en-US" w:eastAsia="zh-CN"/>
              </w:rPr>
              <w:t>2</w:t>
            </w:r>
          </w:p>
        </w:tc>
        <w:tc>
          <w:tcPr>
            <w:tcW w:w="579" w:type="pct"/>
          </w:tcPr>
          <w:p w14:paraId="6C63067E">
            <w:pPr>
              <w:pStyle w:val="31"/>
              <w:bidi w:val="0"/>
              <w:rPr>
                <w:rFonts w:hint="default"/>
                <w:lang w:val="en-US" w:eastAsia="zh-CN"/>
              </w:rPr>
            </w:pPr>
            <w:r>
              <w:rPr>
                <w:rFonts w:hint="eastAsia"/>
                <w:lang w:val="en-US" w:eastAsia="zh-CN"/>
              </w:rPr>
              <w:t>2</w:t>
            </w:r>
          </w:p>
        </w:tc>
        <w:tc>
          <w:tcPr>
            <w:tcW w:w="580" w:type="pct"/>
          </w:tcPr>
          <w:p w14:paraId="67231883">
            <w:pPr>
              <w:pStyle w:val="31"/>
              <w:bidi w:val="0"/>
              <w:rPr>
                <w:rFonts w:hint="default"/>
                <w:lang w:val="en-US" w:eastAsia="zh-CN"/>
              </w:rPr>
            </w:pPr>
            <w:r>
              <w:rPr>
                <w:rFonts w:hint="eastAsia"/>
                <w:lang w:val="en-US" w:eastAsia="zh-CN"/>
              </w:rPr>
              <w:t>0</w:t>
            </w:r>
          </w:p>
        </w:tc>
      </w:tr>
      <w:tr w14:paraId="5438B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7B1504AF">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hint="eastAsia" w:ascii="Times New Roman" w:hAnsi="Times New Roman" w:eastAsia="宋体" w:cs="Times New Roman"/>
                <w:color w:val="000000"/>
                <w:szCs w:val="21"/>
                <w:u w:val="none" w:color="auto"/>
                <w:lang w:val="en-US" w:eastAsia="zh-CN"/>
              </w:rPr>
              <w:t>10</w:t>
            </w:r>
          </w:p>
        </w:tc>
        <w:tc>
          <w:tcPr>
            <w:tcW w:w="1492" w:type="pct"/>
            <w:shd w:val="clear" w:color="auto" w:fill="auto"/>
            <w:vAlign w:val="center"/>
          </w:tcPr>
          <w:p w14:paraId="2C25A29C">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hint="eastAsia" w:ascii="Times New Roman" w:hAnsi="Times New Roman" w:eastAsia="宋体" w:cs="Times New Roman"/>
                <w:color w:val="000000"/>
                <w:szCs w:val="21"/>
                <w:u w:val="none" w:color="auto"/>
                <w:lang w:val="en-US" w:eastAsia="zh-CN"/>
              </w:rPr>
              <w:t>喷砂除锈机</w:t>
            </w:r>
          </w:p>
        </w:tc>
        <w:tc>
          <w:tcPr>
            <w:tcW w:w="894" w:type="pct"/>
            <w:shd w:val="clear" w:color="auto" w:fill="auto"/>
            <w:vAlign w:val="center"/>
          </w:tcPr>
          <w:p w14:paraId="593CB050">
            <w:pPr>
              <w:pStyle w:val="43"/>
              <w:rPr>
                <w:rFonts w:hint="default" w:ascii="Times New Roman" w:hAnsi="Times New Roman" w:eastAsia="宋体" w:cs="Times New Roman"/>
                <w:color w:val="000000"/>
                <w:spacing w:val="4"/>
                <w:kern w:val="2"/>
                <w:sz w:val="21"/>
                <w:szCs w:val="21"/>
                <w:u w:val="none" w:color="auto"/>
                <w:lang w:val="en-US" w:eastAsia="zh-CN" w:bidi="ar-SA"/>
                <w14:ligatures w14:val="standardContextual"/>
              </w:rPr>
            </w:pPr>
            <w:r>
              <w:rPr>
                <w:rFonts w:hint="eastAsia" w:ascii="Times New Roman" w:hAnsi="Times New Roman" w:eastAsia="宋体" w:cs="Times New Roman"/>
                <w:color w:val="000000"/>
                <w:szCs w:val="21"/>
                <w:u w:val="none" w:color="auto"/>
                <w:lang w:val="en-US" w:eastAsia="zh-CN"/>
              </w:rPr>
              <w:t>--</w:t>
            </w:r>
          </w:p>
        </w:tc>
        <w:tc>
          <w:tcPr>
            <w:tcW w:w="436" w:type="pct"/>
          </w:tcPr>
          <w:p w14:paraId="6561DCFF">
            <w:pPr>
              <w:pStyle w:val="31"/>
              <w:bidi w:val="0"/>
              <w:rPr>
                <w:rFonts w:hint="default"/>
                <w:lang w:val="en-US" w:eastAsia="zh-CN"/>
              </w:rPr>
            </w:pPr>
            <w:r>
              <w:rPr>
                <w:rFonts w:hint="eastAsia"/>
                <w:lang w:val="en-US" w:eastAsia="zh-CN"/>
              </w:rPr>
              <w:t>台</w:t>
            </w:r>
          </w:p>
        </w:tc>
        <w:tc>
          <w:tcPr>
            <w:tcW w:w="579" w:type="pct"/>
          </w:tcPr>
          <w:p w14:paraId="46EA309A">
            <w:pPr>
              <w:pStyle w:val="31"/>
              <w:bidi w:val="0"/>
              <w:rPr>
                <w:rFonts w:hint="default"/>
                <w:lang w:val="en-US" w:eastAsia="zh-CN"/>
              </w:rPr>
            </w:pPr>
            <w:r>
              <w:rPr>
                <w:rFonts w:hint="eastAsia"/>
                <w:lang w:val="en-US" w:eastAsia="zh-CN"/>
              </w:rPr>
              <w:t>1</w:t>
            </w:r>
          </w:p>
        </w:tc>
        <w:tc>
          <w:tcPr>
            <w:tcW w:w="579" w:type="pct"/>
          </w:tcPr>
          <w:p w14:paraId="2724C76E">
            <w:pPr>
              <w:pStyle w:val="31"/>
              <w:bidi w:val="0"/>
              <w:rPr>
                <w:rFonts w:hint="default"/>
                <w:lang w:val="en-US" w:eastAsia="zh-CN"/>
              </w:rPr>
            </w:pPr>
            <w:r>
              <w:rPr>
                <w:rFonts w:hint="eastAsia"/>
                <w:lang w:val="en-US" w:eastAsia="zh-CN"/>
              </w:rPr>
              <w:t>1</w:t>
            </w:r>
          </w:p>
        </w:tc>
        <w:tc>
          <w:tcPr>
            <w:tcW w:w="580" w:type="pct"/>
          </w:tcPr>
          <w:p w14:paraId="2F5E1F15">
            <w:pPr>
              <w:pStyle w:val="31"/>
              <w:bidi w:val="0"/>
              <w:rPr>
                <w:rFonts w:hint="default"/>
                <w:lang w:val="en-US" w:eastAsia="zh-CN"/>
              </w:rPr>
            </w:pPr>
            <w:r>
              <w:rPr>
                <w:rFonts w:hint="eastAsia"/>
                <w:lang w:val="en-US" w:eastAsia="zh-CN"/>
              </w:rPr>
              <w:t>0</w:t>
            </w:r>
          </w:p>
        </w:tc>
      </w:tr>
      <w:tr w14:paraId="117A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376049F4">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11</w:t>
            </w:r>
          </w:p>
        </w:tc>
        <w:tc>
          <w:tcPr>
            <w:tcW w:w="1492" w:type="pct"/>
            <w:shd w:val="clear" w:color="auto" w:fill="auto"/>
            <w:vAlign w:val="center"/>
          </w:tcPr>
          <w:p w14:paraId="6F9ACDA4">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手提式等离子切割机</w:t>
            </w:r>
          </w:p>
        </w:tc>
        <w:tc>
          <w:tcPr>
            <w:tcW w:w="894" w:type="pct"/>
            <w:shd w:val="clear" w:color="auto" w:fill="auto"/>
            <w:vAlign w:val="center"/>
          </w:tcPr>
          <w:p w14:paraId="75BAC08A">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80型</w:t>
            </w:r>
          </w:p>
        </w:tc>
        <w:tc>
          <w:tcPr>
            <w:tcW w:w="436" w:type="pct"/>
          </w:tcPr>
          <w:p w14:paraId="51DFD2BD">
            <w:pPr>
              <w:pStyle w:val="31"/>
              <w:bidi w:val="0"/>
              <w:rPr>
                <w:rFonts w:hint="default"/>
                <w:lang w:val="en-US" w:eastAsia="zh-CN"/>
              </w:rPr>
            </w:pPr>
            <w:r>
              <w:rPr>
                <w:rFonts w:hint="eastAsia"/>
                <w:lang w:val="en-US" w:eastAsia="zh-CN"/>
              </w:rPr>
              <w:t>把</w:t>
            </w:r>
          </w:p>
        </w:tc>
        <w:tc>
          <w:tcPr>
            <w:tcW w:w="579" w:type="pct"/>
          </w:tcPr>
          <w:p w14:paraId="2BFAB5B2">
            <w:pPr>
              <w:pStyle w:val="31"/>
              <w:bidi w:val="0"/>
              <w:rPr>
                <w:rFonts w:hint="default"/>
                <w:lang w:val="en-US" w:eastAsia="zh-CN"/>
              </w:rPr>
            </w:pPr>
            <w:r>
              <w:rPr>
                <w:rFonts w:hint="eastAsia"/>
                <w:lang w:val="en-US" w:eastAsia="zh-CN"/>
              </w:rPr>
              <w:t>0</w:t>
            </w:r>
          </w:p>
        </w:tc>
        <w:tc>
          <w:tcPr>
            <w:tcW w:w="579" w:type="pct"/>
          </w:tcPr>
          <w:p w14:paraId="2DC60D9D">
            <w:pPr>
              <w:pStyle w:val="31"/>
              <w:bidi w:val="0"/>
              <w:rPr>
                <w:rFonts w:hint="default"/>
                <w:lang w:val="en-US" w:eastAsia="zh-CN"/>
              </w:rPr>
            </w:pPr>
            <w:r>
              <w:rPr>
                <w:rFonts w:hint="eastAsia"/>
                <w:lang w:val="en-US" w:eastAsia="zh-CN"/>
              </w:rPr>
              <w:t>2</w:t>
            </w:r>
          </w:p>
        </w:tc>
        <w:tc>
          <w:tcPr>
            <w:tcW w:w="580" w:type="pct"/>
          </w:tcPr>
          <w:p w14:paraId="23A2CDBF">
            <w:pPr>
              <w:pStyle w:val="31"/>
              <w:bidi w:val="0"/>
              <w:rPr>
                <w:rFonts w:hint="default"/>
                <w:lang w:val="en-US" w:eastAsia="zh-CN"/>
              </w:rPr>
            </w:pPr>
            <w:r>
              <w:rPr>
                <w:rFonts w:hint="eastAsia"/>
                <w:lang w:val="en-US" w:eastAsia="zh-CN"/>
              </w:rPr>
              <w:t>+2</w:t>
            </w:r>
          </w:p>
        </w:tc>
      </w:tr>
      <w:tr w14:paraId="470A4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7FC4457F">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12</w:t>
            </w:r>
          </w:p>
        </w:tc>
        <w:tc>
          <w:tcPr>
            <w:tcW w:w="1492" w:type="pct"/>
            <w:shd w:val="clear" w:color="auto" w:fill="auto"/>
            <w:vAlign w:val="center"/>
          </w:tcPr>
          <w:p w14:paraId="60D4E0B5">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手提式切割机</w:t>
            </w:r>
          </w:p>
        </w:tc>
        <w:tc>
          <w:tcPr>
            <w:tcW w:w="894" w:type="pct"/>
            <w:shd w:val="clear" w:color="auto" w:fill="auto"/>
            <w:vAlign w:val="center"/>
          </w:tcPr>
          <w:p w14:paraId="3EE17616">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充电式</w:t>
            </w:r>
          </w:p>
        </w:tc>
        <w:tc>
          <w:tcPr>
            <w:tcW w:w="436" w:type="pct"/>
          </w:tcPr>
          <w:p w14:paraId="114B22E7">
            <w:pPr>
              <w:pStyle w:val="31"/>
              <w:bidi w:val="0"/>
              <w:rPr>
                <w:rFonts w:hint="default"/>
                <w:lang w:val="en-US" w:eastAsia="zh-CN"/>
              </w:rPr>
            </w:pPr>
            <w:r>
              <w:rPr>
                <w:rFonts w:hint="eastAsia"/>
                <w:lang w:val="en-US" w:eastAsia="zh-CN"/>
              </w:rPr>
              <w:t>把</w:t>
            </w:r>
          </w:p>
        </w:tc>
        <w:tc>
          <w:tcPr>
            <w:tcW w:w="579" w:type="pct"/>
          </w:tcPr>
          <w:p w14:paraId="4F8BF115">
            <w:pPr>
              <w:pStyle w:val="31"/>
              <w:bidi w:val="0"/>
              <w:rPr>
                <w:rFonts w:hint="default"/>
                <w:lang w:val="en-US" w:eastAsia="zh-CN"/>
              </w:rPr>
            </w:pPr>
            <w:r>
              <w:rPr>
                <w:rFonts w:hint="eastAsia"/>
                <w:lang w:val="en-US" w:eastAsia="zh-CN"/>
              </w:rPr>
              <w:t>0</w:t>
            </w:r>
          </w:p>
        </w:tc>
        <w:tc>
          <w:tcPr>
            <w:tcW w:w="579" w:type="pct"/>
          </w:tcPr>
          <w:p w14:paraId="7FB7ABF8">
            <w:pPr>
              <w:pStyle w:val="31"/>
              <w:bidi w:val="0"/>
              <w:rPr>
                <w:rFonts w:hint="default"/>
                <w:lang w:val="en-US" w:eastAsia="zh-CN"/>
              </w:rPr>
            </w:pPr>
            <w:r>
              <w:rPr>
                <w:rFonts w:hint="eastAsia"/>
                <w:lang w:val="en-US" w:eastAsia="zh-CN"/>
              </w:rPr>
              <w:t>2</w:t>
            </w:r>
          </w:p>
        </w:tc>
        <w:tc>
          <w:tcPr>
            <w:tcW w:w="580" w:type="pct"/>
          </w:tcPr>
          <w:p w14:paraId="23A4FD00">
            <w:pPr>
              <w:pStyle w:val="31"/>
              <w:bidi w:val="0"/>
              <w:rPr>
                <w:rFonts w:hint="default"/>
                <w:lang w:val="en-US" w:eastAsia="zh-CN"/>
              </w:rPr>
            </w:pPr>
            <w:r>
              <w:rPr>
                <w:rFonts w:hint="eastAsia"/>
                <w:lang w:val="en-US" w:eastAsia="zh-CN"/>
              </w:rPr>
              <w:t>+2</w:t>
            </w:r>
          </w:p>
        </w:tc>
      </w:tr>
      <w:tr w14:paraId="2E5AA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6" w:type="pct"/>
            <w:shd w:val="clear" w:color="auto" w:fill="auto"/>
            <w:vAlign w:val="center"/>
          </w:tcPr>
          <w:p w14:paraId="7F349275">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13</w:t>
            </w:r>
          </w:p>
        </w:tc>
        <w:tc>
          <w:tcPr>
            <w:tcW w:w="1492" w:type="pct"/>
            <w:shd w:val="clear" w:color="auto" w:fill="auto"/>
            <w:vAlign w:val="center"/>
          </w:tcPr>
          <w:p w14:paraId="1E4F37FE">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移动式有机废</w:t>
            </w:r>
          </w:p>
          <w:p w14:paraId="249F392F">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气收集处理设施</w:t>
            </w:r>
          </w:p>
        </w:tc>
        <w:tc>
          <w:tcPr>
            <w:tcW w:w="894" w:type="pct"/>
            <w:shd w:val="clear" w:color="auto" w:fill="auto"/>
            <w:vAlign w:val="center"/>
          </w:tcPr>
          <w:p w14:paraId="3FCA6CB8">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集气罩+</w:t>
            </w:r>
          </w:p>
          <w:p w14:paraId="4AC6894B">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量及活性炭</w:t>
            </w:r>
          </w:p>
        </w:tc>
        <w:tc>
          <w:tcPr>
            <w:tcW w:w="436" w:type="pct"/>
          </w:tcPr>
          <w:p w14:paraId="79292206">
            <w:pPr>
              <w:pStyle w:val="31"/>
              <w:bidi w:val="0"/>
              <w:rPr>
                <w:rFonts w:hint="default"/>
                <w:lang w:val="en-US" w:eastAsia="zh-CN"/>
              </w:rPr>
            </w:pPr>
            <w:r>
              <w:rPr>
                <w:rFonts w:hint="eastAsia"/>
                <w:lang w:val="en-US" w:eastAsia="zh-CN"/>
              </w:rPr>
              <w:t>套</w:t>
            </w:r>
          </w:p>
        </w:tc>
        <w:tc>
          <w:tcPr>
            <w:tcW w:w="579" w:type="pct"/>
          </w:tcPr>
          <w:p w14:paraId="757B1828">
            <w:pPr>
              <w:pStyle w:val="31"/>
              <w:bidi w:val="0"/>
              <w:rPr>
                <w:rFonts w:hint="default"/>
                <w:lang w:val="en-US" w:eastAsia="zh-CN"/>
              </w:rPr>
            </w:pPr>
            <w:r>
              <w:rPr>
                <w:rFonts w:hint="eastAsia"/>
                <w:lang w:val="en-US" w:eastAsia="zh-CN"/>
              </w:rPr>
              <w:t>0</w:t>
            </w:r>
          </w:p>
        </w:tc>
        <w:tc>
          <w:tcPr>
            <w:tcW w:w="579" w:type="pct"/>
          </w:tcPr>
          <w:p w14:paraId="1A4784FA">
            <w:pPr>
              <w:pStyle w:val="31"/>
              <w:bidi w:val="0"/>
              <w:rPr>
                <w:rFonts w:hint="default"/>
                <w:lang w:val="en-US" w:eastAsia="zh-CN"/>
              </w:rPr>
            </w:pPr>
            <w:r>
              <w:rPr>
                <w:rFonts w:hint="eastAsia"/>
                <w:lang w:val="en-US" w:eastAsia="zh-CN"/>
              </w:rPr>
              <w:t>1</w:t>
            </w:r>
          </w:p>
        </w:tc>
        <w:tc>
          <w:tcPr>
            <w:tcW w:w="580" w:type="pct"/>
          </w:tcPr>
          <w:p w14:paraId="4E8D0B9F">
            <w:pPr>
              <w:pStyle w:val="31"/>
              <w:bidi w:val="0"/>
              <w:rPr>
                <w:rFonts w:hint="default"/>
                <w:lang w:val="en-US" w:eastAsia="zh-CN"/>
              </w:rPr>
            </w:pPr>
            <w:r>
              <w:rPr>
                <w:rFonts w:hint="eastAsia"/>
                <w:lang w:val="en-US" w:eastAsia="zh-CN"/>
              </w:rPr>
              <w:t>+1</w:t>
            </w:r>
          </w:p>
        </w:tc>
      </w:tr>
      <w:tr w14:paraId="18360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6C36D33E">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14</w:t>
            </w:r>
          </w:p>
        </w:tc>
        <w:tc>
          <w:tcPr>
            <w:tcW w:w="1492" w:type="pct"/>
            <w:shd w:val="clear" w:color="auto" w:fill="auto"/>
            <w:vAlign w:val="center"/>
          </w:tcPr>
          <w:p w14:paraId="67830C70">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移动式粉尘废气</w:t>
            </w:r>
          </w:p>
          <w:p w14:paraId="318F3401">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收集处理设施</w:t>
            </w:r>
          </w:p>
        </w:tc>
        <w:tc>
          <w:tcPr>
            <w:tcW w:w="894" w:type="pct"/>
            <w:shd w:val="clear" w:color="auto" w:fill="auto"/>
            <w:vAlign w:val="center"/>
          </w:tcPr>
          <w:p w14:paraId="253FB831">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集气罩+</w:t>
            </w:r>
          </w:p>
          <w:p w14:paraId="2E9071AB">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袋式除尘器</w:t>
            </w:r>
          </w:p>
        </w:tc>
        <w:tc>
          <w:tcPr>
            <w:tcW w:w="436" w:type="pct"/>
          </w:tcPr>
          <w:p w14:paraId="3E4F0591">
            <w:pPr>
              <w:pStyle w:val="31"/>
              <w:bidi w:val="0"/>
              <w:rPr>
                <w:rFonts w:hint="default"/>
                <w:lang w:val="en-US" w:eastAsia="zh-CN"/>
              </w:rPr>
            </w:pPr>
            <w:r>
              <w:rPr>
                <w:rFonts w:hint="eastAsia"/>
                <w:lang w:val="en-US" w:eastAsia="zh-CN"/>
              </w:rPr>
              <w:t>套</w:t>
            </w:r>
          </w:p>
        </w:tc>
        <w:tc>
          <w:tcPr>
            <w:tcW w:w="579" w:type="pct"/>
          </w:tcPr>
          <w:p w14:paraId="0E309574">
            <w:pPr>
              <w:pStyle w:val="31"/>
              <w:bidi w:val="0"/>
              <w:rPr>
                <w:rFonts w:hint="default"/>
                <w:lang w:val="en-US" w:eastAsia="zh-CN"/>
              </w:rPr>
            </w:pPr>
            <w:r>
              <w:rPr>
                <w:rFonts w:hint="eastAsia"/>
                <w:lang w:val="en-US" w:eastAsia="zh-CN"/>
              </w:rPr>
              <w:t>0</w:t>
            </w:r>
          </w:p>
        </w:tc>
        <w:tc>
          <w:tcPr>
            <w:tcW w:w="579" w:type="pct"/>
          </w:tcPr>
          <w:p w14:paraId="302987EE">
            <w:pPr>
              <w:pStyle w:val="31"/>
              <w:bidi w:val="0"/>
              <w:rPr>
                <w:rFonts w:hint="default"/>
                <w:lang w:val="en-US" w:eastAsia="zh-CN"/>
              </w:rPr>
            </w:pPr>
            <w:r>
              <w:rPr>
                <w:rFonts w:hint="eastAsia"/>
                <w:lang w:val="en-US" w:eastAsia="zh-CN"/>
              </w:rPr>
              <w:t>1</w:t>
            </w:r>
          </w:p>
        </w:tc>
        <w:tc>
          <w:tcPr>
            <w:tcW w:w="580" w:type="pct"/>
          </w:tcPr>
          <w:p w14:paraId="0280B97C">
            <w:pPr>
              <w:pStyle w:val="31"/>
              <w:bidi w:val="0"/>
              <w:rPr>
                <w:rFonts w:hint="default"/>
                <w:lang w:val="en-US" w:eastAsia="zh-CN"/>
              </w:rPr>
            </w:pPr>
            <w:r>
              <w:rPr>
                <w:rFonts w:hint="eastAsia"/>
                <w:lang w:val="en-US" w:eastAsia="zh-CN"/>
              </w:rPr>
              <w:t>+1</w:t>
            </w:r>
          </w:p>
        </w:tc>
      </w:tr>
      <w:tr w14:paraId="78F13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098299CD">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15</w:t>
            </w:r>
          </w:p>
        </w:tc>
        <w:tc>
          <w:tcPr>
            <w:tcW w:w="1492" w:type="pct"/>
            <w:shd w:val="clear" w:color="auto" w:fill="auto"/>
            <w:vAlign w:val="center"/>
          </w:tcPr>
          <w:p w14:paraId="1BF534FB">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移动式烟尘净化器</w:t>
            </w:r>
          </w:p>
          <w:p w14:paraId="5970AADE">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及收集设施</w:t>
            </w:r>
          </w:p>
        </w:tc>
        <w:tc>
          <w:tcPr>
            <w:tcW w:w="894" w:type="pct"/>
            <w:shd w:val="clear" w:color="auto" w:fill="auto"/>
            <w:vAlign w:val="center"/>
          </w:tcPr>
          <w:p w14:paraId="3DFF663C">
            <w:pPr>
              <w:pStyle w:val="43"/>
              <w:rPr>
                <w:rFonts w:hint="eastAsia"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集气罩+</w:t>
            </w:r>
          </w:p>
          <w:p w14:paraId="77E7EB4A">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烟尘净化器</w:t>
            </w:r>
          </w:p>
        </w:tc>
        <w:tc>
          <w:tcPr>
            <w:tcW w:w="436" w:type="pct"/>
          </w:tcPr>
          <w:p w14:paraId="4CCBBE14">
            <w:pPr>
              <w:pStyle w:val="31"/>
              <w:bidi w:val="0"/>
              <w:rPr>
                <w:rFonts w:hint="default"/>
                <w:lang w:val="en-US" w:eastAsia="zh-CN"/>
              </w:rPr>
            </w:pPr>
            <w:r>
              <w:rPr>
                <w:rFonts w:hint="eastAsia"/>
                <w:lang w:val="en-US" w:eastAsia="zh-CN"/>
              </w:rPr>
              <w:t>套</w:t>
            </w:r>
          </w:p>
        </w:tc>
        <w:tc>
          <w:tcPr>
            <w:tcW w:w="579" w:type="pct"/>
          </w:tcPr>
          <w:p w14:paraId="7BC91FBD">
            <w:pPr>
              <w:pStyle w:val="31"/>
              <w:bidi w:val="0"/>
              <w:rPr>
                <w:rFonts w:hint="default"/>
                <w:lang w:val="en-US" w:eastAsia="zh-CN"/>
              </w:rPr>
            </w:pPr>
            <w:r>
              <w:rPr>
                <w:rFonts w:hint="eastAsia"/>
                <w:lang w:val="en-US" w:eastAsia="zh-CN"/>
              </w:rPr>
              <w:t>0</w:t>
            </w:r>
          </w:p>
        </w:tc>
        <w:tc>
          <w:tcPr>
            <w:tcW w:w="579" w:type="pct"/>
          </w:tcPr>
          <w:p w14:paraId="390D3368">
            <w:pPr>
              <w:pStyle w:val="31"/>
              <w:bidi w:val="0"/>
              <w:rPr>
                <w:rFonts w:hint="default"/>
                <w:lang w:val="en-US" w:eastAsia="zh-CN"/>
              </w:rPr>
            </w:pPr>
            <w:r>
              <w:rPr>
                <w:rFonts w:hint="eastAsia"/>
                <w:lang w:val="en-US" w:eastAsia="zh-CN"/>
              </w:rPr>
              <w:t>6</w:t>
            </w:r>
          </w:p>
        </w:tc>
        <w:tc>
          <w:tcPr>
            <w:tcW w:w="580" w:type="pct"/>
          </w:tcPr>
          <w:p w14:paraId="34F22321">
            <w:pPr>
              <w:pStyle w:val="31"/>
              <w:bidi w:val="0"/>
              <w:rPr>
                <w:rFonts w:hint="default"/>
                <w:lang w:val="en-US" w:eastAsia="zh-CN"/>
              </w:rPr>
            </w:pPr>
            <w:r>
              <w:rPr>
                <w:rFonts w:hint="eastAsia"/>
                <w:lang w:val="en-US" w:eastAsia="zh-CN"/>
              </w:rPr>
              <w:t>+6</w:t>
            </w:r>
          </w:p>
        </w:tc>
      </w:tr>
      <w:tr w14:paraId="1420E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20F10719">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16</w:t>
            </w:r>
          </w:p>
        </w:tc>
        <w:tc>
          <w:tcPr>
            <w:tcW w:w="1492" w:type="pct"/>
            <w:shd w:val="clear" w:color="auto" w:fill="auto"/>
            <w:vAlign w:val="center"/>
          </w:tcPr>
          <w:p w14:paraId="30517CC6">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门式行吊</w:t>
            </w:r>
          </w:p>
        </w:tc>
        <w:tc>
          <w:tcPr>
            <w:tcW w:w="894" w:type="pct"/>
            <w:shd w:val="clear" w:color="auto" w:fill="auto"/>
            <w:vAlign w:val="center"/>
          </w:tcPr>
          <w:p w14:paraId="6C973A46">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w:t>
            </w:r>
          </w:p>
        </w:tc>
        <w:tc>
          <w:tcPr>
            <w:tcW w:w="436" w:type="pct"/>
          </w:tcPr>
          <w:p w14:paraId="0C40FB85">
            <w:pPr>
              <w:pStyle w:val="31"/>
              <w:bidi w:val="0"/>
              <w:rPr>
                <w:rFonts w:hint="default"/>
                <w:lang w:val="en-US" w:eastAsia="zh-CN"/>
              </w:rPr>
            </w:pPr>
            <w:r>
              <w:rPr>
                <w:rFonts w:hint="eastAsia"/>
                <w:lang w:val="en-US" w:eastAsia="zh-CN"/>
              </w:rPr>
              <w:t>条</w:t>
            </w:r>
          </w:p>
        </w:tc>
        <w:tc>
          <w:tcPr>
            <w:tcW w:w="579" w:type="pct"/>
          </w:tcPr>
          <w:p w14:paraId="4844F51F">
            <w:pPr>
              <w:pStyle w:val="31"/>
              <w:bidi w:val="0"/>
              <w:rPr>
                <w:rFonts w:hint="default"/>
                <w:lang w:val="en-US" w:eastAsia="zh-CN"/>
              </w:rPr>
            </w:pPr>
            <w:r>
              <w:rPr>
                <w:rFonts w:hint="eastAsia"/>
                <w:lang w:val="en-US" w:eastAsia="zh-CN"/>
              </w:rPr>
              <w:t>0</w:t>
            </w:r>
          </w:p>
        </w:tc>
        <w:tc>
          <w:tcPr>
            <w:tcW w:w="579" w:type="pct"/>
          </w:tcPr>
          <w:p w14:paraId="712F67DB">
            <w:pPr>
              <w:pStyle w:val="31"/>
              <w:bidi w:val="0"/>
              <w:rPr>
                <w:rFonts w:hint="default"/>
                <w:lang w:val="en-US" w:eastAsia="zh-CN"/>
              </w:rPr>
            </w:pPr>
            <w:r>
              <w:rPr>
                <w:rFonts w:hint="eastAsia"/>
                <w:lang w:val="en-US" w:eastAsia="zh-CN"/>
              </w:rPr>
              <w:t>1</w:t>
            </w:r>
          </w:p>
        </w:tc>
        <w:tc>
          <w:tcPr>
            <w:tcW w:w="580" w:type="pct"/>
          </w:tcPr>
          <w:p w14:paraId="6996E751">
            <w:pPr>
              <w:pStyle w:val="31"/>
              <w:bidi w:val="0"/>
              <w:rPr>
                <w:rFonts w:hint="default"/>
                <w:lang w:val="en-US" w:eastAsia="zh-CN"/>
              </w:rPr>
            </w:pPr>
            <w:r>
              <w:rPr>
                <w:rFonts w:hint="eastAsia"/>
                <w:lang w:val="en-US" w:eastAsia="zh-CN"/>
              </w:rPr>
              <w:t>+1</w:t>
            </w:r>
          </w:p>
        </w:tc>
      </w:tr>
      <w:tr w14:paraId="55154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shd w:val="clear" w:color="auto" w:fill="auto"/>
            <w:vAlign w:val="center"/>
          </w:tcPr>
          <w:p w14:paraId="47AC2528">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17</w:t>
            </w:r>
          </w:p>
        </w:tc>
        <w:tc>
          <w:tcPr>
            <w:tcW w:w="1492" w:type="pct"/>
            <w:shd w:val="clear" w:color="auto" w:fill="auto"/>
            <w:vAlign w:val="center"/>
          </w:tcPr>
          <w:p w14:paraId="22FA4E66">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起重设备</w:t>
            </w:r>
          </w:p>
        </w:tc>
        <w:tc>
          <w:tcPr>
            <w:tcW w:w="894" w:type="pct"/>
            <w:shd w:val="clear" w:color="auto" w:fill="auto"/>
            <w:vAlign w:val="center"/>
          </w:tcPr>
          <w:p w14:paraId="32CA0442">
            <w:pPr>
              <w:pStyle w:val="43"/>
              <w:rPr>
                <w:rFonts w:hint="default" w:ascii="Times New Roman" w:hAnsi="Times New Roman" w:eastAsia="宋体" w:cs="Times New Roman"/>
                <w:color w:val="000000"/>
                <w:szCs w:val="21"/>
                <w:u w:val="none" w:color="auto"/>
                <w:lang w:val="en-US" w:eastAsia="zh-CN"/>
              </w:rPr>
            </w:pPr>
            <w:r>
              <w:rPr>
                <w:rFonts w:hint="eastAsia" w:ascii="Times New Roman" w:hAnsi="Times New Roman" w:eastAsia="宋体" w:cs="Times New Roman"/>
                <w:color w:val="000000"/>
                <w:szCs w:val="21"/>
                <w:u w:val="none" w:color="auto"/>
                <w:lang w:val="en-US" w:eastAsia="zh-CN"/>
              </w:rPr>
              <w:t>/</w:t>
            </w:r>
          </w:p>
        </w:tc>
        <w:tc>
          <w:tcPr>
            <w:tcW w:w="436" w:type="pct"/>
          </w:tcPr>
          <w:p w14:paraId="51EBA62C">
            <w:pPr>
              <w:pStyle w:val="31"/>
              <w:bidi w:val="0"/>
              <w:rPr>
                <w:rFonts w:hint="eastAsia"/>
                <w:lang w:val="en-US" w:eastAsia="zh-CN"/>
              </w:rPr>
            </w:pPr>
            <w:r>
              <w:rPr>
                <w:rFonts w:hint="eastAsia"/>
                <w:lang w:val="en-US" w:eastAsia="zh-CN"/>
              </w:rPr>
              <w:t>套</w:t>
            </w:r>
          </w:p>
        </w:tc>
        <w:tc>
          <w:tcPr>
            <w:tcW w:w="579" w:type="pct"/>
          </w:tcPr>
          <w:p w14:paraId="39D358DE">
            <w:pPr>
              <w:pStyle w:val="31"/>
              <w:bidi w:val="0"/>
              <w:rPr>
                <w:rFonts w:hint="default"/>
                <w:lang w:val="en-US" w:eastAsia="zh-CN"/>
              </w:rPr>
            </w:pPr>
            <w:r>
              <w:rPr>
                <w:rFonts w:hint="eastAsia"/>
                <w:lang w:val="en-US" w:eastAsia="zh-CN"/>
              </w:rPr>
              <w:t>0</w:t>
            </w:r>
          </w:p>
        </w:tc>
        <w:tc>
          <w:tcPr>
            <w:tcW w:w="579" w:type="pct"/>
          </w:tcPr>
          <w:p w14:paraId="3E6E8F80">
            <w:pPr>
              <w:pStyle w:val="31"/>
              <w:bidi w:val="0"/>
              <w:rPr>
                <w:rFonts w:hint="default"/>
                <w:lang w:val="en-US" w:eastAsia="zh-CN"/>
              </w:rPr>
            </w:pPr>
            <w:r>
              <w:rPr>
                <w:rFonts w:hint="eastAsia"/>
                <w:lang w:val="en-US" w:eastAsia="zh-CN"/>
              </w:rPr>
              <w:t>1</w:t>
            </w:r>
          </w:p>
        </w:tc>
        <w:tc>
          <w:tcPr>
            <w:tcW w:w="580" w:type="pct"/>
          </w:tcPr>
          <w:p w14:paraId="5E7A4F0D">
            <w:pPr>
              <w:pStyle w:val="31"/>
              <w:bidi w:val="0"/>
              <w:rPr>
                <w:rFonts w:hint="default"/>
                <w:lang w:val="en-US" w:eastAsia="zh-CN"/>
              </w:rPr>
            </w:pPr>
            <w:r>
              <w:rPr>
                <w:rFonts w:hint="eastAsia"/>
                <w:lang w:val="en-US" w:eastAsia="zh-CN"/>
              </w:rPr>
              <w:t>+1</w:t>
            </w:r>
          </w:p>
        </w:tc>
      </w:tr>
    </w:tbl>
    <w:p w14:paraId="3A468FE2">
      <w:pPr>
        <w:pStyle w:val="33"/>
      </w:pPr>
      <w:bookmarkStart w:id="98" w:name="_Toc20387"/>
      <w:r>
        <w:rPr>
          <w:rFonts w:hint="eastAsia"/>
        </w:rPr>
        <w:t>3.</w:t>
      </w:r>
      <w:r>
        <w:rPr>
          <w:rFonts w:hint="eastAsia"/>
          <w:lang w:val="en-US" w:eastAsia="zh-CN"/>
        </w:rPr>
        <w:t>2</w:t>
      </w:r>
      <w:r>
        <w:rPr>
          <w:rFonts w:hint="eastAsia"/>
        </w:rPr>
        <w:t>.6总平面布置及周边情况</w:t>
      </w:r>
      <w:bookmarkEnd w:id="98"/>
    </w:p>
    <w:p w14:paraId="05CFDA8F">
      <w:pPr>
        <w:pStyle w:val="21"/>
        <w:ind w:firstLine="480"/>
        <w:rPr>
          <w:rFonts w:hint="default" w:eastAsia="宋体"/>
          <w:vertAlign w:val="baseline"/>
          <w:lang w:val="en-US" w:eastAsia="zh-CN"/>
        </w:rPr>
      </w:pPr>
      <w:r>
        <w:rPr>
          <w:rFonts w:hint="eastAsia"/>
          <w:lang w:val="en-US" w:eastAsia="zh-CN"/>
        </w:rPr>
        <w:t>本项目位于衡阳市衡东县三樟镇长江村湘江滩涂地，项目永久占地面积3046m</w:t>
      </w:r>
      <w:r>
        <w:rPr>
          <w:rFonts w:hint="eastAsia"/>
          <w:vertAlign w:val="superscript"/>
          <w:lang w:val="en-US" w:eastAsia="zh-CN"/>
        </w:rPr>
        <w:t>2</w:t>
      </w:r>
      <w:r>
        <w:rPr>
          <w:rFonts w:hint="eastAsia"/>
          <w:vertAlign w:val="baseline"/>
          <w:lang w:val="en-US" w:eastAsia="zh-CN"/>
        </w:rPr>
        <w:t>，</w:t>
      </w:r>
    </w:p>
    <w:p w14:paraId="33DA93C2">
      <w:pPr>
        <w:pStyle w:val="33"/>
      </w:pPr>
      <w:bookmarkStart w:id="99" w:name="_Toc30721"/>
      <w:r>
        <w:rPr>
          <w:rFonts w:hint="eastAsia"/>
        </w:rPr>
        <w:t>3.</w:t>
      </w:r>
      <w:r>
        <w:rPr>
          <w:rFonts w:hint="eastAsia"/>
          <w:lang w:val="en-US" w:eastAsia="zh-CN"/>
        </w:rPr>
        <w:t>2</w:t>
      </w:r>
      <w:r>
        <w:rPr>
          <w:rFonts w:hint="eastAsia"/>
        </w:rPr>
        <w:t>.7劳动组织</w:t>
      </w:r>
      <w:bookmarkEnd w:id="99"/>
    </w:p>
    <w:p w14:paraId="5412A9B1">
      <w:pPr>
        <w:pStyle w:val="21"/>
        <w:ind w:firstLine="480"/>
        <w:rPr>
          <w:rFonts w:hint="eastAsia"/>
          <w:lang w:val="en-US" w:eastAsia="zh-CN"/>
        </w:rPr>
      </w:pPr>
      <w:r>
        <w:rPr>
          <w:rFonts w:hint="eastAsia"/>
          <w:lang w:val="en-US" w:eastAsia="zh-CN"/>
        </w:rPr>
        <w:t>现有项目劳动定员10人，本次扩建后新增劳动定员5人，扩建后总计劳动定员15人。</w:t>
      </w:r>
    </w:p>
    <w:p w14:paraId="19B69D7E">
      <w:pPr>
        <w:pStyle w:val="21"/>
        <w:ind w:firstLine="480"/>
        <w:rPr>
          <w:rFonts w:hint="default"/>
          <w:lang w:val="en-US" w:eastAsia="zh-CN"/>
        </w:rPr>
      </w:pPr>
      <w:r>
        <w:rPr>
          <w:rFonts w:hint="eastAsia"/>
          <w:lang w:val="en-US" w:eastAsia="zh-CN"/>
        </w:rPr>
        <w:t>扩建后工作制度不变，仍旧按年工作200天，日工作8小时设计，实际由于船台露天作业，雨天无法作业，仅在非雨天作业，实际工作日根据天气情况确定。</w:t>
      </w:r>
    </w:p>
    <w:p w14:paraId="33C64853">
      <w:pPr>
        <w:pStyle w:val="33"/>
      </w:pPr>
      <w:bookmarkStart w:id="100" w:name="_Toc20772"/>
      <w:r>
        <w:rPr>
          <w:rFonts w:hint="eastAsia"/>
        </w:rPr>
        <w:t>3.</w:t>
      </w:r>
      <w:r>
        <w:rPr>
          <w:rFonts w:hint="eastAsia"/>
          <w:lang w:val="en-US" w:eastAsia="zh-CN"/>
        </w:rPr>
        <w:t>2</w:t>
      </w:r>
      <w:r>
        <w:rPr>
          <w:rFonts w:hint="eastAsia"/>
        </w:rPr>
        <w:t>.8公用工程</w:t>
      </w:r>
      <w:bookmarkEnd w:id="100"/>
    </w:p>
    <w:p w14:paraId="16E061B1">
      <w:pPr>
        <w:pStyle w:val="21"/>
        <w:ind w:firstLine="480"/>
        <w:rPr>
          <w:rFonts w:hint="eastAsia"/>
          <w:lang w:val="en-US" w:eastAsia="zh-CN"/>
        </w:rPr>
      </w:pPr>
      <w:r>
        <w:rPr>
          <w:rFonts w:hint="eastAsia"/>
          <w:lang w:val="en-US" w:eastAsia="zh-CN"/>
        </w:rPr>
        <w:t>1、给水工程</w:t>
      </w:r>
    </w:p>
    <w:p w14:paraId="144F558D">
      <w:pPr>
        <w:pStyle w:val="21"/>
        <w:ind w:firstLine="480"/>
        <w:rPr>
          <w:rFonts w:hint="default"/>
          <w:lang w:val="en-US" w:eastAsia="zh-CN"/>
        </w:rPr>
      </w:pPr>
      <w:r>
        <w:rPr>
          <w:rFonts w:hint="eastAsia"/>
          <w:lang w:val="en-US" w:eastAsia="zh-CN"/>
        </w:rPr>
        <w:t>本项目办公生活区为防洪堤内侧的自建房，给水设施依托自建房现有给水设施，由三樟镇自来水管网给水；河滩生产区生产用水自行从湘江取水，主要用于洒水降尘、场地冲洗等。给水设施现状已建成，本次扩建无需新增给水设施。</w:t>
      </w:r>
    </w:p>
    <w:p w14:paraId="2069DA51">
      <w:pPr>
        <w:pStyle w:val="21"/>
        <w:ind w:firstLine="480"/>
        <w:rPr>
          <w:rFonts w:hint="eastAsia"/>
          <w:lang w:val="en-US" w:eastAsia="zh-CN"/>
        </w:rPr>
      </w:pPr>
      <w:r>
        <w:rPr>
          <w:rFonts w:hint="eastAsia"/>
          <w:lang w:val="en-US" w:eastAsia="zh-CN"/>
        </w:rPr>
        <w:t>2、排水工程</w:t>
      </w:r>
    </w:p>
    <w:p w14:paraId="73AE8341">
      <w:pPr>
        <w:pStyle w:val="21"/>
        <w:ind w:firstLine="480"/>
        <w:rPr>
          <w:rFonts w:hint="eastAsia"/>
          <w:vertAlign w:val="baseline"/>
          <w:lang w:val="en-US" w:eastAsia="zh-CN"/>
        </w:rPr>
      </w:pPr>
      <w:r>
        <w:rPr>
          <w:rFonts w:hint="eastAsia"/>
          <w:lang w:val="en-US" w:eastAsia="zh-CN"/>
        </w:rPr>
        <w:t>现状情况：办公生活区生活污水经化粪池处理后用于周边农田施肥；生产区设置了截排水沟及1座50m</w:t>
      </w:r>
      <w:r>
        <w:rPr>
          <w:rFonts w:hint="eastAsia"/>
          <w:vertAlign w:val="superscript"/>
          <w:lang w:val="en-US" w:eastAsia="zh-CN"/>
        </w:rPr>
        <w:t>3</w:t>
      </w:r>
      <w:r>
        <w:rPr>
          <w:rFonts w:hint="eastAsia"/>
          <w:vertAlign w:val="baseline"/>
          <w:lang w:val="en-US" w:eastAsia="zh-CN"/>
        </w:rPr>
        <w:t>初期雨水池，场地内初期雨水经收集后回用于场地洒水降尘。</w:t>
      </w:r>
    </w:p>
    <w:p w14:paraId="0C9C150C">
      <w:pPr>
        <w:pStyle w:val="21"/>
        <w:ind w:firstLine="480"/>
        <w:rPr>
          <w:rFonts w:hint="eastAsia"/>
          <w:vertAlign w:val="baseline"/>
          <w:lang w:val="en-US" w:eastAsia="zh-CN"/>
        </w:rPr>
      </w:pPr>
      <w:r>
        <w:rPr>
          <w:rFonts w:hint="eastAsia"/>
          <w:vertAlign w:val="baseline"/>
          <w:lang w:val="en-US" w:eastAsia="zh-CN"/>
        </w:rPr>
        <w:t>扩建后：</w:t>
      </w:r>
      <w:r>
        <w:rPr>
          <w:rFonts w:hint="eastAsia"/>
          <w:lang w:val="en-US" w:eastAsia="zh-CN"/>
        </w:rPr>
        <w:t>办公生活区生活污水经化粪池处理后用于周边农田施肥；河滩生产区沿湘江侧建设20cm高放溢流挡水墙，并设置导流沟，将场地内初期雨水、场地冲洗废水等导排至50m</w:t>
      </w:r>
      <w:r>
        <w:rPr>
          <w:rFonts w:hint="eastAsia"/>
          <w:vertAlign w:val="superscript"/>
          <w:lang w:val="en-US" w:eastAsia="zh-CN"/>
        </w:rPr>
        <w:t>3</w:t>
      </w:r>
      <w:r>
        <w:rPr>
          <w:rFonts w:hint="eastAsia"/>
          <w:vertAlign w:val="baseline"/>
          <w:lang w:val="en-US" w:eastAsia="zh-CN"/>
        </w:rPr>
        <w:t>初期雨水池进行初步沉淀，并在池内设置水泵及液位监控设施，在防洪堤内侧自建房院落新建1座50m</w:t>
      </w:r>
      <w:r>
        <w:rPr>
          <w:rFonts w:hint="eastAsia"/>
          <w:vertAlign w:val="superscript"/>
          <w:lang w:val="en-US" w:eastAsia="zh-CN"/>
        </w:rPr>
        <w:t>3</w:t>
      </w:r>
      <w:r>
        <w:rPr>
          <w:rFonts w:hint="eastAsia"/>
          <w:vertAlign w:val="baseline"/>
          <w:lang w:val="en-US" w:eastAsia="zh-CN"/>
        </w:rPr>
        <w:t>/d废水处理站，采用“调节池+气浮+隔油池+混凝沉淀+斜板沉淀+清水池”工艺，废水处理达到《污水综合排放标准》（GB8978-1996）一级标准后，优先回用于场地内洒水降尘、场地冲洗等生产使用，不能回用部分通过罐车运输至三樟镇污水处理厂处理。</w:t>
      </w:r>
    </w:p>
    <w:p w14:paraId="3A9C267B">
      <w:pPr>
        <w:pStyle w:val="21"/>
        <w:ind w:firstLine="480"/>
        <w:rPr>
          <w:rFonts w:hint="eastAsia"/>
          <w:vertAlign w:val="baseline"/>
          <w:lang w:val="en-US" w:eastAsia="zh-CN"/>
        </w:rPr>
      </w:pPr>
      <w:r>
        <w:rPr>
          <w:rFonts w:hint="eastAsia"/>
          <w:vertAlign w:val="baseline"/>
          <w:lang w:val="en-US" w:eastAsia="zh-CN"/>
        </w:rPr>
        <w:t>3、供电</w:t>
      </w:r>
    </w:p>
    <w:p w14:paraId="3744144A">
      <w:pPr>
        <w:pStyle w:val="21"/>
        <w:ind w:firstLine="480"/>
        <w:rPr>
          <w:rFonts w:hint="default"/>
          <w:vertAlign w:val="baseline"/>
          <w:lang w:val="en-US" w:eastAsia="zh-CN"/>
        </w:rPr>
      </w:pPr>
      <w:r>
        <w:rPr>
          <w:rFonts w:hint="eastAsia"/>
          <w:vertAlign w:val="baseline"/>
          <w:lang w:val="en-US" w:eastAsia="zh-CN"/>
        </w:rPr>
        <w:t>项目用电为当地电网供应，在办公生活区设置配电设施，目前厂内供电设施已建设完善，本次扩建根据设施布设接通管线。</w:t>
      </w:r>
    </w:p>
    <w:p w14:paraId="402824B5">
      <w:pPr>
        <w:pStyle w:val="28"/>
      </w:pPr>
      <w:bookmarkStart w:id="101" w:name="_Toc32183"/>
      <w:r>
        <w:rPr>
          <w:rFonts w:hint="eastAsia"/>
        </w:rPr>
        <w:t>3.</w:t>
      </w:r>
      <w:r>
        <w:rPr>
          <w:rFonts w:hint="eastAsia"/>
          <w:lang w:val="en-US" w:eastAsia="zh-CN"/>
        </w:rPr>
        <w:t>3</w:t>
      </w:r>
      <w:r>
        <w:rPr>
          <w:rFonts w:hint="eastAsia"/>
        </w:rPr>
        <w:t>影响因素分析</w:t>
      </w:r>
      <w:bookmarkEnd w:id="101"/>
    </w:p>
    <w:p w14:paraId="77BCA690">
      <w:pPr>
        <w:pStyle w:val="33"/>
      </w:pPr>
      <w:bookmarkStart w:id="102" w:name="_Toc1017"/>
      <w:r>
        <w:rPr>
          <w:rFonts w:hint="eastAsia"/>
        </w:rPr>
        <w:t>3.</w:t>
      </w:r>
      <w:r>
        <w:rPr>
          <w:rFonts w:hint="eastAsia"/>
          <w:lang w:val="en-US" w:eastAsia="zh-CN"/>
        </w:rPr>
        <w:t>3</w:t>
      </w:r>
      <w:r>
        <w:rPr>
          <w:rFonts w:hint="eastAsia"/>
        </w:rPr>
        <w:t>.1施工期工艺流程及产排污环节</w:t>
      </w:r>
      <w:bookmarkEnd w:id="102"/>
    </w:p>
    <w:p w14:paraId="1030EF07">
      <w:pPr>
        <w:pStyle w:val="21"/>
        <w:ind w:firstLine="480"/>
        <w:rPr>
          <w:rFonts w:hint="default" w:eastAsia="宋体"/>
          <w:lang w:val="en-US" w:eastAsia="zh-CN"/>
        </w:rPr>
      </w:pPr>
      <w:r>
        <w:rPr>
          <w:rFonts w:hint="default" w:ascii="Times New Roman" w:hAnsi="Times New Roman" w:cs="Times New Roman"/>
          <w:color w:val="auto"/>
          <w:highlight w:val="none"/>
          <w:u w:val="none"/>
        </w:rPr>
        <w:t>本次改造方案不改变水工建构筑物，陆域部分主要</w:t>
      </w:r>
      <w:r>
        <w:rPr>
          <w:rFonts w:hint="eastAsia" w:cs="Times New Roman"/>
          <w:color w:val="auto"/>
          <w:highlight w:val="none"/>
          <w:u w:val="none"/>
          <w:lang w:val="en-US" w:eastAsia="zh-CN"/>
        </w:rPr>
        <w:t>是在预留</w:t>
      </w:r>
      <w:r>
        <w:rPr>
          <w:rFonts w:hint="default" w:ascii="Times New Roman" w:hAnsi="Times New Roman" w:cs="Times New Roman"/>
          <w:color w:val="auto"/>
          <w:highlight w:val="none"/>
          <w:u w:val="none"/>
        </w:rPr>
        <w:t>新建</w:t>
      </w:r>
      <w:r>
        <w:rPr>
          <w:rFonts w:hint="eastAsia" w:cs="Times New Roman"/>
          <w:color w:val="auto"/>
          <w:highlight w:val="none"/>
          <w:u w:val="none"/>
          <w:lang w:val="en-US" w:eastAsia="zh-CN"/>
        </w:rPr>
        <w:t>打磨涂装车间（钢架结构，少量土工作业）以及</w:t>
      </w:r>
      <w:r>
        <w:rPr>
          <w:rFonts w:hint="default" w:ascii="Times New Roman" w:hAnsi="Times New Roman" w:cs="Times New Roman"/>
          <w:color w:val="auto"/>
          <w:highlight w:val="none"/>
          <w:u w:val="none"/>
          <w:lang w:val="en-US" w:eastAsia="zh-CN"/>
        </w:rPr>
        <w:t>改造空闲房间</w:t>
      </w:r>
      <w:r>
        <w:rPr>
          <w:rFonts w:hint="default" w:ascii="Times New Roman" w:hAnsi="Times New Roman" w:cs="Times New Roman"/>
          <w:color w:val="auto"/>
          <w:highlight w:val="none"/>
          <w:u w:val="none"/>
        </w:rPr>
        <w:t>等，改造内容较少</w:t>
      </w:r>
      <w:r>
        <w:rPr>
          <w:rFonts w:hint="default" w:ascii="Times New Roman" w:hAnsi="Times New Roman" w:cs="Times New Roman"/>
          <w:color w:val="auto"/>
          <w:highlight w:val="none"/>
          <w:u w:val="none"/>
          <w:lang w:eastAsia="zh-CN"/>
        </w:rPr>
        <w:t>，</w:t>
      </w:r>
      <w:r>
        <w:rPr>
          <w:rFonts w:hint="default" w:ascii="Times New Roman" w:hAnsi="Times New Roman" w:cs="Times New Roman"/>
          <w:color w:val="auto"/>
          <w:highlight w:val="none"/>
          <w:u w:val="none"/>
        </w:rPr>
        <w:t>会产生施工扬尘、施工噪声、建筑垃圾等。</w:t>
      </w:r>
    </w:p>
    <w:p w14:paraId="24C0B215">
      <w:pPr>
        <w:pStyle w:val="33"/>
      </w:pPr>
      <w:bookmarkStart w:id="103" w:name="_Toc29043"/>
      <w:r>
        <w:rPr>
          <w:rFonts w:hint="eastAsia"/>
        </w:rPr>
        <w:t>3.</w:t>
      </w:r>
      <w:r>
        <w:rPr>
          <w:rFonts w:hint="eastAsia"/>
          <w:lang w:val="en-US" w:eastAsia="zh-CN"/>
        </w:rPr>
        <w:t>3</w:t>
      </w:r>
      <w:r>
        <w:rPr>
          <w:rFonts w:hint="eastAsia"/>
        </w:rPr>
        <w:t>.2运营期工艺流程及产排污环节</w:t>
      </w:r>
      <w:bookmarkEnd w:id="103"/>
    </w:p>
    <w:p w14:paraId="474C184D">
      <w:pPr>
        <w:pStyle w:val="21"/>
        <w:ind w:firstLine="480"/>
        <w:rPr>
          <w:rFonts w:hint="eastAsia"/>
        </w:rPr>
      </w:pPr>
      <w:r>
        <w:rPr>
          <w:rFonts w:hint="eastAsia"/>
        </w:rPr>
        <w:t>本次改扩建不改变维修船舶的工艺规模等，仅新增船舶拆解工艺：</w:t>
      </w:r>
    </w:p>
    <w:p w14:paraId="2377604D">
      <w:pPr>
        <w:pStyle w:val="21"/>
        <w:ind w:left="0" w:leftChars="0" w:firstLine="0" w:firstLineChars="0"/>
        <w:rPr>
          <w:rFonts w:ascii="Times New Roman" w:hAnsi="Times New Roman"/>
          <w:b/>
          <w:bCs/>
          <w:sz w:val="24"/>
        </w:rPr>
      </w:pPr>
      <w:r>
        <w:rPr>
          <w:rFonts w:ascii="Times New Roman" w:hAnsi="Times New Roman"/>
          <w:b/>
          <w:bCs/>
          <w:sz w:val="24"/>
        </w:rPr>
        <w:object>
          <v:shape id="_x0000_i1026" o:spt="75" type="#_x0000_t75" style="height:564.35pt;width:408.65pt;" o:ole="t" filled="f" o:preferrelative="t" stroked="f" coordsize="21600,21600">
            <v:path/>
            <v:fill on="f" focussize="0,0"/>
            <v:stroke on="f"/>
            <v:imagedata r:id="rId18" o:title=""/>
            <o:lock v:ext="edit" aspectratio="t"/>
            <w10:wrap type="none"/>
            <w10:anchorlock/>
          </v:shape>
          <o:OLEObject Type="Embed" ProgID="Visio.Drawing.11" ShapeID="_x0000_i1026" DrawAspect="Content" ObjectID="_1468075726" r:id="rId17">
            <o:LockedField>false</o:LockedField>
          </o:OLEObject>
        </w:object>
      </w:r>
    </w:p>
    <w:p w14:paraId="5A631320">
      <w:pPr>
        <w:pStyle w:val="23"/>
        <w:bidi w:val="0"/>
        <w:rPr>
          <w:rFonts w:hint="eastAsia"/>
        </w:rPr>
      </w:pPr>
      <w:r>
        <w:rPr>
          <w:rFonts w:hint="eastAsia"/>
        </w:rPr>
        <w:t>图3.3-1  船舶拆解工艺流程及产污环节图</w:t>
      </w:r>
    </w:p>
    <w:p w14:paraId="2B1EA59F">
      <w:pPr>
        <w:pStyle w:val="21"/>
        <w:bidi w:val="0"/>
        <w:rPr>
          <w:b/>
          <w:bCs/>
          <w:u w:val="none"/>
        </w:rPr>
      </w:pPr>
      <w:r>
        <w:rPr>
          <w:b/>
          <w:bCs/>
          <w:u w:val="none"/>
        </w:rPr>
        <w:t>工艺流程说明：</w:t>
      </w:r>
    </w:p>
    <w:p w14:paraId="3632137C">
      <w:pPr>
        <w:pStyle w:val="21"/>
        <w:bidi w:val="0"/>
        <w:rPr>
          <w:rFonts w:hint="default" w:eastAsia="宋体"/>
          <w:u w:val="none"/>
          <w:lang w:val="en-US" w:eastAsia="zh-CN"/>
        </w:rPr>
      </w:pPr>
      <w:r>
        <w:rPr>
          <w:u w:val="none"/>
        </w:rPr>
        <w:t xml:space="preserve">项目船舶拆解工艺主要包括报废船舶拆解前准备、报废船舶拆解预处理、报废船舶拆解以及拆解出的各种物品的分类收集和贮存、场地清理。船舶拆解不涉及拆解后危险废物的处置或利用。 </w:t>
      </w:r>
      <w:r>
        <w:rPr>
          <w:rFonts w:hint="eastAsia"/>
          <w:u w:val="none"/>
          <w:lang w:val="en-US" w:eastAsia="zh-CN"/>
        </w:rPr>
        <w:t>船舶进港前自行排放压舱水，进港后无压舱水，本项目不涉及压舱水处置。</w:t>
      </w:r>
    </w:p>
    <w:p w14:paraId="3B34EB29">
      <w:pPr>
        <w:pStyle w:val="21"/>
        <w:bidi w:val="0"/>
        <w:rPr>
          <w:u w:val="none"/>
        </w:rPr>
      </w:pPr>
      <w:r>
        <w:rPr>
          <w:u w:val="none"/>
        </w:rPr>
        <w:t xml:space="preserve">项目船舶拆解过程应严格按照《绿色拆船通用规范》（GB∕T36661-2018）要求，“由独立的第三方专业机构或专门人员按照安全与无害环境拆船的要求，现场施行监督拆船全过程”，并按规范要求提供“拆解完毕确认书”。项目废船拆解过程，应根据各物料性质，采取分类切割、拆解的方式，防止可燃物料产生黑烟及其它有毒有害物质等。可燃类物料（如泡沫、木材、电线等）禁止使用火焰切割，应采用物理切割、分解等方式进行拆解。 </w:t>
      </w:r>
    </w:p>
    <w:p w14:paraId="455AF72F">
      <w:pPr>
        <w:pStyle w:val="21"/>
        <w:bidi w:val="0"/>
        <w:rPr>
          <w:u w:val="none"/>
        </w:rPr>
      </w:pPr>
      <w:r>
        <w:rPr>
          <w:u w:val="none"/>
        </w:rPr>
        <w:t>工艺简述如下：</w:t>
      </w:r>
    </w:p>
    <w:p w14:paraId="7B88677A">
      <w:pPr>
        <w:pStyle w:val="21"/>
        <w:bidi w:val="0"/>
        <w:rPr>
          <w:u w:val="none"/>
        </w:rPr>
      </w:pPr>
      <w:r>
        <w:rPr>
          <w:u w:val="none"/>
        </w:rPr>
        <w:t xml:space="preserve">（1）拆船准备 </w:t>
      </w:r>
    </w:p>
    <w:p w14:paraId="0F82516F">
      <w:pPr>
        <w:pStyle w:val="21"/>
        <w:bidi w:val="0"/>
        <w:rPr>
          <w:u w:val="none"/>
        </w:rPr>
      </w:pPr>
      <w:r>
        <w:rPr>
          <w:rFonts w:hint="eastAsia"/>
          <w:u w:val="none"/>
        </w:rPr>
        <w:t>①</w:t>
      </w:r>
      <w:r>
        <w:rPr>
          <w:u w:val="none"/>
        </w:rPr>
        <w:t xml:space="preserve">进船台前准备：船方准备总布置图、线型图、船底塞布置图、外板标记图以及各类设备安装位置图等。 </w:t>
      </w:r>
    </w:p>
    <w:p w14:paraId="3DD9084A">
      <w:pPr>
        <w:pStyle w:val="21"/>
        <w:bidi w:val="0"/>
        <w:rPr>
          <w:u w:val="none"/>
        </w:rPr>
      </w:pPr>
      <w:r>
        <w:rPr>
          <w:rFonts w:hint="eastAsia"/>
          <w:u w:val="none"/>
        </w:rPr>
        <w:t>②</w:t>
      </w:r>
      <w:r>
        <w:rPr>
          <w:u w:val="none"/>
        </w:rPr>
        <w:t xml:space="preserve">进船台：报废船舶办妥各项手续后，通过卷扬机拉入拆船船台上，具体操作流程为使用地脚螺栓或其他固定装置将卷扬机固定在地面上，确保卷扬机电源连接正常，在合适位置安装锚固装置，将钢丝绳的一端固定在卷扬机上，另一端固定在锚固点上。将钢丝绳从卷扬机引出连接至船舶船首，启动卷扬机，缓慢收紧钢丝绳，使船舶向船台移动，进入船台后在左右舷及船首、船尾分别系上钢缆将船舶固定，然后解除钢丝绳与船舶的连接。建设单位应结合通用的废船拆解工艺方案，针对每条船的不同特点制定有针对性的拆船计划。 </w:t>
      </w:r>
    </w:p>
    <w:p w14:paraId="71823142">
      <w:pPr>
        <w:pStyle w:val="21"/>
        <w:bidi w:val="0"/>
        <w:rPr>
          <w:u w:val="none"/>
        </w:rPr>
      </w:pPr>
      <w:r>
        <w:rPr>
          <w:rFonts w:hint="eastAsia"/>
          <w:u w:val="none"/>
        </w:rPr>
        <w:t>③</w:t>
      </w:r>
      <w:r>
        <w:rPr>
          <w:u w:val="none"/>
        </w:rPr>
        <w:t xml:space="preserve">拆解前准备：在临江一侧布设好围油栏，船台地面铺设好吸油布，准备好上下梯，标识安全警示牌及安全通道等。 </w:t>
      </w:r>
    </w:p>
    <w:p w14:paraId="3659E70B">
      <w:pPr>
        <w:pStyle w:val="21"/>
        <w:bidi w:val="0"/>
        <w:rPr>
          <w:u w:val="none"/>
        </w:rPr>
      </w:pPr>
      <w:r>
        <w:rPr>
          <w:u w:val="none"/>
        </w:rPr>
        <w:t xml:space="preserve">（2）拆解预处理 </w:t>
      </w:r>
    </w:p>
    <w:p w14:paraId="08A2199C">
      <w:pPr>
        <w:pStyle w:val="21"/>
        <w:bidi w:val="0"/>
        <w:rPr>
          <w:u w:val="none"/>
        </w:rPr>
      </w:pPr>
      <w:r>
        <w:rPr>
          <w:u w:val="none"/>
        </w:rPr>
        <w:t xml:space="preserve">在船舶拆卸解体前，需严格按照《绿色拆船通用规范》及《防止拆船污染环境管理条例（2017）》的要求先清理船上的有害物质（如残留油品、制冷剂、含哈龙的消防设备、废含汞灯管、待切割物件表面油漆涂层等）、机舱含油废水、生活垃圾以及其他可移动物品。油料在清理前先进行测氧测爆，使用油泵将油舱、油柜、油管、过滤器残留的燃油、润滑油、液压油、机油等易燃物用油桶及其他储器回收。 </w:t>
      </w:r>
    </w:p>
    <w:p w14:paraId="5F5F5813">
      <w:pPr>
        <w:pStyle w:val="21"/>
        <w:bidi w:val="0"/>
        <w:rPr>
          <w:u w:val="none"/>
        </w:rPr>
      </w:pPr>
      <w:r>
        <w:rPr>
          <w:u w:val="none"/>
        </w:rPr>
        <w:t xml:space="preserve">拆解预处理工序产生有机废气、含油废水、噪声、废油、制冷剂、含哈龙废消防设备、废含汞灯管、船舶生活垃圾、含油废抹布手套、漆渣等。 </w:t>
      </w:r>
    </w:p>
    <w:p w14:paraId="5EA48909">
      <w:pPr>
        <w:pStyle w:val="21"/>
        <w:bidi w:val="0"/>
        <w:rPr>
          <w:u w:val="none"/>
        </w:rPr>
      </w:pPr>
      <w:r>
        <w:rPr>
          <w:u w:val="none"/>
        </w:rPr>
        <w:t xml:space="preserve">（3）机舱设备、舾装件拆除 </w:t>
      </w:r>
    </w:p>
    <w:p w14:paraId="7D9AE727">
      <w:pPr>
        <w:pStyle w:val="21"/>
        <w:bidi w:val="0"/>
        <w:rPr>
          <w:u w:val="none"/>
        </w:rPr>
      </w:pPr>
      <w:r>
        <w:rPr>
          <w:rFonts w:hint="eastAsia"/>
          <w:u w:val="none"/>
        </w:rPr>
        <w:t>①</w:t>
      </w:r>
      <w:r>
        <w:rPr>
          <w:u w:val="none"/>
        </w:rPr>
        <w:t xml:space="preserve">将船上各舱室的各种移动性家具、工具、备件、备品和日常生产、生活用品全部撤离下船。 </w:t>
      </w:r>
    </w:p>
    <w:p w14:paraId="5193B8DD">
      <w:pPr>
        <w:pStyle w:val="21"/>
        <w:bidi w:val="0"/>
        <w:rPr>
          <w:u w:val="none"/>
        </w:rPr>
      </w:pPr>
      <w:r>
        <w:rPr>
          <w:rFonts w:hint="eastAsia"/>
          <w:u w:val="none"/>
        </w:rPr>
        <w:t>②</w:t>
      </w:r>
      <w:r>
        <w:rPr>
          <w:u w:val="none"/>
        </w:rPr>
        <w:t>拆除主甲板以上的各居室内的家用电器、仪器、仪表、空调设备等。拆除救生设备，包括救生衣、救生圈等。</w:t>
      </w:r>
    </w:p>
    <w:p w14:paraId="025430C7">
      <w:pPr>
        <w:pStyle w:val="21"/>
        <w:bidi w:val="0"/>
        <w:rPr>
          <w:u w:val="none"/>
        </w:rPr>
      </w:pPr>
      <w:r>
        <w:rPr>
          <w:u w:val="none"/>
        </w:rPr>
        <w:t xml:space="preserve">拆除罗经平台上的仪器、仪表。拆除驾驶室内的导航仪器、仪表、通讯系统、雷达、电台、电话、无线电系统、航海测量仪等。 </w:t>
      </w:r>
    </w:p>
    <w:p w14:paraId="062D0B09">
      <w:pPr>
        <w:pStyle w:val="21"/>
        <w:bidi w:val="0"/>
        <w:rPr>
          <w:u w:val="none"/>
        </w:rPr>
      </w:pPr>
      <w:r>
        <w:rPr>
          <w:rFonts w:hint="eastAsia"/>
          <w:u w:val="none"/>
        </w:rPr>
        <w:t>③</w:t>
      </w:r>
      <w:r>
        <w:rPr>
          <w:u w:val="none"/>
        </w:rPr>
        <w:t xml:space="preserve">拆除各居室的木质结构。 </w:t>
      </w:r>
    </w:p>
    <w:p w14:paraId="6B1F7CAC">
      <w:pPr>
        <w:pStyle w:val="21"/>
        <w:bidi w:val="0"/>
        <w:rPr>
          <w:u w:val="none"/>
        </w:rPr>
      </w:pPr>
      <w:r>
        <w:rPr>
          <w:rFonts w:hint="eastAsia"/>
          <w:u w:val="none"/>
        </w:rPr>
        <w:t>④</w:t>
      </w:r>
      <w:r>
        <w:rPr>
          <w:u w:val="none"/>
        </w:rPr>
        <w:t xml:space="preserve">拆除船上的电线电缆。 </w:t>
      </w:r>
    </w:p>
    <w:p w14:paraId="7CF87C11">
      <w:pPr>
        <w:pStyle w:val="21"/>
        <w:bidi w:val="0"/>
        <w:rPr>
          <w:u w:val="none"/>
        </w:rPr>
      </w:pPr>
      <w:r>
        <w:rPr>
          <w:u w:val="none"/>
        </w:rPr>
        <w:t xml:space="preserve">该工序拆解过程产生废电线电缆、废塑料制品、废橡胶制品、废家具家电、废导航仪、雷达、废玻璃、废木材等固体废物、拆解噪声。 </w:t>
      </w:r>
    </w:p>
    <w:p w14:paraId="5F81CB47">
      <w:pPr>
        <w:pStyle w:val="21"/>
        <w:bidi w:val="0"/>
        <w:rPr>
          <w:u w:val="none"/>
        </w:rPr>
      </w:pPr>
      <w:r>
        <w:rPr>
          <w:u w:val="none"/>
        </w:rPr>
        <w:t xml:space="preserve">（4）拆解上层建筑及主甲板机械设备 </w:t>
      </w:r>
    </w:p>
    <w:p w14:paraId="77AA515C">
      <w:pPr>
        <w:pStyle w:val="21"/>
        <w:bidi w:val="0"/>
        <w:rPr>
          <w:u w:val="none"/>
        </w:rPr>
      </w:pPr>
      <w:r>
        <w:rPr>
          <w:u w:val="none"/>
        </w:rPr>
        <w:t>拆解上层建筑及主甲板上的甲板机械，涉及舱内木护条、系泊设备、舵设备、锚设备、机舱扣盖、舱口围板、货仓口盖、起货设备、桅杆、通风设备、各种管路等；切割甲板机械</w:t>
      </w:r>
      <w:r>
        <w:rPr>
          <w:rFonts w:hint="eastAsia"/>
          <w:u w:val="none"/>
          <w:lang w:eastAsia="zh-CN"/>
        </w:rPr>
        <w:t>相关链接</w:t>
      </w:r>
      <w:r>
        <w:rPr>
          <w:u w:val="none"/>
        </w:rPr>
        <w:t>件，切割舷墙等。</w:t>
      </w:r>
    </w:p>
    <w:p w14:paraId="266ADE29">
      <w:pPr>
        <w:pStyle w:val="21"/>
        <w:bidi w:val="0"/>
        <w:rPr>
          <w:u w:val="none"/>
        </w:rPr>
      </w:pPr>
      <w:r>
        <w:rPr>
          <w:u w:val="none"/>
        </w:rPr>
        <w:t xml:space="preserve">上层建筑的拆除、切割顺序自上而下，此阶段允许明火作业，制定严格消防措施，以防发生火灾。 </w:t>
      </w:r>
    </w:p>
    <w:p w14:paraId="37F1C87A">
      <w:pPr>
        <w:pStyle w:val="21"/>
        <w:bidi w:val="0"/>
        <w:rPr>
          <w:u w:val="none"/>
        </w:rPr>
      </w:pPr>
      <w:r>
        <w:rPr>
          <w:u w:val="none"/>
        </w:rPr>
        <w:t xml:space="preserve">该工序会产生各类废玻璃、废木材、废钢材及碎屑、废有色金属及碎屑、油漆漆渣等固体废物，切割产生烟尘、噪声等。 </w:t>
      </w:r>
    </w:p>
    <w:p w14:paraId="02AB8DE9">
      <w:pPr>
        <w:pStyle w:val="21"/>
        <w:bidi w:val="0"/>
        <w:rPr>
          <w:u w:val="none"/>
        </w:rPr>
      </w:pPr>
      <w:r>
        <w:rPr>
          <w:u w:val="none"/>
        </w:rPr>
        <w:t xml:space="preserve">（5）拆除机舱内的机械设备和发电机组、废电池 </w:t>
      </w:r>
    </w:p>
    <w:p w14:paraId="1BFCF6D5">
      <w:pPr>
        <w:pStyle w:val="21"/>
        <w:bidi w:val="0"/>
        <w:rPr>
          <w:u w:val="none"/>
        </w:rPr>
      </w:pPr>
      <w:r>
        <w:rPr>
          <w:u w:val="none"/>
        </w:rPr>
        <w:t xml:space="preserve">拆解机舱内的机械设备和发电机组，需在电气、轮机工程师现场指导下进行。拆解机舱内的主机和辅机；拆除辅助机械、油泵、水泵、变压器、空压机等设备。 </w:t>
      </w:r>
    </w:p>
    <w:p w14:paraId="731046F6">
      <w:pPr>
        <w:pStyle w:val="21"/>
        <w:bidi w:val="0"/>
        <w:rPr>
          <w:u w:val="none"/>
        </w:rPr>
      </w:pPr>
      <w:r>
        <w:rPr>
          <w:u w:val="none"/>
        </w:rPr>
        <w:t>油污用抹布擦干，拆解管子接头尽量保留法兰部分，并用高压空气吹出剩油。 2010年之前的</w:t>
      </w:r>
      <w:r>
        <w:rPr>
          <w:rFonts w:hint="eastAsia"/>
          <w:u w:val="none"/>
        </w:rPr>
        <w:t>船舶</w:t>
      </w:r>
      <w:r>
        <w:rPr>
          <w:u w:val="none"/>
        </w:rPr>
        <w:t>的保温层</w:t>
      </w:r>
      <w:r>
        <w:rPr>
          <w:rFonts w:hint="eastAsia"/>
          <w:u w:val="none"/>
        </w:rPr>
        <w:t>主要</w:t>
      </w:r>
      <w:r>
        <w:rPr>
          <w:u w:val="none"/>
        </w:rPr>
        <w:t xml:space="preserve">是石棉材质，其余船舶保温层是聚氨酯泡沫。拆除石棉应按规范要求“湿拆”后运出，用双层胶袋包装。拆除石棉的密封舱室需用高压水枪冲洗，检验合格后才能动火切割。 </w:t>
      </w:r>
    </w:p>
    <w:p w14:paraId="3E263B6D">
      <w:pPr>
        <w:pStyle w:val="21"/>
        <w:bidi w:val="0"/>
        <w:rPr>
          <w:u w:val="none"/>
        </w:rPr>
      </w:pPr>
      <w:r>
        <w:rPr>
          <w:u w:val="none"/>
        </w:rPr>
        <w:t xml:space="preserve">此过程会产生木材、钢材、有色金属、发电机、泵、变压器、空压机、保温材料废石棉、废聚氨酯泡沫、废玻璃、废旧铅蓄电池、含油废抹布手套等。切割产生烟尘、噪声。 </w:t>
      </w:r>
    </w:p>
    <w:p w14:paraId="54685072">
      <w:pPr>
        <w:pStyle w:val="21"/>
        <w:bidi w:val="0"/>
        <w:rPr>
          <w:u w:val="none"/>
        </w:rPr>
      </w:pPr>
      <w:r>
        <w:rPr>
          <w:u w:val="none"/>
        </w:rPr>
        <w:t xml:space="preserve">（6）拆除船底 </w:t>
      </w:r>
    </w:p>
    <w:p w14:paraId="423FF302">
      <w:pPr>
        <w:pStyle w:val="21"/>
        <w:bidi w:val="0"/>
        <w:rPr>
          <w:u w:val="none"/>
        </w:rPr>
      </w:pPr>
      <w:r>
        <w:rPr>
          <w:u w:val="none"/>
        </w:rPr>
        <w:t xml:space="preserve">主甲板上所有设备、机舱设备以及上层建筑舷墙等全部拆解完毕后，可拆解吃水线以上两舷船壳板，从艉部方向向艏部切割，用割炬从上到下切割到保留处止，逐个切割横隔舱壁，并拆除机舱油柜。切割内底板时，按照肋位切割。切完双层底后，再切割左右两舷的船板。按水密肋板分割船底板，切除螺旋桨、尾轴，中间轴。 </w:t>
      </w:r>
    </w:p>
    <w:p w14:paraId="40D35634">
      <w:pPr>
        <w:pStyle w:val="21"/>
        <w:bidi w:val="0"/>
        <w:rPr>
          <w:u w:val="none"/>
        </w:rPr>
      </w:pPr>
      <w:r>
        <w:rPr>
          <w:u w:val="none"/>
        </w:rPr>
        <w:t>此过程产生各类钢材、螺旋桨、尾轴、废油柜、废油箱、废含油抹布手套等，切割产生烟尘、各类机械噪声。本项目产生的废油柜、废油箱等大件含油物件在拆解后采用吸油毡包裹后由起重机吊装至转运叉车上后转运至危废暂存间，放置于托盘上委托处置，在转运过程中应进行固定防止晃动和碰撞。</w:t>
      </w:r>
    </w:p>
    <w:p w14:paraId="212E529C">
      <w:pPr>
        <w:pStyle w:val="21"/>
        <w:bidi w:val="0"/>
        <w:rPr>
          <w:u w:val="none"/>
        </w:rPr>
      </w:pPr>
      <w:r>
        <w:rPr>
          <w:u w:val="none"/>
        </w:rPr>
        <w:t>（7）大构件分解</w:t>
      </w:r>
    </w:p>
    <w:p w14:paraId="5A670CB4">
      <w:pPr>
        <w:pStyle w:val="21"/>
        <w:bidi w:val="0"/>
        <w:rPr>
          <w:rFonts w:hint="eastAsia"/>
          <w:u w:val="none"/>
        </w:rPr>
      </w:pPr>
      <w:r>
        <w:rPr>
          <w:u w:val="none"/>
        </w:rPr>
        <w:t>将船舶表面油漆涂层进行清理，然后采用割枪、剪板机等分解船舶主体大构件，采用吊车运至二次拆解</w:t>
      </w:r>
      <w:r>
        <w:rPr>
          <w:rFonts w:hint="eastAsia"/>
          <w:u w:val="none"/>
        </w:rPr>
        <w:t>区</w:t>
      </w:r>
      <w:r>
        <w:rPr>
          <w:u w:val="none"/>
        </w:rPr>
        <w:t>，进一步切割成一定规格的船板、型钢板，有色金属等拆船产品，以便出售。</w:t>
      </w:r>
      <w:r>
        <w:rPr>
          <w:rFonts w:hint="eastAsia"/>
          <w:u w:val="none"/>
        </w:rPr>
        <w:t>根据项目实际情况，项目可能会有部分钢材等大件结构不进行二次拆解而直接作为产品出售。</w:t>
      </w:r>
    </w:p>
    <w:p w14:paraId="37988FFE">
      <w:pPr>
        <w:pStyle w:val="21"/>
        <w:bidi w:val="0"/>
        <w:rPr>
          <w:u w:val="none"/>
        </w:rPr>
      </w:pPr>
      <w:r>
        <w:rPr>
          <w:u w:val="none"/>
        </w:rPr>
        <w:t>该过程会产生废钢材、有色金属等，切割产生烟尘和噪声。</w:t>
      </w:r>
    </w:p>
    <w:p w14:paraId="7FC3471C">
      <w:pPr>
        <w:pStyle w:val="21"/>
        <w:bidi w:val="0"/>
        <w:rPr>
          <w:u w:val="none"/>
        </w:rPr>
      </w:pPr>
      <w:r>
        <w:rPr>
          <w:u w:val="none"/>
        </w:rPr>
        <w:t xml:space="preserve">（8）场地清理 </w:t>
      </w:r>
    </w:p>
    <w:p w14:paraId="0033996B">
      <w:pPr>
        <w:pStyle w:val="21"/>
        <w:bidi w:val="0"/>
        <w:rPr>
          <w:u w:val="none"/>
        </w:rPr>
      </w:pPr>
      <w:r>
        <w:rPr>
          <w:u w:val="none"/>
        </w:rPr>
        <w:t xml:space="preserve">废船全部拆解完成后，及时对船台进行清理，并对各类设施进行检查和维修，对拆解场地进行清理、冲洗，做好下一艘废船的拆解准备工作。 </w:t>
      </w:r>
    </w:p>
    <w:p w14:paraId="7A544872">
      <w:pPr>
        <w:pStyle w:val="21"/>
        <w:rPr>
          <w:u w:val="none"/>
        </w:rPr>
      </w:pPr>
      <w:r>
        <w:rPr>
          <w:u w:val="none"/>
        </w:rPr>
        <w:t>在场地清理、冲洗过程主要会产生场地冲洗废水、漆渣、铁锈、含油抹布等。</w:t>
      </w:r>
    </w:p>
    <w:p w14:paraId="4D086DDD">
      <w:pPr>
        <w:pStyle w:val="23"/>
        <w:bidi w:val="0"/>
      </w:pPr>
      <w:r>
        <w:t>表</w:t>
      </w:r>
      <w:r>
        <w:rPr>
          <w:rFonts w:hint="eastAsia"/>
          <w:lang w:val="en-US" w:eastAsia="zh-CN"/>
        </w:rPr>
        <w:t>3.3</w:t>
      </w:r>
      <w:r>
        <w:t>-1项目生产过程产排污节点表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605"/>
        <w:gridCol w:w="1377"/>
        <w:gridCol w:w="2192"/>
        <w:gridCol w:w="2464"/>
      </w:tblGrid>
      <w:tr w14:paraId="7AB74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noWrap w:val="0"/>
            <w:vAlign w:val="center"/>
          </w:tcPr>
          <w:p w14:paraId="5650455B">
            <w:pPr>
              <w:pStyle w:val="31"/>
              <w:bidi w:val="0"/>
              <w:rPr>
                <w:u w:val="none"/>
              </w:rPr>
            </w:pPr>
            <w:r>
              <w:rPr>
                <w:u w:val="none"/>
              </w:rPr>
              <w:t>类别</w:t>
            </w:r>
          </w:p>
        </w:tc>
        <w:tc>
          <w:tcPr>
            <w:tcW w:w="942" w:type="pct"/>
            <w:noWrap w:val="0"/>
            <w:vAlign w:val="center"/>
          </w:tcPr>
          <w:p w14:paraId="61DBB361">
            <w:pPr>
              <w:pStyle w:val="31"/>
              <w:bidi w:val="0"/>
              <w:rPr>
                <w:u w:val="none"/>
              </w:rPr>
            </w:pPr>
            <w:r>
              <w:rPr>
                <w:u w:val="none"/>
              </w:rPr>
              <w:t>产污环节</w:t>
            </w:r>
          </w:p>
        </w:tc>
        <w:tc>
          <w:tcPr>
            <w:tcW w:w="808" w:type="pct"/>
            <w:noWrap w:val="0"/>
            <w:vAlign w:val="center"/>
          </w:tcPr>
          <w:p w14:paraId="1E0F6CDE">
            <w:pPr>
              <w:pStyle w:val="31"/>
              <w:bidi w:val="0"/>
              <w:rPr>
                <w:u w:val="none"/>
              </w:rPr>
            </w:pPr>
            <w:r>
              <w:rPr>
                <w:u w:val="none"/>
              </w:rPr>
              <w:t>主要污染物</w:t>
            </w:r>
          </w:p>
        </w:tc>
        <w:tc>
          <w:tcPr>
            <w:tcW w:w="1285" w:type="pct"/>
            <w:noWrap w:val="0"/>
            <w:vAlign w:val="center"/>
          </w:tcPr>
          <w:p w14:paraId="2F6768DD">
            <w:pPr>
              <w:pStyle w:val="31"/>
              <w:bidi w:val="0"/>
              <w:rPr>
                <w:u w:val="none"/>
              </w:rPr>
            </w:pPr>
            <w:r>
              <w:rPr>
                <w:u w:val="none"/>
              </w:rPr>
              <w:t>污染因子</w:t>
            </w:r>
          </w:p>
        </w:tc>
        <w:tc>
          <w:tcPr>
            <w:tcW w:w="1446" w:type="pct"/>
            <w:noWrap w:val="0"/>
            <w:vAlign w:val="center"/>
          </w:tcPr>
          <w:p w14:paraId="6F3BB329">
            <w:pPr>
              <w:pStyle w:val="31"/>
              <w:bidi w:val="0"/>
              <w:rPr>
                <w:u w:val="none"/>
              </w:rPr>
            </w:pPr>
            <w:r>
              <w:rPr>
                <w:u w:val="none"/>
              </w:rPr>
              <w:t>处理措施和排放方式</w:t>
            </w:r>
          </w:p>
        </w:tc>
      </w:tr>
      <w:tr w14:paraId="0B83E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restart"/>
            <w:noWrap w:val="0"/>
            <w:vAlign w:val="center"/>
          </w:tcPr>
          <w:p w14:paraId="4408A521">
            <w:pPr>
              <w:pStyle w:val="31"/>
              <w:bidi w:val="0"/>
              <w:rPr>
                <w:u w:val="none"/>
              </w:rPr>
            </w:pPr>
            <w:r>
              <w:rPr>
                <w:u w:val="none"/>
              </w:rPr>
              <w:t>废气</w:t>
            </w:r>
          </w:p>
        </w:tc>
        <w:tc>
          <w:tcPr>
            <w:tcW w:w="942" w:type="pct"/>
            <w:noWrap w:val="0"/>
            <w:vAlign w:val="center"/>
          </w:tcPr>
          <w:p w14:paraId="0E30C9EA">
            <w:pPr>
              <w:pStyle w:val="31"/>
              <w:bidi w:val="0"/>
              <w:rPr>
                <w:u w:val="none"/>
              </w:rPr>
            </w:pPr>
            <w:r>
              <w:rPr>
                <w:u w:val="none"/>
              </w:rPr>
              <w:t>船舶表面涂层清除</w:t>
            </w:r>
          </w:p>
        </w:tc>
        <w:tc>
          <w:tcPr>
            <w:tcW w:w="808" w:type="pct"/>
            <w:noWrap w:val="0"/>
            <w:vAlign w:val="center"/>
          </w:tcPr>
          <w:p w14:paraId="697EAAA4">
            <w:pPr>
              <w:pStyle w:val="31"/>
              <w:bidi w:val="0"/>
              <w:rPr>
                <w:u w:val="none"/>
              </w:rPr>
            </w:pPr>
            <w:r>
              <w:rPr>
                <w:u w:val="none"/>
              </w:rPr>
              <w:t>清除粉尘</w:t>
            </w:r>
          </w:p>
        </w:tc>
        <w:tc>
          <w:tcPr>
            <w:tcW w:w="1285" w:type="pct"/>
            <w:noWrap w:val="0"/>
            <w:vAlign w:val="center"/>
          </w:tcPr>
          <w:p w14:paraId="6CE4A516">
            <w:pPr>
              <w:pStyle w:val="31"/>
              <w:bidi w:val="0"/>
              <w:rPr>
                <w:u w:val="none"/>
              </w:rPr>
            </w:pPr>
            <w:r>
              <w:rPr>
                <w:u w:val="none"/>
              </w:rPr>
              <w:t>颗粒物</w:t>
            </w:r>
          </w:p>
        </w:tc>
        <w:tc>
          <w:tcPr>
            <w:tcW w:w="1446" w:type="pct"/>
            <w:noWrap w:val="0"/>
            <w:vAlign w:val="center"/>
          </w:tcPr>
          <w:p w14:paraId="743043B8">
            <w:pPr>
              <w:pStyle w:val="31"/>
              <w:bidi w:val="0"/>
              <w:rPr>
                <w:u w:val="none"/>
              </w:rPr>
            </w:pPr>
            <w:r>
              <w:rPr>
                <w:rFonts w:hint="eastAsia"/>
                <w:u w:val="none"/>
              </w:rPr>
              <w:t>颗粒物沉降后无组织排放；在项目拆解维修区域东侧和南侧设置高压喷雾降尘系统</w:t>
            </w:r>
          </w:p>
        </w:tc>
      </w:tr>
      <w:tr w14:paraId="6D78B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continue"/>
            <w:noWrap w:val="0"/>
            <w:vAlign w:val="center"/>
          </w:tcPr>
          <w:p w14:paraId="22DE8DE0">
            <w:pPr>
              <w:pStyle w:val="31"/>
              <w:bidi w:val="0"/>
              <w:rPr>
                <w:u w:val="none"/>
              </w:rPr>
            </w:pPr>
          </w:p>
        </w:tc>
        <w:tc>
          <w:tcPr>
            <w:tcW w:w="942" w:type="pct"/>
            <w:noWrap w:val="0"/>
            <w:vAlign w:val="center"/>
          </w:tcPr>
          <w:p w14:paraId="62222ACD">
            <w:pPr>
              <w:pStyle w:val="31"/>
              <w:bidi w:val="0"/>
              <w:rPr>
                <w:u w:val="none"/>
              </w:rPr>
            </w:pPr>
            <w:r>
              <w:rPr>
                <w:u w:val="none"/>
              </w:rPr>
              <w:t>船体切割</w:t>
            </w:r>
          </w:p>
        </w:tc>
        <w:tc>
          <w:tcPr>
            <w:tcW w:w="808" w:type="pct"/>
            <w:noWrap w:val="0"/>
            <w:vAlign w:val="center"/>
          </w:tcPr>
          <w:p w14:paraId="292612B0">
            <w:pPr>
              <w:pStyle w:val="31"/>
              <w:bidi w:val="0"/>
              <w:rPr>
                <w:u w:val="none"/>
              </w:rPr>
            </w:pPr>
            <w:r>
              <w:rPr>
                <w:u w:val="none"/>
              </w:rPr>
              <w:t>切割粉尘</w:t>
            </w:r>
          </w:p>
        </w:tc>
        <w:tc>
          <w:tcPr>
            <w:tcW w:w="1285" w:type="pct"/>
            <w:noWrap w:val="0"/>
            <w:vAlign w:val="center"/>
          </w:tcPr>
          <w:p w14:paraId="5250A2D8">
            <w:pPr>
              <w:pStyle w:val="31"/>
              <w:bidi w:val="0"/>
              <w:rPr>
                <w:u w:val="none"/>
              </w:rPr>
            </w:pPr>
            <w:r>
              <w:rPr>
                <w:u w:val="none"/>
              </w:rPr>
              <w:t>颗粒物</w:t>
            </w:r>
          </w:p>
        </w:tc>
        <w:tc>
          <w:tcPr>
            <w:tcW w:w="1446" w:type="pct"/>
            <w:noWrap w:val="0"/>
            <w:vAlign w:val="center"/>
          </w:tcPr>
          <w:p w14:paraId="49544859">
            <w:pPr>
              <w:pStyle w:val="31"/>
              <w:bidi w:val="0"/>
              <w:rPr>
                <w:rFonts w:hint="eastAsia"/>
                <w:u w:val="none"/>
              </w:rPr>
            </w:pPr>
            <w:r>
              <w:rPr>
                <w:rFonts w:hint="eastAsia"/>
                <w:u w:val="none"/>
              </w:rPr>
              <w:t>颗粒物</w:t>
            </w:r>
            <w:r>
              <w:rPr>
                <w:u w:val="none"/>
              </w:rPr>
              <w:t>沉降后无组织排放</w:t>
            </w:r>
            <w:r>
              <w:rPr>
                <w:rFonts w:hint="eastAsia"/>
                <w:u w:val="none"/>
              </w:rPr>
              <w:t>；在项目拆解维修区域东侧和南侧设置高压喷雾降尘系统</w:t>
            </w:r>
          </w:p>
        </w:tc>
      </w:tr>
      <w:tr w14:paraId="39FB6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continue"/>
            <w:noWrap w:val="0"/>
            <w:vAlign w:val="center"/>
          </w:tcPr>
          <w:p w14:paraId="30F8BD72">
            <w:pPr>
              <w:pStyle w:val="31"/>
              <w:bidi w:val="0"/>
              <w:rPr>
                <w:u w:val="none"/>
              </w:rPr>
            </w:pPr>
          </w:p>
        </w:tc>
        <w:tc>
          <w:tcPr>
            <w:tcW w:w="942" w:type="pct"/>
            <w:noWrap w:val="0"/>
            <w:vAlign w:val="center"/>
          </w:tcPr>
          <w:p w14:paraId="34F28693">
            <w:pPr>
              <w:pStyle w:val="31"/>
              <w:bidi w:val="0"/>
              <w:rPr>
                <w:u w:val="none"/>
              </w:rPr>
            </w:pPr>
            <w:r>
              <w:rPr>
                <w:u w:val="none"/>
              </w:rPr>
              <w:t>残油收集</w:t>
            </w:r>
          </w:p>
        </w:tc>
        <w:tc>
          <w:tcPr>
            <w:tcW w:w="808" w:type="pct"/>
            <w:noWrap w:val="0"/>
            <w:vAlign w:val="center"/>
          </w:tcPr>
          <w:p w14:paraId="5C75457C">
            <w:pPr>
              <w:pStyle w:val="31"/>
              <w:bidi w:val="0"/>
              <w:rPr>
                <w:u w:val="none"/>
              </w:rPr>
            </w:pPr>
            <w:r>
              <w:rPr>
                <w:u w:val="none"/>
              </w:rPr>
              <w:t>有机废气</w:t>
            </w:r>
          </w:p>
        </w:tc>
        <w:tc>
          <w:tcPr>
            <w:tcW w:w="1285" w:type="pct"/>
            <w:noWrap w:val="0"/>
            <w:vAlign w:val="center"/>
          </w:tcPr>
          <w:p w14:paraId="4EFE7961">
            <w:pPr>
              <w:pStyle w:val="31"/>
              <w:bidi w:val="0"/>
              <w:rPr>
                <w:u w:val="none"/>
              </w:rPr>
            </w:pPr>
            <w:r>
              <w:rPr>
                <w:u w:val="none"/>
              </w:rPr>
              <w:t>非甲烷总烃</w:t>
            </w:r>
          </w:p>
        </w:tc>
        <w:tc>
          <w:tcPr>
            <w:tcW w:w="1446" w:type="pct"/>
            <w:noWrap w:val="0"/>
            <w:vAlign w:val="center"/>
          </w:tcPr>
          <w:p w14:paraId="22069CB4">
            <w:pPr>
              <w:pStyle w:val="31"/>
              <w:bidi w:val="0"/>
              <w:rPr>
                <w:u w:val="none"/>
              </w:rPr>
            </w:pPr>
            <w:r>
              <w:rPr>
                <w:u w:val="none"/>
              </w:rPr>
              <w:t>无组织排放</w:t>
            </w:r>
          </w:p>
        </w:tc>
      </w:tr>
      <w:tr w14:paraId="203AE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continue"/>
            <w:noWrap w:val="0"/>
            <w:vAlign w:val="center"/>
          </w:tcPr>
          <w:p w14:paraId="7318046B">
            <w:pPr>
              <w:pStyle w:val="31"/>
              <w:bidi w:val="0"/>
              <w:rPr>
                <w:u w:val="none"/>
              </w:rPr>
            </w:pPr>
          </w:p>
        </w:tc>
        <w:tc>
          <w:tcPr>
            <w:tcW w:w="942" w:type="pct"/>
            <w:noWrap w:val="0"/>
            <w:vAlign w:val="center"/>
          </w:tcPr>
          <w:p w14:paraId="44893C72">
            <w:pPr>
              <w:pStyle w:val="31"/>
              <w:bidi w:val="0"/>
              <w:rPr>
                <w:u w:val="none"/>
              </w:rPr>
            </w:pPr>
            <w:r>
              <w:rPr>
                <w:u w:val="none"/>
              </w:rPr>
              <w:t>制冷剂回收</w:t>
            </w:r>
          </w:p>
        </w:tc>
        <w:tc>
          <w:tcPr>
            <w:tcW w:w="808" w:type="pct"/>
            <w:noWrap w:val="0"/>
            <w:vAlign w:val="center"/>
          </w:tcPr>
          <w:p w14:paraId="57F63BEF">
            <w:pPr>
              <w:pStyle w:val="31"/>
              <w:bidi w:val="0"/>
              <w:rPr>
                <w:u w:val="none"/>
              </w:rPr>
            </w:pPr>
            <w:r>
              <w:rPr>
                <w:u w:val="none"/>
              </w:rPr>
              <w:t>制冷剂</w:t>
            </w:r>
          </w:p>
        </w:tc>
        <w:tc>
          <w:tcPr>
            <w:tcW w:w="1285" w:type="pct"/>
            <w:noWrap w:val="0"/>
            <w:vAlign w:val="center"/>
          </w:tcPr>
          <w:p w14:paraId="1D6F3CE5">
            <w:pPr>
              <w:pStyle w:val="31"/>
              <w:bidi w:val="0"/>
              <w:rPr>
                <w:u w:val="none"/>
              </w:rPr>
            </w:pPr>
            <w:r>
              <w:rPr>
                <w:u w:val="none"/>
              </w:rPr>
              <w:t>氟利昂</w:t>
            </w:r>
          </w:p>
        </w:tc>
        <w:tc>
          <w:tcPr>
            <w:tcW w:w="1446" w:type="pct"/>
            <w:noWrap w:val="0"/>
            <w:vAlign w:val="center"/>
          </w:tcPr>
          <w:p w14:paraId="2BEE92B4">
            <w:pPr>
              <w:pStyle w:val="31"/>
              <w:bidi w:val="0"/>
              <w:rPr>
                <w:u w:val="none"/>
              </w:rPr>
            </w:pPr>
            <w:r>
              <w:rPr>
                <w:u w:val="none"/>
              </w:rPr>
              <w:t>真空密闭抽取方式</w:t>
            </w:r>
          </w:p>
        </w:tc>
      </w:tr>
      <w:tr w14:paraId="2DB69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continue"/>
            <w:noWrap w:val="0"/>
            <w:vAlign w:val="center"/>
          </w:tcPr>
          <w:p w14:paraId="7F580F6A">
            <w:pPr>
              <w:pStyle w:val="31"/>
              <w:bidi w:val="0"/>
              <w:rPr>
                <w:u w:val="none"/>
              </w:rPr>
            </w:pPr>
          </w:p>
        </w:tc>
        <w:tc>
          <w:tcPr>
            <w:tcW w:w="942" w:type="pct"/>
            <w:noWrap w:val="0"/>
            <w:vAlign w:val="center"/>
          </w:tcPr>
          <w:p w14:paraId="76CB49AB">
            <w:pPr>
              <w:pStyle w:val="31"/>
              <w:bidi w:val="0"/>
              <w:rPr>
                <w:u w:val="none"/>
              </w:rPr>
            </w:pPr>
            <w:r>
              <w:rPr>
                <w:u w:val="none"/>
              </w:rPr>
              <w:t>石棉拆除</w:t>
            </w:r>
          </w:p>
        </w:tc>
        <w:tc>
          <w:tcPr>
            <w:tcW w:w="808" w:type="pct"/>
            <w:noWrap w:val="0"/>
            <w:vAlign w:val="center"/>
          </w:tcPr>
          <w:p w14:paraId="7C1CFA59">
            <w:pPr>
              <w:pStyle w:val="31"/>
              <w:bidi w:val="0"/>
              <w:rPr>
                <w:u w:val="none"/>
              </w:rPr>
            </w:pPr>
            <w:r>
              <w:rPr>
                <w:u w:val="none"/>
              </w:rPr>
              <w:t>石棉</w:t>
            </w:r>
          </w:p>
        </w:tc>
        <w:tc>
          <w:tcPr>
            <w:tcW w:w="1285" w:type="pct"/>
            <w:noWrap w:val="0"/>
            <w:vAlign w:val="center"/>
          </w:tcPr>
          <w:p w14:paraId="458A79D2">
            <w:pPr>
              <w:pStyle w:val="31"/>
              <w:bidi w:val="0"/>
              <w:rPr>
                <w:u w:val="none"/>
              </w:rPr>
            </w:pPr>
            <w:r>
              <w:rPr>
                <w:u w:val="none"/>
              </w:rPr>
              <w:t>石棉</w:t>
            </w:r>
          </w:p>
        </w:tc>
        <w:tc>
          <w:tcPr>
            <w:tcW w:w="1446" w:type="pct"/>
            <w:noWrap w:val="0"/>
            <w:vAlign w:val="center"/>
          </w:tcPr>
          <w:p w14:paraId="0C219A86">
            <w:pPr>
              <w:pStyle w:val="31"/>
              <w:bidi w:val="0"/>
              <w:rPr>
                <w:u w:val="none"/>
              </w:rPr>
            </w:pPr>
            <w:r>
              <w:rPr>
                <w:u w:val="none"/>
              </w:rPr>
              <w:t>湿法拆除方式</w:t>
            </w:r>
          </w:p>
        </w:tc>
      </w:tr>
      <w:tr w14:paraId="3964F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noWrap w:val="0"/>
            <w:vAlign w:val="center"/>
          </w:tcPr>
          <w:p w14:paraId="6036C4B7">
            <w:pPr>
              <w:pStyle w:val="31"/>
              <w:bidi w:val="0"/>
              <w:rPr>
                <w:u w:val="none"/>
              </w:rPr>
            </w:pPr>
            <w:r>
              <w:rPr>
                <w:u w:val="none"/>
              </w:rPr>
              <w:t>废水</w:t>
            </w:r>
          </w:p>
        </w:tc>
        <w:tc>
          <w:tcPr>
            <w:tcW w:w="942" w:type="pct"/>
            <w:noWrap w:val="0"/>
            <w:vAlign w:val="center"/>
          </w:tcPr>
          <w:p w14:paraId="744FEFFC">
            <w:pPr>
              <w:pStyle w:val="31"/>
              <w:bidi w:val="0"/>
              <w:rPr>
                <w:u w:val="none"/>
              </w:rPr>
            </w:pPr>
            <w:r>
              <w:rPr>
                <w:u w:val="none"/>
              </w:rPr>
              <w:t>船台清洗</w:t>
            </w:r>
          </w:p>
        </w:tc>
        <w:tc>
          <w:tcPr>
            <w:tcW w:w="808" w:type="pct"/>
            <w:noWrap w:val="0"/>
            <w:vAlign w:val="center"/>
          </w:tcPr>
          <w:p w14:paraId="23AB1BB9">
            <w:pPr>
              <w:pStyle w:val="31"/>
              <w:bidi w:val="0"/>
              <w:rPr>
                <w:u w:val="none"/>
              </w:rPr>
            </w:pPr>
            <w:r>
              <w:rPr>
                <w:u w:val="none"/>
              </w:rPr>
              <w:t>船台清洗废水</w:t>
            </w:r>
          </w:p>
        </w:tc>
        <w:tc>
          <w:tcPr>
            <w:tcW w:w="1285" w:type="pct"/>
            <w:noWrap w:val="0"/>
            <w:vAlign w:val="center"/>
          </w:tcPr>
          <w:p w14:paraId="19D5554A">
            <w:pPr>
              <w:pStyle w:val="31"/>
              <w:bidi w:val="0"/>
              <w:rPr>
                <w:u w:val="none"/>
              </w:rPr>
            </w:pPr>
            <w:r>
              <w:rPr>
                <w:u w:val="none"/>
              </w:rPr>
              <w:t>COD、SS、石油类</w:t>
            </w:r>
          </w:p>
        </w:tc>
        <w:tc>
          <w:tcPr>
            <w:tcW w:w="1446" w:type="pct"/>
            <w:noWrap w:val="0"/>
            <w:vAlign w:val="center"/>
          </w:tcPr>
          <w:p w14:paraId="51203FDE">
            <w:pPr>
              <w:pStyle w:val="31"/>
              <w:bidi w:val="0"/>
              <w:rPr>
                <w:u w:val="none"/>
              </w:rPr>
            </w:pPr>
            <w:r>
              <w:rPr>
                <w:u w:val="none"/>
              </w:rPr>
              <w:t>经导流沟收集后进入雨污水收集池，隔油沉淀处理后排入污水处理厂</w:t>
            </w:r>
          </w:p>
        </w:tc>
      </w:tr>
      <w:tr w14:paraId="7B723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restart"/>
            <w:noWrap w:val="0"/>
            <w:vAlign w:val="center"/>
          </w:tcPr>
          <w:p w14:paraId="0277599E">
            <w:pPr>
              <w:pStyle w:val="31"/>
              <w:bidi w:val="0"/>
              <w:rPr>
                <w:u w:val="none"/>
              </w:rPr>
            </w:pPr>
            <w:r>
              <w:rPr>
                <w:u w:val="none"/>
              </w:rPr>
              <w:t>固体废物（不含直接可外售的产品）</w:t>
            </w:r>
          </w:p>
        </w:tc>
        <w:tc>
          <w:tcPr>
            <w:tcW w:w="942" w:type="pct"/>
            <w:vMerge w:val="restart"/>
            <w:noWrap w:val="0"/>
            <w:vAlign w:val="center"/>
          </w:tcPr>
          <w:p w14:paraId="4994AB60">
            <w:pPr>
              <w:pStyle w:val="31"/>
              <w:bidi w:val="0"/>
              <w:rPr>
                <w:u w:val="none"/>
              </w:rPr>
            </w:pPr>
            <w:r>
              <w:rPr>
                <w:u w:val="none"/>
              </w:rPr>
              <w:t>船舶拆解</w:t>
            </w:r>
          </w:p>
        </w:tc>
        <w:tc>
          <w:tcPr>
            <w:tcW w:w="808" w:type="pct"/>
            <w:noWrap w:val="0"/>
            <w:vAlign w:val="center"/>
          </w:tcPr>
          <w:p w14:paraId="1B97D2E0">
            <w:pPr>
              <w:pStyle w:val="31"/>
              <w:bidi w:val="0"/>
              <w:rPr>
                <w:u w:val="none"/>
              </w:rPr>
            </w:pPr>
            <w:r>
              <w:rPr>
                <w:u w:val="none"/>
              </w:rPr>
              <w:t>危险废物</w:t>
            </w:r>
          </w:p>
        </w:tc>
        <w:tc>
          <w:tcPr>
            <w:tcW w:w="1285" w:type="pct"/>
            <w:noWrap w:val="0"/>
            <w:vAlign w:val="center"/>
          </w:tcPr>
          <w:p w14:paraId="39362BAE">
            <w:pPr>
              <w:pStyle w:val="31"/>
              <w:bidi w:val="0"/>
              <w:rPr>
                <w:u w:val="none"/>
              </w:rPr>
            </w:pPr>
            <w:r>
              <w:rPr>
                <w:u w:val="none"/>
              </w:rPr>
              <w:t>收集残油和油泥、废制冷剂、废含哈龙消防设备、废含汞灯管、废石棉、废铅蓄电池、废油箱、油柜、废漆渣等</w:t>
            </w:r>
          </w:p>
        </w:tc>
        <w:tc>
          <w:tcPr>
            <w:tcW w:w="1446" w:type="pct"/>
            <w:noWrap w:val="0"/>
            <w:vAlign w:val="center"/>
          </w:tcPr>
          <w:p w14:paraId="492AA038">
            <w:pPr>
              <w:pStyle w:val="31"/>
              <w:bidi w:val="0"/>
              <w:rPr>
                <w:u w:val="none"/>
              </w:rPr>
            </w:pPr>
            <w:r>
              <w:rPr>
                <w:u w:val="none"/>
              </w:rPr>
              <w:t>存储在危废暂存间，委托有资质单位进行处置</w:t>
            </w:r>
          </w:p>
        </w:tc>
      </w:tr>
      <w:tr w14:paraId="12E4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vMerge w:val="continue"/>
            <w:noWrap w:val="0"/>
            <w:vAlign w:val="center"/>
          </w:tcPr>
          <w:p w14:paraId="37B4CB34">
            <w:pPr>
              <w:pStyle w:val="31"/>
              <w:bidi w:val="0"/>
              <w:rPr>
                <w:u w:val="none"/>
              </w:rPr>
            </w:pPr>
          </w:p>
        </w:tc>
        <w:tc>
          <w:tcPr>
            <w:tcW w:w="942" w:type="pct"/>
            <w:vMerge w:val="continue"/>
            <w:noWrap w:val="0"/>
            <w:vAlign w:val="center"/>
          </w:tcPr>
          <w:p w14:paraId="51978411">
            <w:pPr>
              <w:pStyle w:val="31"/>
              <w:bidi w:val="0"/>
              <w:rPr>
                <w:u w:val="none"/>
              </w:rPr>
            </w:pPr>
          </w:p>
        </w:tc>
        <w:tc>
          <w:tcPr>
            <w:tcW w:w="808" w:type="pct"/>
            <w:noWrap w:val="0"/>
            <w:vAlign w:val="center"/>
          </w:tcPr>
          <w:p w14:paraId="76D00033">
            <w:pPr>
              <w:pStyle w:val="31"/>
              <w:bidi w:val="0"/>
              <w:rPr>
                <w:u w:val="none"/>
              </w:rPr>
            </w:pPr>
            <w:r>
              <w:rPr>
                <w:u w:val="none"/>
              </w:rPr>
              <w:t>一般固废</w:t>
            </w:r>
          </w:p>
        </w:tc>
        <w:tc>
          <w:tcPr>
            <w:tcW w:w="1285" w:type="pct"/>
            <w:noWrap w:val="0"/>
            <w:vAlign w:val="center"/>
          </w:tcPr>
          <w:p w14:paraId="16D972F4">
            <w:pPr>
              <w:pStyle w:val="31"/>
              <w:bidi w:val="0"/>
              <w:rPr>
                <w:u w:val="none"/>
              </w:rPr>
            </w:pPr>
            <w:r>
              <w:rPr>
                <w:u w:val="none"/>
              </w:rPr>
              <w:t>废家电设备、废照明设备、废消防设备、废玻璃、废泡沫、废塑料、废轮胎及橡胶制品等</w:t>
            </w:r>
          </w:p>
        </w:tc>
        <w:tc>
          <w:tcPr>
            <w:tcW w:w="1446" w:type="pct"/>
            <w:noWrap w:val="0"/>
            <w:vAlign w:val="center"/>
          </w:tcPr>
          <w:p w14:paraId="01D1E978">
            <w:pPr>
              <w:pStyle w:val="31"/>
              <w:bidi w:val="0"/>
              <w:rPr>
                <w:u w:val="none"/>
              </w:rPr>
            </w:pPr>
            <w:r>
              <w:rPr>
                <w:u w:val="none"/>
              </w:rPr>
              <w:t>暂存在一般固废暂存库，外售综合利用</w:t>
            </w:r>
          </w:p>
        </w:tc>
      </w:tr>
      <w:tr w14:paraId="7DE6F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pct"/>
            <w:noWrap w:val="0"/>
            <w:vAlign w:val="center"/>
          </w:tcPr>
          <w:p w14:paraId="2865BC15">
            <w:pPr>
              <w:pStyle w:val="31"/>
              <w:bidi w:val="0"/>
              <w:rPr>
                <w:u w:val="none"/>
              </w:rPr>
            </w:pPr>
            <w:r>
              <w:rPr>
                <w:u w:val="none"/>
              </w:rPr>
              <w:t>噪声</w:t>
            </w:r>
          </w:p>
        </w:tc>
        <w:tc>
          <w:tcPr>
            <w:tcW w:w="942" w:type="pct"/>
            <w:noWrap w:val="0"/>
            <w:vAlign w:val="center"/>
          </w:tcPr>
          <w:p w14:paraId="3050CF08">
            <w:pPr>
              <w:pStyle w:val="31"/>
              <w:bidi w:val="0"/>
              <w:rPr>
                <w:u w:val="none"/>
              </w:rPr>
            </w:pPr>
            <w:r>
              <w:rPr>
                <w:u w:val="none"/>
              </w:rPr>
              <w:t>船舶维修</w:t>
            </w:r>
          </w:p>
        </w:tc>
        <w:tc>
          <w:tcPr>
            <w:tcW w:w="2094" w:type="pct"/>
            <w:gridSpan w:val="2"/>
            <w:noWrap w:val="0"/>
            <w:vAlign w:val="center"/>
          </w:tcPr>
          <w:p w14:paraId="633BD180">
            <w:pPr>
              <w:pStyle w:val="31"/>
              <w:bidi w:val="0"/>
              <w:rPr>
                <w:u w:val="none"/>
              </w:rPr>
            </w:pPr>
            <w:r>
              <w:rPr>
                <w:u w:val="none"/>
              </w:rPr>
              <w:t>等效A声级</w:t>
            </w:r>
          </w:p>
        </w:tc>
        <w:tc>
          <w:tcPr>
            <w:tcW w:w="1446" w:type="pct"/>
            <w:noWrap w:val="0"/>
            <w:vAlign w:val="center"/>
          </w:tcPr>
          <w:p w14:paraId="4B4E1C21">
            <w:pPr>
              <w:pStyle w:val="31"/>
              <w:bidi w:val="0"/>
              <w:rPr>
                <w:u w:val="none"/>
              </w:rPr>
            </w:pPr>
            <w:r>
              <w:rPr>
                <w:u w:val="none"/>
              </w:rPr>
              <w:t>隔声减振降噪等</w:t>
            </w:r>
          </w:p>
        </w:tc>
      </w:tr>
    </w:tbl>
    <w:p w14:paraId="21565611">
      <w:pPr>
        <w:pStyle w:val="33"/>
        <w:rPr>
          <w:rFonts w:hint="eastAsia" w:eastAsia="宋体"/>
          <w:lang w:eastAsia="zh-CN"/>
        </w:rPr>
      </w:pPr>
      <w:bookmarkStart w:id="104" w:name="_Toc31674"/>
      <w:r>
        <w:rPr>
          <w:rFonts w:hint="eastAsia"/>
        </w:rPr>
        <w:t>3.</w:t>
      </w:r>
      <w:r>
        <w:rPr>
          <w:rFonts w:hint="eastAsia"/>
          <w:lang w:val="en-US" w:eastAsia="zh-CN"/>
        </w:rPr>
        <w:t>3</w:t>
      </w:r>
      <w:r>
        <w:rPr>
          <w:rFonts w:hint="eastAsia"/>
        </w:rPr>
        <w:t>.3</w:t>
      </w:r>
      <w:r>
        <w:rPr>
          <w:rFonts w:hint="eastAsia"/>
          <w:lang w:val="en-US" w:eastAsia="zh-CN"/>
        </w:rPr>
        <w:t>水平衡</w:t>
      </w:r>
      <w:bookmarkEnd w:id="104"/>
    </w:p>
    <w:p w14:paraId="4993CDDC">
      <w:pPr>
        <w:pStyle w:val="21"/>
        <w:bidi w:val="0"/>
      </w:pPr>
      <w:r>
        <w:rPr>
          <w:rFonts w:hint="eastAsia"/>
        </w:rPr>
        <w:t>本项目用水包括船台清洗用水、拆解石棉用水、场地洒水降尘用水、生活用水等。项目废水主要包括船台清洗废水、生活污水、压舱废水、初期雨水等。</w:t>
      </w:r>
    </w:p>
    <w:p w14:paraId="6D44646C">
      <w:pPr>
        <w:pStyle w:val="21"/>
        <w:bidi w:val="0"/>
      </w:pPr>
      <w:r>
        <w:rPr>
          <w:rFonts w:hint="eastAsia"/>
        </w:rPr>
        <w:t>1、用水量/排水量估算</w:t>
      </w:r>
    </w:p>
    <w:p w14:paraId="08F019B2">
      <w:pPr>
        <w:pStyle w:val="21"/>
        <w:bidi w:val="0"/>
      </w:pPr>
      <w:r>
        <w:rPr>
          <w:rFonts w:hint="eastAsia"/>
        </w:rPr>
        <w:t>（1）船舶清洗用水：主要为船舶舱内、舱外在拆解前需要进行清洗，以去除残留的油污和沉积物，便于后续拆解作业，参照《工业源产排污核算方法和系数手册-42废弃资源综合利用行业系数手册》（环境部公告2021年第24号），报废船舶“拆解+切割”工段废水产生量为0.03t/t原料，本项目年拆解船舶重量约为</w:t>
      </w:r>
      <w:r>
        <w:rPr>
          <w:rFonts w:hint="eastAsia"/>
          <w:lang w:val="en-US" w:eastAsia="zh-CN"/>
        </w:rPr>
        <w:t>3440</w:t>
      </w:r>
      <w:r>
        <w:rPr>
          <w:rFonts w:hint="eastAsia"/>
        </w:rPr>
        <w:t>t，则产生废水量约为</w:t>
      </w:r>
      <w:r>
        <w:rPr>
          <w:rFonts w:hint="eastAsia"/>
          <w:lang w:val="en-US" w:eastAsia="zh-CN"/>
        </w:rPr>
        <w:t>103.2</w:t>
      </w:r>
      <w:r>
        <w:rPr>
          <w:rFonts w:hint="eastAsia"/>
        </w:rPr>
        <w:t>t/a</w:t>
      </w:r>
      <w:r>
        <w:rPr>
          <w:rFonts w:hint="eastAsia"/>
          <w:lang w:eastAsia="zh-CN"/>
        </w:rPr>
        <w:t>，</w:t>
      </w:r>
      <w:r>
        <w:rPr>
          <w:rFonts w:hint="eastAsia"/>
          <w:lang w:val="en-US" w:eastAsia="zh-CN"/>
        </w:rPr>
        <w:t>废水通过船台导流沟排入初期雨水收集池，之后水泵抽至废水处理中处理。</w:t>
      </w:r>
      <w:r>
        <w:rPr>
          <w:rFonts w:hint="eastAsia"/>
        </w:rPr>
        <w:t>清洗过程中水损耗率按10%计算，则用水量约为</w:t>
      </w:r>
      <w:r>
        <w:rPr>
          <w:rFonts w:hint="eastAsia"/>
          <w:lang w:val="en-US" w:eastAsia="zh-CN"/>
        </w:rPr>
        <w:t>114.67</w:t>
      </w:r>
      <w:r>
        <w:rPr>
          <w:rFonts w:hint="eastAsia"/>
        </w:rPr>
        <w:t>m</w:t>
      </w:r>
      <w:r>
        <w:rPr>
          <w:rFonts w:hint="eastAsia"/>
          <w:vertAlign w:val="superscript"/>
        </w:rPr>
        <w:t>3</w:t>
      </w:r>
      <w:r>
        <w:rPr>
          <w:rFonts w:hint="eastAsia"/>
        </w:rPr>
        <w:t>/a，</w:t>
      </w:r>
      <w:r>
        <w:rPr>
          <w:rFonts w:hint="eastAsia"/>
          <w:lang w:val="en-US" w:eastAsia="zh-CN"/>
        </w:rPr>
        <w:t>优先使用废水处理站清水池内水，不足部分从湘江取水</w:t>
      </w:r>
      <w:r>
        <w:rPr>
          <w:rFonts w:hint="eastAsia"/>
        </w:rPr>
        <w:t>。</w:t>
      </w:r>
    </w:p>
    <w:p w14:paraId="7818EF8E">
      <w:pPr>
        <w:pStyle w:val="21"/>
        <w:bidi w:val="0"/>
        <w:rPr>
          <w:rFonts w:hint="default" w:eastAsia="宋体"/>
          <w:lang w:val="en-US" w:eastAsia="zh-CN"/>
        </w:rPr>
      </w:pPr>
      <w:r>
        <w:rPr>
          <w:rFonts w:hint="eastAsia"/>
        </w:rPr>
        <w:t>（2）船台</w:t>
      </w:r>
      <w:r>
        <w:rPr>
          <w:rFonts w:hint="eastAsia"/>
          <w:lang w:val="en-US" w:eastAsia="zh-CN"/>
        </w:rPr>
        <w:t>冲洗</w:t>
      </w:r>
      <w:r>
        <w:rPr>
          <w:rFonts w:hint="eastAsia"/>
        </w:rPr>
        <w:t>用水：</w:t>
      </w:r>
      <w:r>
        <w:t>船舶拆解</w:t>
      </w:r>
      <w:r>
        <w:rPr>
          <w:rFonts w:hint="eastAsia"/>
        </w:rPr>
        <w:t>/修理</w:t>
      </w:r>
      <w:r>
        <w:t>完成后需对船台进行</w:t>
      </w:r>
      <w:r>
        <w:rPr>
          <w:rFonts w:hint="eastAsia"/>
          <w:lang w:val="en-US" w:eastAsia="zh-CN"/>
        </w:rPr>
        <w:t>冲洗</w:t>
      </w:r>
      <w:r>
        <w:t>，清洗周期约每周一次，年清洗次数约50次，厂区船台</w:t>
      </w:r>
      <w:r>
        <w:rPr>
          <w:rFonts w:hint="eastAsia"/>
        </w:rPr>
        <w:t>总</w:t>
      </w:r>
      <w:r>
        <w:t>面积约</w:t>
      </w:r>
      <w:r>
        <w:rPr>
          <w:rFonts w:hint="eastAsia"/>
        </w:rPr>
        <w:t>5000</w:t>
      </w:r>
      <w:r>
        <w:t>m</w:t>
      </w:r>
      <w:r>
        <w:rPr>
          <w:vertAlign w:val="superscript"/>
        </w:rPr>
        <w:t>2</w:t>
      </w:r>
      <w:r>
        <w:t>，清洗用水量为2L/m</w:t>
      </w:r>
      <w:r>
        <w:rPr>
          <w:vertAlign w:val="superscript"/>
        </w:rPr>
        <w:t>2</w:t>
      </w:r>
      <w:r>
        <w:t>·次，计算得到本项目船台清洗用水量为</w:t>
      </w:r>
      <w:r>
        <w:rPr>
          <w:rFonts w:hint="eastAsia"/>
        </w:rPr>
        <w:t>500</w:t>
      </w:r>
      <w:r>
        <w:t>t/a</w:t>
      </w:r>
      <w:r>
        <w:rPr>
          <w:rFonts w:hint="eastAsia"/>
          <w:lang w:eastAsia="zh-CN"/>
        </w:rPr>
        <w:t>，</w:t>
      </w:r>
      <w:r>
        <w:rPr>
          <w:rFonts w:hint="eastAsia"/>
          <w:lang w:val="en-US" w:eastAsia="zh-CN"/>
        </w:rPr>
        <w:t>优先使用废水处理站清水池内水，不足部分从湘江取水</w:t>
      </w:r>
      <w:r>
        <w:t>。船台清洗废水产污系数按照0.8考虑，本项目船台清洗废水产生量为</w:t>
      </w:r>
      <w:r>
        <w:rPr>
          <w:rFonts w:hint="eastAsia"/>
        </w:rPr>
        <w:t>400</w:t>
      </w:r>
      <w:r>
        <w:t>t/a</w:t>
      </w:r>
      <w:r>
        <w:rPr>
          <w:rFonts w:hint="eastAsia"/>
          <w:lang w:eastAsia="zh-CN"/>
        </w:rPr>
        <w:t>，</w:t>
      </w:r>
      <w:r>
        <w:rPr>
          <w:rFonts w:hint="eastAsia"/>
          <w:lang w:val="en-US" w:eastAsia="zh-CN"/>
        </w:rPr>
        <w:t>通过导流沟排入初期雨水池，之后通过水泵抽至废水处理站处理。</w:t>
      </w:r>
    </w:p>
    <w:p w14:paraId="7B4A301A">
      <w:pPr>
        <w:pStyle w:val="21"/>
        <w:bidi w:val="0"/>
      </w:pPr>
      <w:r>
        <w:rPr>
          <w:rFonts w:hint="eastAsia"/>
        </w:rPr>
        <w:t>（3）拆解石棉用水：2010年前的船舶使用石棉材质作为保温材料，根据要求拆解石棉制品应先用水充分湿润整块去除。船舶报废期限一般为10~20年，因此本次考虑预计50%的拆解船舶为2010年前的船舶，即拆解数量为</w:t>
      </w:r>
      <w:r>
        <w:rPr>
          <w:rFonts w:hint="eastAsia"/>
          <w:lang w:val="en-US" w:eastAsia="zh-CN"/>
        </w:rPr>
        <w:t>15</w:t>
      </w:r>
      <w:r>
        <w:rPr>
          <w:rFonts w:hint="eastAsia"/>
        </w:rPr>
        <w:t>艘/年，类比湖南伟业农牧集团灏东船舶科技有限公司的拆船实际运营情况，拆解石棉用水量约为1t/艘，因此可计算出拆解石棉用水量约为</w:t>
      </w:r>
      <w:r>
        <w:rPr>
          <w:rFonts w:hint="eastAsia"/>
          <w:lang w:val="en-US" w:eastAsia="zh-CN"/>
        </w:rPr>
        <w:t>15</w:t>
      </w:r>
      <w:r>
        <w:rPr>
          <w:rFonts w:hint="eastAsia"/>
        </w:rPr>
        <w:t>t/a。这部分水浸润到石棉制品内，部分在拆解过程和废石棉贮存过程蒸发损耗，部分进入石棉制品后与废石棉一并作为危险废物处置，无废水产生。</w:t>
      </w:r>
    </w:p>
    <w:p w14:paraId="1DD77957">
      <w:pPr>
        <w:pStyle w:val="21"/>
        <w:bidi w:val="0"/>
        <w:rPr>
          <w:rFonts w:hint="default" w:eastAsia="宋体"/>
          <w:lang w:val="en-US" w:eastAsia="zh-CN"/>
        </w:rPr>
      </w:pPr>
      <w:r>
        <w:rPr>
          <w:rFonts w:hint="eastAsia"/>
        </w:rPr>
        <w:t>（4）压舱废水：本项目所拆解的船舶均为内河船舶，</w:t>
      </w:r>
      <w:r>
        <w:rPr>
          <w:rFonts w:hint="eastAsia"/>
          <w:lang w:val="en-US" w:eastAsia="zh-CN"/>
        </w:rPr>
        <w:t>拆解船舶类型中公务船、非标准渡船均无压舱水，干散货船、自卸驳船、多用途船等可能采用压舱水、压舱水泥或无压舱配重。本次按50%的干散货船、自卸驳船、多用途船存在压舱水，压舱水重量约为船自重的30%，本项目干散货船、自卸驳船、多用途船总计拆解20艘，空船总重约为3300t，则压舱废水产生量约为495t，压舱水抽至废水处理站处理达标后回用或排放。</w:t>
      </w:r>
    </w:p>
    <w:p w14:paraId="334E0125">
      <w:pPr>
        <w:pStyle w:val="21"/>
        <w:bidi w:val="0"/>
      </w:pPr>
      <w:r>
        <w:rPr>
          <w:rFonts w:hint="eastAsia"/>
        </w:rPr>
        <w:t>（5）场地洒水降尘用水：船舶在拆解过程、船舶拖运上岸过程等过程均会产生扬尘，且均为无组织排放，为降低扬尘污染，需定期对场地进行洒水降尘，根据建设单位设计，每日洒水降尘2次（上午、下午各1次），每次用水量按0.5L/m</w:t>
      </w:r>
      <w:r>
        <w:rPr>
          <w:rFonts w:hint="eastAsia"/>
          <w:vertAlign w:val="superscript"/>
        </w:rPr>
        <w:t>2</w:t>
      </w:r>
      <w:r>
        <w:rPr>
          <w:rFonts w:hint="eastAsia"/>
        </w:rPr>
        <w:t>·次计算，船台面积为5000m</w:t>
      </w:r>
      <w:r>
        <w:rPr>
          <w:rFonts w:hint="eastAsia"/>
          <w:vertAlign w:val="superscript"/>
        </w:rPr>
        <w:t>2</w:t>
      </w:r>
      <w:r>
        <w:rPr>
          <w:rFonts w:hint="eastAsia"/>
        </w:rPr>
        <w:t>，则洒水用水量约为2.5m</w:t>
      </w:r>
      <w:r>
        <w:rPr>
          <w:rFonts w:hint="eastAsia"/>
          <w:vertAlign w:val="superscript"/>
        </w:rPr>
        <w:t>3</w:t>
      </w:r>
      <w:r>
        <w:rPr>
          <w:rFonts w:hint="eastAsia"/>
        </w:rPr>
        <w:t>/次，5m</w:t>
      </w:r>
      <w:r>
        <w:rPr>
          <w:rFonts w:hint="eastAsia"/>
          <w:vertAlign w:val="superscript"/>
        </w:rPr>
        <w:t>3</w:t>
      </w:r>
      <w:r>
        <w:rPr>
          <w:rFonts w:hint="eastAsia"/>
        </w:rPr>
        <w:t>/d，考虑到降雨天气无需进行洒水降尘，衡东县年均降雨天数约为110天，去除非工作日的降雨按50天计算，则工作日降雨为60天，需要洒水降尘的天数为140天，则用水量为700m</w:t>
      </w:r>
      <w:r>
        <w:rPr>
          <w:rFonts w:hint="eastAsia"/>
          <w:vertAlign w:val="superscript"/>
        </w:rPr>
        <w:t>3</w:t>
      </w:r>
      <w:r>
        <w:rPr>
          <w:rFonts w:hint="eastAsia"/>
        </w:rPr>
        <w:t>/a。</w:t>
      </w:r>
    </w:p>
    <w:p w14:paraId="09A9BFD6">
      <w:pPr>
        <w:pStyle w:val="21"/>
        <w:bidi w:val="0"/>
      </w:pPr>
      <w:r>
        <w:rPr>
          <w:rFonts w:hint="eastAsia"/>
        </w:rPr>
        <w:t>（6）初期雨水：</w:t>
      </w:r>
      <w:r>
        <w:t>本项目厂区初期雨水计算参照《石油化工污水处理设计规范》（GB50747-2012）受污染区的初期雨水量按15mm~30mm降雨深度计算，初期雨水储存设施容积按污染区面积与降雨深度的乘积计算，按下式计算：</w:t>
      </w:r>
    </w:p>
    <w:p w14:paraId="50313CE6">
      <w:pPr>
        <w:pStyle w:val="21"/>
        <w:bidi w:val="0"/>
      </w:pPr>
      <w:r>
        <w:t>V=F·h/1000</w:t>
      </w:r>
    </w:p>
    <w:p w14:paraId="0BFA1A53">
      <w:pPr>
        <w:pStyle w:val="21"/>
        <w:bidi w:val="0"/>
      </w:pPr>
      <w:r>
        <w:t>其中：V—污染雨水储存容积（m</w:t>
      </w:r>
      <w:r>
        <w:rPr>
          <w:vertAlign w:val="superscript"/>
        </w:rPr>
        <w:t>3</w:t>
      </w:r>
      <w:r>
        <w:t>）；</w:t>
      </w:r>
    </w:p>
    <w:p w14:paraId="14D0A2AB">
      <w:pPr>
        <w:pStyle w:val="21"/>
        <w:bidi w:val="0"/>
      </w:pPr>
      <w:r>
        <w:t>h—降雨深度，本项目取15mm；</w:t>
      </w:r>
    </w:p>
    <w:p w14:paraId="13D62A49">
      <w:pPr>
        <w:pStyle w:val="21"/>
        <w:bidi w:val="0"/>
      </w:pPr>
      <w:r>
        <w:t>F—污染区面积（m</w:t>
      </w:r>
      <w:r>
        <w:rPr>
          <w:vertAlign w:val="superscript"/>
        </w:rPr>
        <w:t>2</w:t>
      </w:r>
      <w:r>
        <w:t>），本项目污染区为</w:t>
      </w:r>
      <w:r>
        <w:rPr>
          <w:rFonts w:hint="eastAsia"/>
        </w:rPr>
        <w:t>船台区域</w:t>
      </w:r>
      <w:r>
        <w:t>等，面积约为</w:t>
      </w:r>
      <w:r>
        <w:rPr>
          <w:rFonts w:hint="eastAsia"/>
        </w:rPr>
        <w:t>5000</w:t>
      </w:r>
      <w:r>
        <w:t>m</w:t>
      </w:r>
      <w:r>
        <w:rPr>
          <w:vertAlign w:val="superscript"/>
        </w:rPr>
        <w:t>2</w:t>
      </w:r>
      <w:r>
        <w:t>。经计算得到项目区每次初期雨水量为</w:t>
      </w:r>
      <w:r>
        <w:rPr>
          <w:rFonts w:hint="eastAsia"/>
        </w:rPr>
        <w:t>75</w:t>
      </w:r>
      <w:r>
        <w:t>m</w:t>
      </w:r>
      <w:r>
        <w:rPr>
          <w:vertAlign w:val="superscript"/>
        </w:rPr>
        <w:t>3</w:t>
      </w:r>
      <w:r>
        <w:t>。</w:t>
      </w:r>
    </w:p>
    <w:p w14:paraId="4C6FF28C">
      <w:pPr>
        <w:pStyle w:val="21"/>
        <w:bidi w:val="0"/>
      </w:pPr>
      <w:r>
        <w:rPr>
          <w:rFonts w:hint="eastAsia"/>
        </w:rPr>
        <w:t>根据前文估算，作业期间降雨天数约为60天，则总计收集初期雨水量约为4500m</w:t>
      </w:r>
      <w:r>
        <w:rPr>
          <w:rFonts w:hint="eastAsia"/>
          <w:vertAlign w:val="superscript"/>
        </w:rPr>
        <w:t>3</w:t>
      </w:r>
      <w:r>
        <w:rPr>
          <w:rFonts w:hint="eastAsia"/>
        </w:rPr>
        <w:t>/a。项目延湘江侧设置截排水沟，将初期雨水排入隔油沉淀池，根据场地地形在北侧设置一个初期雨水池，总容积</w:t>
      </w:r>
      <w:r>
        <w:rPr>
          <w:rFonts w:hint="eastAsia"/>
          <w:lang w:val="en-US" w:eastAsia="zh-CN"/>
        </w:rPr>
        <w:t>50</w:t>
      </w:r>
      <w:r>
        <w:rPr>
          <w:rFonts w:hint="eastAsia"/>
        </w:rPr>
        <w:t>m</w:t>
      </w:r>
      <w:r>
        <w:rPr>
          <w:rFonts w:hint="eastAsia"/>
          <w:vertAlign w:val="superscript"/>
        </w:rPr>
        <w:t>3</w:t>
      </w:r>
      <w:r>
        <w:rPr>
          <w:rFonts w:hint="eastAsia"/>
        </w:rPr>
        <w:t>，能够满足项目一次初期雨水收集量。</w:t>
      </w:r>
    </w:p>
    <w:p w14:paraId="4227B355">
      <w:pPr>
        <w:pStyle w:val="21"/>
        <w:bidi w:val="0"/>
        <w:rPr>
          <w:rFonts w:hint="eastAsia"/>
        </w:rPr>
      </w:pPr>
      <w:r>
        <w:rPr>
          <w:rFonts w:hint="eastAsia"/>
        </w:rPr>
        <w:t>（7）生活用水：项目总计劳动定员15人，均不在厂区内食宿，用水量按45L/人·d计算，则用水量为0.675m</w:t>
      </w:r>
      <w:r>
        <w:rPr>
          <w:rFonts w:hint="eastAsia"/>
          <w:vertAlign w:val="superscript"/>
        </w:rPr>
        <w:t>3</w:t>
      </w:r>
      <w:r>
        <w:rPr>
          <w:rFonts w:hint="eastAsia"/>
        </w:rPr>
        <w:t>/d，135m</w:t>
      </w:r>
      <w:r>
        <w:rPr>
          <w:rFonts w:hint="eastAsia"/>
          <w:vertAlign w:val="superscript"/>
        </w:rPr>
        <w:t>3</w:t>
      </w:r>
      <w:r>
        <w:rPr>
          <w:rFonts w:hint="eastAsia"/>
        </w:rPr>
        <w:t>/a，生活污水产生量按用水量的80%计算，则生活污水产生量为0.54m</w:t>
      </w:r>
      <w:r>
        <w:rPr>
          <w:rFonts w:hint="eastAsia"/>
          <w:vertAlign w:val="superscript"/>
        </w:rPr>
        <w:t>3</w:t>
      </w:r>
      <w:r>
        <w:rPr>
          <w:rFonts w:hint="eastAsia"/>
        </w:rPr>
        <w:t>/d，108m</w:t>
      </w:r>
      <w:r>
        <w:rPr>
          <w:rFonts w:hint="eastAsia"/>
          <w:vertAlign w:val="superscript"/>
        </w:rPr>
        <w:t>3</w:t>
      </w:r>
      <w:r>
        <w:rPr>
          <w:rFonts w:hint="eastAsia"/>
        </w:rPr>
        <w:t>/a，生活污水采用化粪池处理，定期清掏化粪池用于周边农田施肥。</w:t>
      </w:r>
    </w:p>
    <w:p w14:paraId="7FE829EB">
      <w:pPr>
        <w:pStyle w:val="21"/>
        <w:bidi w:val="0"/>
        <w:ind w:left="0" w:leftChars="0" w:firstLine="0" w:firstLineChars="0"/>
        <w:rPr>
          <w:rFonts w:hint="eastAsia"/>
        </w:rPr>
      </w:pPr>
      <w:r>
        <w:rPr>
          <w:rFonts w:hint="eastAsia"/>
        </w:rPr>
        <w:object>
          <v:shape id="_x0000_i1027" o:spt="75" type="#_x0000_t75" style="height:369.15pt;width:415.05pt;" o:ole="t" filled="f" o:preferrelative="t" stroked="f" coordsize="21600,21600">
            <v:path/>
            <v:fill on="f" focussize="0,0"/>
            <v:stroke on="f"/>
            <v:imagedata r:id="rId20" o:title=""/>
            <o:lock v:ext="edit" aspectratio="f"/>
            <w10:wrap type="none"/>
            <w10:anchorlock/>
          </v:shape>
          <o:OLEObject Type="Embed" ProgID="Visio.Drawing.15" ShapeID="_x0000_i1027" DrawAspect="Content" ObjectID="_1468075727" r:id="rId19">
            <o:LockedField>false</o:LockedField>
          </o:OLEObject>
        </w:object>
      </w:r>
    </w:p>
    <w:p w14:paraId="7C580F36">
      <w:pPr>
        <w:pStyle w:val="23"/>
        <w:bidi w:val="0"/>
        <w:rPr>
          <w:rFonts w:hint="default"/>
          <w:vertAlign w:val="baseline"/>
          <w:lang w:val="en-US" w:eastAsia="zh-CN"/>
        </w:rPr>
      </w:pPr>
      <w:r>
        <w:rPr>
          <w:rFonts w:hint="eastAsia"/>
          <w:lang w:val="en-US" w:eastAsia="zh-CN"/>
        </w:rPr>
        <w:t>图3.3-2  项目水平衡图  单位：m</w:t>
      </w:r>
      <w:r>
        <w:rPr>
          <w:rFonts w:hint="eastAsia"/>
          <w:vertAlign w:val="superscript"/>
          <w:lang w:val="en-US" w:eastAsia="zh-CN"/>
        </w:rPr>
        <w:t>3</w:t>
      </w:r>
      <w:r>
        <w:rPr>
          <w:rFonts w:hint="eastAsia"/>
          <w:vertAlign w:val="baseline"/>
          <w:lang w:val="en-US" w:eastAsia="zh-CN"/>
        </w:rPr>
        <w:t>/a</w:t>
      </w:r>
    </w:p>
    <w:p w14:paraId="33F71280">
      <w:pPr>
        <w:pStyle w:val="33"/>
      </w:pPr>
      <w:bookmarkStart w:id="105" w:name="_Toc10866"/>
      <w:r>
        <w:rPr>
          <w:rFonts w:hint="eastAsia"/>
        </w:rPr>
        <w:t>3.</w:t>
      </w:r>
      <w:r>
        <w:rPr>
          <w:rFonts w:hint="eastAsia"/>
          <w:lang w:val="en-US" w:eastAsia="zh-CN"/>
        </w:rPr>
        <w:t>3</w:t>
      </w:r>
      <w:r>
        <w:rPr>
          <w:rFonts w:hint="eastAsia"/>
        </w:rPr>
        <w:t>.4物料平衡</w:t>
      </w:r>
      <w:bookmarkEnd w:id="105"/>
    </w:p>
    <w:p w14:paraId="6E60A710">
      <w:pPr>
        <w:pStyle w:val="21"/>
        <w:ind w:firstLine="480"/>
        <w:rPr>
          <w:rFonts w:hint="eastAsia"/>
        </w:rPr>
      </w:pPr>
      <w:r>
        <w:rPr>
          <w:rFonts w:hint="eastAsia"/>
        </w:rPr>
        <w:t>本次改扩建仅新增船舶拆解，船舶修理部分仍按原已审批环评管理，因此本次仅对船舶拆解部分进行物料平衡：</w:t>
      </w:r>
    </w:p>
    <w:p w14:paraId="508B187B">
      <w:pPr>
        <w:pStyle w:val="23"/>
        <w:bidi w:val="0"/>
        <w:rPr>
          <w:rFonts w:hint="eastAsia"/>
          <w:lang w:val="en-US" w:eastAsia="zh-CN"/>
        </w:rPr>
      </w:pPr>
      <w:r>
        <w:rPr>
          <w:rFonts w:hint="eastAsia"/>
          <w:lang w:val="en-US" w:eastAsia="zh-CN"/>
        </w:rPr>
        <w:t>表3.3-3  船舶拆解物料平衡表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6"/>
        <w:gridCol w:w="907"/>
        <w:gridCol w:w="1207"/>
        <w:gridCol w:w="3887"/>
        <w:gridCol w:w="1362"/>
      </w:tblGrid>
      <w:tr w14:paraId="4D2EF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11" w:type="pct"/>
            <w:gridSpan w:val="2"/>
            <w:vAlign w:val="center"/>
          </w:tcPr>
          <w:p w14:paraId="50AF7923">
            <w:pPr>
              <w:pStyle w:val="31"/>
              <w:rPr>
                <w:rFonts w:cs="Times New Roman"/>
                <w:kern w:val="0"/>
                <w:u w:val="none"/>
              </w:rPr>
            </w:pPr>
            <w:r>
              <w:rPr>
                <w:rFonts w:hint="eastAsia" w:cs="Times New Roman"/>
                <w:kern w:val="0"/>
                <w:u w:val="none"/>
              </w:rPr>
              <w:t>输入</w:t>
            </w:r>
          </w:p>
        </w:tc>
        <w:tc>
          <w:tcPr>
            <w:tcW w:w="3788" w:type="pct"/>
            <w:gridSpan w:val="3"/>
            <w:vAlign w:val="center"/>
          </w:tcPr>
          <w:p w14:paraId="76C70C47">
            <w:pPr>
              <w:pStyle w:val="31"/>
              <w:rPr>
                <w:rFonts w:cs="Times New Roman"/>
                <w:kern w:val="0"/>
                <w:u w:val="none"/>
              </w:rPr>
            </w:pPr>
            <w:r>
              <w:rPr>
                <w:rFonts w:hint="eastAsia" w:cs="Times New Roman"/>
                <w:kern w:val="0"/>
                <w:u w:val="none"/>
              </w:rPr>
              <w:t>输出</w:t>
            </w:r>
          </w:p>
        </w:tc>
      </w:tr>
      <w:tr w14:paraId="2E9BF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2EBB24F1">
            <w:pPr>
              <w:pStyle w:val="31"/>
              <w:rPr>
                <w:rFonts w:cs="Times New Roman"/>
                <w:kern w:val="0"/>
                <w:u w:val="none"/>
              </w:rPr>
            </w:pPr>
            <w:r>
              <w:rPr>
                <w:rFonts w:hint="eastAsia" w:cs="Times New Roman"/>
                <w:kern w:val="0"/>
                <w:u w:val="none"/>
              </w:rPr>
              <w:t>项目</w:t>
            </w:r>
          </w:p>
        </w:tc>
        <w:tc>
          <w:tcPr>
            <w:tcW w:w="531" w:type="pct"/>
            <w:vAlign w:val="center"/>
          </w:tcPr>
          <w:p w14:paraId="5C84F728">
            <w:pPr>
              <w:pStyle w:val="31"/>
              <w:rPr>
                <w:rFonts w:cs="Times New Roman"/>
                <w:kern w:val="0"/>
                <w:u w:val="none"/>
              </w:rPr>
            </w:pPr>
            <w:r>
              <w:rPr>
                <w:rFonts w:hint="eastAsia" w:cs="Times New Roman"/>
                <w:kern w:val="0"/>
                <w:u w:val="none"/>
              </w:rPr>
              <w:t>t</w:t>
            </w:r>
            <w:r>
              <w:rPr>
                <w:rFonts w:cs="Times New Roman"/>
                <w:kern w:val="0"/>
                <w:u w:val="none"/>
              </w:rPr>
              <w:t>/a</w:t>
            </w:r>
          </w:p>
        </w:tc>
        <w:tc>
          <w:tcPr>
            <w:tcW w:w="2989" w:type="pct"/>
            <w:gridSpan w:val="2"/>
            <w:vAlign w:val="center"/>
          </w:tcPr>
          <w:p w14:paraId="740AAFEA">
            <w:pPr>
              <w:pStyle w:val="31"/>
              <w:rPr>
                <w:rFonts w:cs="Times New Roman"/>
                <w:kern w:val="0"/>
                <w:u w:val="none"/>
              </w:rPr>
            </w:pPr>
            <w:r>
              <w:rPr>
                <w:rFonts w:hint="eastAsia" w:cs="Times New Roman"/>
                <w:kern w:val="0"/>
                <w:u w:val="none"/>
              </w:rPr>
              <w:t>项目</w:t>
            </w:r>
          </w:p>
        </w:tc>
        <w:tc>
          <w:tcPr>
            <w:tcW w:w="799" w:type="pct"/>
            <w:vAlign w:val="center"/>
          </w:tcPr>
          <w:p w14:paraId="590BA3E9">
            <w:pPr>
              <w:pStyle w:val="31"/>
              <w:rPr>
                <w:rFonts w:cs="Times New Roman"/>
                <w:kern w:val="0"/>
                <w:u w:val="none"/>
              </w:rPr>
            </w:pPr>
            <w:r>
              <w:rPr>
                <w:rFonts w:hint="eastAsia" w:cs="Times New Roman"/>
                <w:kern w:val="0"/>
                <w:u w:val="none"/>
              </w:rPr>
              <w:t>t</w:t>
            </w:r>
            <w:r>
              <w:rPr>
                <w:rFonts w:cs="Times New Roman"/>
                <w:kern w:val="0"/>
                <w:u w:val="none"/>
              </w:rPr>
              <w:t>/a</w:t>
            </w:r>
          </w:p>
        </w:tc>
      </w:tr>
      <w:tr w14:paraId="4B4CB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6D48C9BB">
            <w:pPr>
              <w:pStyle w:val="31"/>
              <w:rPr>
                <w:rFonts w:hint="eastAsia" w:eastAsia="宋体" w:cs="Times New Roman"/>
                <w:kern w:val="0"/>
                <w:u w:val="none"/>
                <w:lang w:eastAsia="zh-CN"/>
              </w:rPr>
            </w:pPr>
            <w:r>
              <w:rPr>
                <w:rFonts w:hint="eastAsia" w:cs="Times New Roman"/>
                <w:kern w:val="0"/>
                <w:u w:val="none"/>
              </w:rPr>
              <w:t>废船</w:t>
            </w:r>
          </w:p>
        </w:tc>
        <w:tc>
          <w:tcPr>
            <w:tcW w:w="531" w:type="pct"/>
            <w:vAlign w:val="center"/>
          </w:tcPr>
          <w:p w14:paraId="1C700B83">
            <w:pPr>
              <w:pStyle w:val="31"/>
              <w:rPr>
                <w:rFonts w:hint="default" w:eastAsia="宋体" w:cs="Times New Roman"/>
                <w:kern w:val="0"/>
                <w:u w:val="none"/>
                <w:lang w:val="en-US" w:eastAsia="zh-CN"/>
              </w:rPr>
            </w:pPr>
            <w:r>
              <w:rPr>
                <w:rFonts w:hint="eastAsia" w:cs="Times New Roman"/>
                <w:kern w:val="0"/>
                <w:u w:val="none"/>
                <w:lang w:val="en-US" w:eastAsia="zh-CN"/>
              </w:rPr>
              <w:t>3440</w:t>
            </w:r>
          </w:p>
        </w:tc>
        <w:tc>
          <w:tcPr>
            <w:tcW w:w="708" w:type="pct"/>
            <w:vMerge w:val="restart"/>
            <w:vAlign w:val="center"/>
          </w:tcPr>
          <w:p w14:paraId="11766EBE">
            <w:pPr>
              <w:pStyle w:val="31"/>
              <w:rPr>
                <w:rFonts w:cs="Times New Roman"/>
                <w:kern w:val="0"/>
                <w:u w:val="none"/>
              </w:rPr>
            </w:pPr>
            <w:r>
              <w:rPr>
                <w:rFonts w:hint="eastAsia" w:cs="Times New Roman"/>
                <w:kern w:val="0"/>
                <w:u w:val="none"/>
              </w:rPr>
              <w:t>产品</w:t>
            </w:r>
          </w:p>
        </w:tc>
        <w:tc>
          <w:tcPr>
            <w:tcW w:w="2280" w:type="pct"/>
            <w:shd w:val="clear" w:color="auto" w:fill="auto"/>
            <w:vAlign w:val="center"/>
          </w:tcPr>
          <w:p w14:paraId="078333D0">
            <w:pPr>
              <w:pStyle w:val="31"/>
              <w:bidi w:val="0"/>
              <w:ind w:firstLine="0" w:firstLineChars="0"/>
              <w:rPr>
                <w:rFonts w:ascii="Times New Roman" w:hAnsi="Times New Roman" w:eastAsia="宋体" w:cstheme="minorBidi"/>
                <w:kern w:val="2"/>
                <w:sz w:val="21"/>
                <w:szCs w:val="21"/>
                <w:u w:val="none"/>
                <w:lang w:val="en-US" w:eastAsia="zh-CN" w:bidi="ar-SA"/>
                <w14:ligatures w14:val="none"/>
              </w:rPr>
            </w:pPr>
            <w:r>
              <w:rPr>
                <w:u w:val="none"/>
              </w:rPr>
              <w:t>钢板、钢材碎料及铁锈铁渣等</w:t>
            </w:r>
          </w:p>
        </w:tc>
        <w:tc>
          <w:tcPr>
            <w:tcW w:w="799" w:type="pct"/>
            <w:shd w:val="clear" w:color="auto" w:fill="auto"/>
            <w:vAlign w:val="center"/>
          </w:tcPr>
          <w:p w14:paraId="4F675C4C">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cstheme="minorBidi"/>
                <w:kern w:val="2"/>
                <w:sz w:val="21"/>
                <w:szCs w:val="21"/>
                <w:u w:val="none"/>
                <w:lang w:val="en-US" w:eastAsia="zh-CN" w:bidi="ar-SA"/>
                <w14:ligatures w14:val="none"/>
              </w:rPr>
              <w:t>2923.21</w:t>
            </w:r>
          </w:p>
        </w:tc>
      </w:tr>
      <w:tr w14:paraId="6C7A8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10674F70">
            <w:pPr>
              <w:pStyle w:val="31"/>
              <w:rPr>
                <w:rFonts w:hint="eastAsia" w:eastAsia="宋体" w:cs="Times New Roman"/>
                <w:kern w:val="0"/>
                <w:u w:val="none"/>
                <w:lang w:val="en-US" w:eastAsia="zh-CN"/>
              </w:rPr>
            </w:pPr>
            <w:r>
              <w:rPr>
                <w:rFonts w:hint="eastAsia" w:cs="Times New Roman"/>
                <w:kern w:val="0"/>
                <w:u w:val="none"/>
                <w:lang w:val="en-US" w:eastAsia="zh-CN"/>
              </w:rPr>
              <w:t>压舱水</w:t>
            </w:r>
          </w:p>
        </w:tc>
        <w:tc>
          <w:tcPr>
            <w:tcW w:w="531" w:type="pct"/>
            <w:vAlign w:val="center"/>
          </w:tcPr>
          <w:p w14:paraId="665F44E4">
            <w:pPr>
              <w:pStyle w:val="31"/>
              <w:rPr>
                <w:rFonts w:hint="default" w:eastAsia="宋体" w:cs="Times New Roman"/>
                <w:kern w:val="0"/>
                <w:u w:val="none"/>
                <w:lang w:val="en-US" w:eastAsia="zh-CN"/>
              </w:rPr>
            </w:pPr>
            <w:r>
              <w:rPr>
                <w:rFonts w:hint="eastAsia" w:cs="Times New Roman"/>
                <w:kern w:val="0"/>
                <w:u w:val="none"/>
                <w:lang w:val="en-US" w:eastAsia="zh-CN"/>
              </w:rPr>
              <w:t>495</w:t>
            </w:r>
          </w:p>
        </w:tc>
        <w:tc>
          <w:tcPr>
            <w:tcW w:w="708" w:type="pct"/>
            <w:vMerge w:val="continue"/>
            <w:vAlign w:val="center"/>
          </w:tcPr>
          <w:p w14:paraId="6FE2CA6C">
            <w:pPr>
              <w:pStyle w:val="31"/>
              <w:rPr>
                <w:rFonts w:cs="Times New Roman"/>
                <w:kern w:val="0"/>
                <w:u w:val="none"/>
              </w:rPr>
            </w:pPr>
          </w:p>
        </w:tc>
        <w:tc>
          <w:tcPr>
            <w:tcW w:w="2280" w:type="pct"/>
            <w:shd w:val="clear" w:color="auto" w:fill="auto"/>
            <w:vAlign w:val="center"/>
          </w:tcPr>
          <w:p w14:paraId="6A7C8B24">
            <w:pPr>
              <w:pStyle w:val="31"/>
              <w:bidi w:val="0"/>
              <w:ind w:firstLine="0" w:firstLineChars="0"/>
              <w:rPr>
                <w:rFonts w:ascii="Times New Roman" w:hAnsi="Times New Roman" w:eastAsia="宋体" w:cstheme="minorBidi"/>
                <w:kern w:val="2"/>
                <w:sz w:val="21"/>
                <w:szCs w:val="21"/>
                <w:u w:val="none"/>
                <w:lang w:val="en-US" w:eastAsia="zh-CN" w:bidi="ar-SA"/>
                <w14:ligatures w14:val="none"/>
              </w:rPr>
            </w:pPr>
            <w:r>
              <w:rPr>
                <w:u w:val="none"/>
              </w:rPr>
              <w:t>木材家具</w:t>
            </w:r>
          </w:p>
        </w:tc>
        <w:tc>
          <w:tcPr>
            <w:tcW w:w="799" w:type="pct"/>
            <w:shd w:val="clear" w:color="auto" w:fill="auto"/>
            <w:vAlign w:val="center"/>
          </w:tcPr>
          <w:p w14:paraId="46F2D24C">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cstheme="minorBidi"/>
                <w:kern w:val="2"/>
                <w:sz w:val="21"/>
                <w:szCs w:val="21"/>
                <w:u w:val="none"/>
                <w:lang w:val="en-US" w:eastAsia="zh-CN" w:bidi="ar-SA"/>
                <w14:ligatures w14:val="none"/>
              </w:rPr>
              <w:t>25.79</w:t>
            </w:r>
          </w:p>
        </w:tc>
      </w:tr>
      <w:tr w14:paraId="7209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6B10C06A">
            <w:pPr>
              <w:pStyle w:val="31"/>
              <w:rPr>
                <w:rFonts w:hint="default" w:eastAsia="宋体" w:cs="Times New Roman"/>
                <w:kern w:val="0"/>
                <w:u w:val="none"/>
                <w:lang w:val="en-US" w:eastAsia="zh-CN"/>
              </w:rPr>
            </w:pPr>
            <w:bookmarkStart w:id="106" w:name="_Hlk157105644"/>
            <w:r>
              <w:rPr>
                <w:rFonts w:hint="eastAsia" w:cs="Times New Roman"/>
                <w:kern w:val="0"/>
                <w:u w:val="none"/>
                <w:lang w:val="en-US" w:eastAsia="zh-CN"/>
              </w:rPr>
              <w:t>舱底含油水</w:t>
            </w:r>
          </w:p>
        </w:tc>
        <w:tc>
          <w:tcPr>
            <w:tcW w:w="531" w:type="pct"/>
            <w:vAlign w:val="center"/>
          </w:tcPr>
          <w:p w14:paraId="7CB29CCA">
            <w:pPr>
              <w:pStyle w:val="31"/>
              <w:rPr>
                <w:rFonts w:hint="default" w:eastAsia="宋体" w:cs="Times New Roman"/>
                <w:kern w:val="0"/>
                <w:u w:val="none"/>
                <w:lang w:val="en-US" w:eastAsia="zh-CN"/>
              </w:rPr>
            </w:pPr>
            <w:r>
              <w:rPr>
                <w:rFonts w:hint="eastAsia" w:cs="Times New Roman"/>
                <w:kern w:val="0"/>
                <w:u w:val="none"/>
                <w:lang w:val="en-US" w:eastAsia="zh-CN"/>
              </w:rPr>
              <w:t>51.88</w:t>
            </w:r>
          </w:p>
        </w:tc>
        <w:tc>
          <w:tcPr>
            <w:tcW w:w="708" w:type="pct"/>
            <w:vMerge w:val="continue"/>
            <w:vAlign w:val="center"/>
          </w:tcPr>
          <w:p w14:paraId="6B35DC01">
            <w:pPr>
              <w:pStyle w:val="31"/>
              <w:rPr>
                <w:rFonts w:cs="Times New Roman"/>
                <w:kern w:val="0"/>
                <w:u w:val="none"/>
              </w:rPr>
            </w:pPr>
          </w:p>
        </w:tc>
        <w:tc>
          <w:tcPr>
            <w:tcW w:w="2280" w:type="pct"/>
            <w:shd w:val="clear" w:color="auto" w:fill="auto"/>
            <w:vAlign w:val="center"/>
          </w:tcPr>
          <w:p w14:paraId="0C45FE7D">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u w:val="none"/>
              </w:rPr>
              <w:t>有色金属（含螺旋桨铜、铝碎料、铜碎料等）</w:t>
            </w:r>
          </w:p>
        </w:tc>
        <w:tc>
          <w:tcPr>
            <w:tcW w:w="799" w:type="pct"/>
            <w:shd w:val="clear" w:color="auto" w:fill="auto"/>
            <w:vAlign w:val="center"/>
          </w:tcPr>
          <w:p w14:paraId="7440B914">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cstheme="minorBidi"/>
                <w:kern w:val="2"/>
                <w:sz w:val="21"/>
                <w:szCs w:val="21"/>
                <w:u w:val="none"/>
                <w:lang w:val="en-US" w:eastAsia="zh-CN" w:bidi="ar-SA"/>
                <w14:ligatures w14:val="none"/>
              </w:rPr>
              <w:t>42.99</w:t>
            </w:r>
          </w:p>
        </w:tc>
      </w:tr>
      <w:bookmarkEnd w:id="106"/>
      <w:tr w14:paraId="16291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1C926735">
            <w:pPr>
              <w:pStyle w:val="31"/>
              <w:rPr>
                <w:rFonts w:hint="default" w:eastAsia="宋体" w:cs="Times New Roman"/>
                <w:kern w:val="0"/>
                <w:u w:val="none"/>
                <w:lang w:val="en-US" w:eastAsia="zh-CN"/>
              </w:rPr>
            </w:pPr>
            <w:r>
              <w:rPr>
                <w:rFonts w:hint="eastAsia" w:cs="Times New Roman"/>
                <w:kern w:val="0"/>
                <w:u w:val="none"/>
                <w:lang w:val="en-US" w:eastAsia="zh-CN"/>
              </w:rPr>
              <w:t>油箱残油</w:t>
            </w:r>
          </w:p>
        </w:tc>
        <w:tc>
          <w:tcPr>
            <w:tcW w:w="531" w:type="pct"/>
            <w:vAlign w:val="center"/>
          </w:tcPr>
          <w:p w14:paraId="378E2157">
            <w:pPr>
              <w:pStyle w:val="31"/>
              <w:rPr>
                <w:rFonts w:hint="default" w:eastAsia="宋体" w:cs="Times New Roman"/>
                <w:kern w:val="0"/>
                <w:u w:val="none"/>
                <w:lang w:val="en-US" w:eastAsia="zh-CN"/>
              </w:rPr>
            </w:pPr>
            <w:r>
              <w:rPr>
                <w:rFonts w:hint="eastAsia" w:cs="Times New Roman"/>
                <w:kern w:val="0"/>
                <w:u w:val="none"/>
                <w:lang w:val="en-US" w:eastAsia="zh-CN"/>
              </w:rPr>
              <w:t>1.35</w:t>
            </w:r>
          </w:p>
        </w:tc>
        <w:tc>
          <w:tcPr>
            <w:tcW w:w="708" w:type="pct"/>
            <w:vMerge w:val="continue"/>
            <w:vAlign w:val="center"/>
          </w:tcPr>
          <w:p w14:paraId="62A1CC36">
            <w:pPr>
              <w:pStyle w:val="31"/>
              <w:rPr>
                <w:rFonts w:cs="Times New Roman"/>
                <w:kern w:val="0"/>
                <w:u w:val="none"/>
              </w:rPr>
            </w:pPr>
          </w:p>
        </w:tc>
        <w:tc>
          <w:tcPr>
            <w:tcW w:w="2280" w:type="pct"/>
            <w:shd w:val="clear" w:color="auto" w:fill="auto"/>
            <w:vAlign w:val="center"/>
          </w:tcPr>
          <w:p w14:paraId="74242A00">
            <w:pPr>
              <w:pStyle w:val="31"/>
              <w:bidi w:val="0"/>
              <w:ind w:firstLine="0" w:firstLineChars="0"/>
              <w:rPr>
                <w:rFonts w:ascii="Times New Roman" w:hAnsi="Times New Roman" w:eastAsia="宋体" w:cstheme="minorBidi"/>
                <w:kern w:val="2"/>
                <w:sz w:val="21"/>
                <w:szCs w:val="21"/>
                <w:u w:val="none"/>
                <w:lang w:val="en-US" w:eastAsia="zh-CN" w:bidi="ar-SA"/>
                <w14:ligatures w14:val="none"/>
              </w:rPr>
            </w:pPr>
            <w:r>
              <w:rPr>
                <w:u w:val="none"/>
              </w:rPr>
              <w:t>电线电缆</w:t>
            </w:r>
          </w:p>
        </w:tc>
        <w:tc>
          <w:tcPr>
            <w:tcW w:w="799" w:type="pct"/>
            <w:shd w:val="clear" w:color="auto" w:fill="auto"/>
            <w:vAlign w:val="center"/>
          </w:tcPr>
          <w:p w14:paraId="2A6C41E7">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cstheme="minorBidi"/>
                <w:kern w:val="2"/>
                <w:sz w:val="21"/>
                <w:szCs w:val="21"/>
                <w:u w:val="none"/>
                <w:lang w:val="en-US" w:eastAsia="zh-CN" w:bidi="ar-SA"/>
                <w14:ligatures w14:val="none"/>
              </w:rPr>
              <w:t>17.20</w:t>
            </w:r>
          </w:p>
        </w:tc>
      </w:tr>
      <w:tr w14:paraId="1BF2C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1FF44FB3">
            <w:pPr>
              <w:pStyle w:val="31"/>
              <w:rPr>
                <w:rFonts w:cs="Times New Roman"/>
                <w:kern w:val="0"/>
                <w:u w:val="none"/>
              </w:rPr>
            </w:pPr>
          </w:p>
        </w:tc>
        <w:tc>
          <w:tcPr>
            <w:tcW w:w="531" w:type="pct"/>
            <w:vAlign w:val="center"/>
          </w:tcPr>
          <w:p w14:paraId="7AA239E0">
            <w:pPr>
              <w:pStyle w:val="31"/>
              <w:rPr>
                <w:rFonts w:cs="Times New Roman"/>
                <w:kern w:val="0"/>
                <w:u w:val="none"/>
              </w:rPr>
            </w:pPr>
          </w:p>
        </w:tc>
        <w:tc>
          <w:tcPr>
            <w:tcW w:w="708" w:type="pct"/>
            <w:vMerge w:val="continue"/>
            <w:vAlign w:val="center"/>
          </w:tcPr>
          <w:p w14:paraId="3C933AE4">
            <w:pPr>
              <w:pStyle w:val="31"/>
              <w:rPr>
                <w:rFonts w:cs="Times New Roman"/>
                <w:kern w:val="0"/>
                <w:u w:val="none"/>
              </w:rPr>
            </w:pPr>
          </w:p>
        </w:tc>
        <w:tc>
          <w:tcPr>
            <w:tcW w:w="2280" w:type="pct"/>
            <w:shd w:val="clear" w:color="auto" w:fill="auto"/>
            <w:vAlign w:val="center"/>
          </w:tcPr>
          <w:p w14:paraId="774701AF">
            <w:pPr>
              <w:pStyle w:val="31"/>
              <w:bidi w:val="0"/>
              <w:ind w:firstLine="0" w:firstLineChars="0"/>
              <w:rPr>
                <w:rFonts w:ascii="Times New Roman" w:hAnsi="Times New Roman" w:eastAsia="宋体" w:cstheme="minorBidi"/>
                <w:kern w:val="2"/>
                <w:sz w:val="21"/>
                <w:szCs w:val="21"/>
                <w:u w:val="none"/>
                <w:lang w:val="en-US" w:eastAsia="zh-CN" w:bidi="ar-SA"/>
                <w14:ligatures w14:val="none"/>
              </w:rPr>
            </w:pPr>
            <w:r>
              <w:rPr>
                <w:u w:val="none"/>
              </w:rPr>
              <w:t>机械设备及仪器仪表（起货机、绞缆机、起重机、机修设备、主机、发电机组、通讯导航仪器、水泵等）</w:t>
            </w:r>
          </w:p>
        </w:tc>
        <w:tc>
          <w:tcPr>
            <w:tcW w:w="799" w:type="pct"/>
            <w:shd w:val="clear" w:color="auto" w:fill="auto"/>
            <w:vAlign w:val="center"/>
          </w:tcPr>
          <w:p w14:paraId="7A189400">
            <w:pPr>
              <w:pStyle w:val="31"/>
              <w:bidi w:val="0"/>
              <w:ind w:firstLine="0" w:firstLineChars="0"/>
              <w:rPr>
                <w:rFonts w:hint="default" w:ascii="Times New Roman" w:hAnsi="Times New Roman" w:eastAsia="宋体" w:cstheme="minorBidi"/>
                <w:kern w:val="2"/>
                <w:sz w:val="21"/>
                <w:szCs w:val="21"/>
                <w:u w:val="none"/>
                <w:lang w:val="en-US" w:eastAsia="zh-CN" w:bidi="ar-SA"/>
                <w14:ligatures w14:val="none"/>
              </w:rPr>
            </w:pPr>
            <w:r>
              <w:rPr>
                <w:rFonts w:hint="eastAsia" w:cstheme="minorBidi"/>
                <w:kern w:val="2"/>
                <w:sz w:val="21"/>
                <w:szCs w:val="21"/>
                <w:u w:val="none"/>
                <w:lang w:val="en-US" w:eastAsia="zh-CN" w:bidi="ar-SA"/>
                <w14:ligatures w14:val="none"/>
              </w:rPr>
              <w:t>429.88</w:t>
            </w:r>
          </w:p>
        </w:tc>
      </w:tr>
      <w:tr w14:paraId="6A8D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31DE7004">
            <w:pPr>
              <w:pStyle w:val="31"/>
              <w:rPr>
                <w:rFonts w:cs="Times New Roman"/>
                <w:kern w:val="0"/>
                <w:u w:val="none"/>
              </w:rPr>
            </w:pPr>
          </w:p>
        </w:tc>
        <w:tc>
          <w:tcPr>
            <w:tcW w:w="531" w:type="pct"/>
            <w:vAlign w:val="center"/>
          </w:tcPr>
          <w:p w14:paraId="3D7C0B2A">
            <w:pPr>
              <w:pStyle w:val="31"/>
              <w:rPr>
                <w:rFonts w:cs="Times New Roman"/>
                <w:kern w:val="0"/>
                <w:u w:val="none"/>
              </w:rPr>
            </w:pPr>
          </w:p>
        </w:tc>
        <w:tc>
          <w:tcPr>
            <w:tcW w:w="708" w:type="pct"/>
            <w:vMerge w:val="restart"/>
            <w:vAlign w:val="center"/>
          </w:tcPr>
          <w:p w14:paraId="5AC52F8F">
            <w:pPr>
              <w:pStyle w:val="31"/>
              <w:rPr>
                <w:rFonts w:cs="Times New Roman"/>
                <w:kern w:val="0"/>
                <w:u w:val="none"/>
              </w:rPr>
            </w:pPr>
            <w:r>
              <w:rPr>
                <w:rFonts w:hint="eastAsia" w:cs="Times New Roman"/>
                <w:kern w:val="0"/>
                <w:u w:val="none"/>
              </w:rPr>
              <w:t>危险废物</w:t>
            </w:r>
          </w:p>
        </w:tc>
        <w:tc>
          <w:tcPr>
            <w:tcW w:w="2280" w:type="pct"/>
            <w:shd w:val="clear" w:color="auto" w:fill="auto"/>
            <w:vAlign w:val="center"/>
          </w:tcPr>
          <w:p w14:paraId="59BE70F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799" w:type="pct"/>
          </w:tcPr>
          <w:p w14:paraId="7A00A2C5">
            <w:pPr>
              <w:pStyle w:val="31"/>
              <w:rPr>
                <w:rFonts w:hint="default" w:eastAsia="宋体" w:cs="Times New Roman"/>
                <w:kern w:val="0"/>
                <w:u w:val="none"/>
                <w:lang w:val="en-US" w:eastAsia="zh-CN"/>
              </w:rPr>
            </w:pPr>
            <w:r>
              <w:rPr>
                <w:rFonts w:hint="eastAsia" w:cs="Times New Roman"/>
                <w:kern w:val="0"/>
                <w:u w:val="none"/>
                <w:lang w:val="en-US" w:eastAsia="zh-CN"/>
              </w:rPr>
              <w:t>0.195</w:t>
            </w:r>
          </w:p>
        </w:tc>
      </w:tr>
      <w:tr w14:paraId="33784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5D69310E">
            <w:pPr>
              <w:pStyle w:val="31"/>
              <w:rPr>
                <w:rFonts w:cs="Times New Roman"/>
                <w:kern w:val="0"/>
                <w:u w:val="none"/>
              </w:rPr>
            </w:pPr>
          </w:p>
        </w:tc>
        <w:tc>
          <w:tcPr>
            <w:tcW w:w="531" w:type="pct"/>
            <w:vAlign w:val="center"/>
          </w:tcPr>
          <w:p w14:paraId="278BCD90">
            <w:pPr>
              <w:pStyle w:val="31"/>
              <w:rPr>
                <w:rFonts w:cs="Times New Roman"/>
                <w:kern w:val="0"/>
                <w:u w:val="none"/>
              </w:rPr>
            </w:pPr>
          </w:p>
        </w:tc>
        <w:tc>
          <w:tcPr>
            <w:tcW w:w="708" w:type="pct"/>
            <w:vMerge w:val="continue"/>
            <w:vAlign w:val="center"/>
          </w:tcPr>
          <w:p w14:paraId="3959E13C">
            <w:pPr>
              <w:pStyle w:val="31"/>
              <w:rPr>
                <w:rFonts w:cs="Times New Roman"/>
                <w:kern w:val="0"/>
                <w:u w:val="none"/>
              </w:rPr>
            </w:pPr>
          </w:p>
        </w:tc>
        <w:tc>
          <w:tcPr>
            <w:tcW w:w="2280" w:type="pct"/>
            <w:shd w:val="clear" w:color="auto" w:fill="auto"/>
            <w:vAlign w:val="center"/>
          </w:tcPr>
          <w:p w14:paraId="48227F0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799" w:type="pct"/>
          </w:tcPr>
          <w:p w14:paraId="6E712821">
            <w:pPr>
              <w:pStyle w:val="31"/>
              <w:rPr>
                <w:rFonts w:hint="default" w:eastAsia="宋体" w:cs="Times New Roman"/>
                <w:kern w:val="0"/>
                <w:u w:val="none"/>
                <w:lang w:val="en-US" w:eastAsia="zh-CN"/>
              </w:rPr>
            </w:pPr>
            <w:r>
              <w:rPr>
                <w:rFonts w:hint="eastAsia" w:cs="Times New Roman"/>
                <w:kern w:val="0"/>
                <w:u w:val="none"/>
                <w:lang w:val="en-US" w:eastAsia="zh-CN"/>
              </w:rPr>
              <w:t>0.412</w:t>
            </w:r>
          </w:p>
        </w:tc>
      </w:tr>
      <w:tr w14:paraId="5B71A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0C6DDECD">
            <w:pPr>
              <w:pStyle w:val="31"/>
              <w:rPr>
                <w:rFonts w:cs="Times New Roman"/>
                <w:kern w:val="0"/>
                <w:u w:val="none"/>
              </w:rPr>
            </w:pPr>
          </w:p>
        </w:tc>
        <w:tc>
          <w:tcPr>
            <w:tcW w:w="531" w:type="pct"/>
            <w:vAlign w:val="center"/>
          </w:tcPr>
          <w:p w14:paraId="6E091638">
            <w:pPr>
              <w:pStyle w:val="31"/>
              <w:rPr>
                <w:rFonts w:cs="Times New Roman"/>
                <w:kern w:val="0"/>
                <w:u w:val="none"/>
              </w:rPr>
            </w:pPr>
          </w:p>
        </w:tc>
        <w:tc>
          <w:tcPr>
            <w:tcW w:w="708" w:type="pct"/>
            <w:vMerge w:val="continue"/>
            <w:vAlign w:val="center"/>
          </w:tcPr>
          <w:p w14:paraId="6DA64193">
            <w:pPr>
              <w:pStyle w:val="31"/>
              <w:rPr>
                <w:rFonts w:cs="Times New Roman"/>
                <w:kern w:val="0"/>
                <w:u w:val="none"/>
              </w:rPr>
            </w:pPr>
          </w:p>
        </w:tc>
        <w:tc>
          <w:tcPr>
            <w:tcW w:w="2280" w:type="pct"/>
            <w:shd w:val="clear" w:color="auto" w:fill="auto"/>
            <w:vAlign w:val="center"/>
          </w:tcPr>
          <w:p w14:paraId="1E2E9F8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799" w:type="pct"/>
          </w:tcPr>
          <w:p w14:paraId="7DAA28D9">
            <w:pPr>
              <w:pStyle w:val="31"/>
              <w:rPr>
                <w:rFonts w:hint="default" w:eastAsia="宋体" w:cs="Times New Roman"/>
                <w:kern w:val="0"/>
                <w:u w:val="none"/>
                <w:lang w:val="en-US" w:eastAsia="zh-CN"/>
              </w:rPr>
            </w:pPr>
            <w:r>
              <w:rPr>
                <w:rFonts w:hint="eastAsia" w:cs="Times New Roman"/>
                <w:kern w:val="0"/>
                <w:u w:val="none"/>
                <w:lang w:val="en-US" w:eastAsia="zh-CN"/>
              </w:rPr>
              <w:t>0.106</w:t>
            </w:r>
          </w:p>
        </w:tc>
      </w:tr>
      <w:tr w14:paraId="738DF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5CE554A6">
            <w:pPr>
              <w:pStyle w:val="31"/>
              <w:rPr>
                <w:rFonts w:cs="Times New Roman"/>
                <w:kern w:val="0"/>
                <w:u w:val="none"/>
              </w:rPr>
            </w:pPr>
          </w:p>
        </w:tc>
        <w:tc>
          <w:tcPr>
            <w:tcW w:w="531" w:type="pct"/>
            <w:vAlign w:val="center"/>
          </w:tcPr>
          <w:p w14:paraId="64ED41AA">
            <w:pPr>
              <w:pStyle w:val="31"/>
              <w:rPr>
                <w:rFonts w:cs="Times New Roman"/>
                <w:kern w:val="0"/>
                <w:u w:val="none"/>
              </w:rPr>
            </w:pPr>
          </w:p>
        </w:tc>
        <w:tc>
          <w:tcPr>
            <w:tcW w:w="708" w:type="pct"/>
            <w:vMerge w:val="continue"/>
            <w:vAlign w:val="center"/>
          </w:tcPr>
          <w:p w14:paraId="7CFCFD08">
            <w:pPr>
              <w:pStyle w:val="31"/>
              <w:rPr>
                <w:rFonts w:cs="Times New Roman"/>
                <w:kern w:val="0"/>
                <w:u w:val="none"/>
              </w:rPr>
            </w:pPr>
          </w:p>
        </w:tc>
        <w:tc>
          <w:tcPr>
            <w:tcW w:w="2280" w:type="pct"/>
            <w:shd w:val="clear" w:color="auto" w:fill="auto"/>
            <w:vAlign w:val="center"/>
          </w:tcPr>
          <w:p w14:paraId="108419C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废漆渣（剥落油漆/涂料碎片）</w:t>
            </w:r>
          </w:p>
        </w:tc>
        <w:tc>
          <w:tcPr>
            <w:tcW w:w="799" w:type="pct"/>
          </w:tcPr>
          <w:p w14:paraId="36DE13DB">
            <w:pPr>
              <w:pStyle w:val="31"/>
              <w:rPr>
                <w:rFonts w:hint="default" w:eastAsia="宋体" w:cs="Times New Roman"/>
                <w:kern w:val="0"/>
                <w:u w:val="none"/>
                <w:lang w:val="en-US" w:eastAsia="zh-CN"/>
              </w:rPr>
            </w:pPr>
            <w:r>
              <w:rPr>
                <w:rFonts w:hint="eastAsia" w:cs="Times New Roman"/>
                <w:kern w:val="0"/>
                <w:u w:val="none"/>
                <w:lang w:val="en-US" w:eastAsia="zh-CN"/>
              </w:rPr>
              <w:t>0.094</w:t>
            </w:r>
          </w:p>
        </w:tc>
      </w:tr>
      <w:tr w14:paraId="7E881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7F9987C1">
            <w:pPr>
              <w:pStyle w:val="31"/>
              <w:rPr>
                <w:rFonts w:cs="Times New Roman"/>
                <w:kern w:val="0"/>
                <w:u w:val="none"/>
              </w:rPr>
            </w:pPr>
          </w:p>
        </w:tc>
        <w:tc>
          <w:tcPr>
            <w:tcW w:w="531" w:type="pct"/>
            <w:vAlign w:val="center"/>
          </w:tcPr>
          <w:p w14:paraId="3FF9ED0D">
            <w:pPr>
              <w:pStyle w:val="31"/>
              <w:rPr>
                <w:rFonts w:cs="Times New Roman"/>
                <w:kern w:val="0"/>
                <w:u w:val="none"/>
              </w:rPr>
            </w:pPr>
          </w:p>
        </w:tc>
        <w:tc>
          <w:tcPr>
            <w:tcW w:w="708" w:type="pct"/>
            <w:vMerge w:val="continue"/>
            <w:vAlign w:val="center"/>
          </w:tcPr>
          <w:p w14:paraId="7207E1F6">
            <w:pPr>
              <w:pStyle w:val="31"/>
              <w:rPr>
                <w:rFonts w:cs="Times New Roman"/>
                <w:kern w:val="0"/>
                <w:u w:val="none"/>
              </w:rPr>
            </w:pPr>
          </w:p>
        </w:tc>
        <w:tc>
          <w:tcPr>
            <w:tcW w:w="2280" w:type="pct"/>
            <w:shd w:val="clear" w:color="auto" w:fill="auto"/>
            <w:vAlign w:val="center"/>
          </w:tcPr>
          <w:p w14:paraId="33749D3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799" w:type="pct"/>
          </w:tcPr>
          <w:p w14:paraId="1BBF4056">
            <w:pPr>
              <w:pStyle w:val="31"/>
              <w:rPr>
                <w:rFonts w:hint="default" w:eastAsia="宋体" w:cs="Times New Roman"/>
                <w:kern w:val="0"/>
                <w:u w:val="none"/>
                <w:lang w:val="en-US" w:eastAsia="zh-CN"/>
              </w:rPr>
            </w:pPr>
            <w:r>
              <w:rPr>
                <w:rFonts w:hint="eastAsia" w:cs="Times New Roman"/>
                <w:kern w:val="0"/>
                <w:u w:val="none"/>
                <w:lang w:val="en-US" w:eastAsia="zh-CN"/>
              </w:rPr>
              <w:t>0.038</w:t>
            </w:r>
          </w:p>
        </w:tc>
      </w:tr>
      <w:tr w14:paraId="6FBE5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5679C455">
            <w:pPr>
              <w:pStyle w:val="31"/>
              <w:rPr>
                <w:rFonts w:cs="Times New Roman"/>
                <w:kern w:val="0"/>
                <w:u w:val="none"/>
              </w:rPr>
            </w:pPr>
          </w:p>
        </w:tc>
        <w:tc>
          <w:tcPr>
            <w:tcW w:w="531" w:type="pct"/>
            <w:vAlign w:val="center"/>
          </w:tcPr>
          <w:p w14:paraId="186DC9BF">
            <w:pPr>
              <w:pStyle w:val="31"/>
              <w:rPr>
                <w:rFonts w:cs="Times New Roman"/>
                <w:kern w:val="0"/>
                <w:u w:val="none"/>
              </w:rPr>
            </w:pPr>
          </w:p>
        </w:tc>
        <w:tc>
          <w:tcPr>
            <w:tcW w:w="708" w:type="pct"/>
            <w:vMerge w:val="continue"/>
            <w:vAlign w:val="center"/>
          </w:tcPr>
          <w:p w14:paraId="46E16832">
            <w:pPr>
              <w:pStyle w:val="31"/>
              <w:rPr>
                <w:rFonts w:cs="Times New Roman"/>
                <w:kern w:val="0"/>
                <w:u w:val="none"/>
              </w:rPr>
            </w:pPr>
          </w:p>
        </w:tc>
        <w:tc>
          <w:tcPr>
            <w:tcW w:w="2280" w:type="pct"/>
            <w:shd w:val="clear" w:color="auto" w:fill="auto"/>
            <w:vAlign w:val="center"/>
          </w:tcPr>
          <w:p w14:paraId="50672EC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799" w:type="pct"/>
          </w:tcPr>
          <w:p w14:paraId="2179DE8F">
            <w:pPr>
              <w:pStyle w:val="31"/>
              <w:rPr>
                <w:rFonts w:hint="default" w:eastAsia="宋体" w:cs="Times New Roman"/>
                <w:kern w:val="0"/>
                <w:u w:val="none"/>
                <w:lang w:val="en-US" w:eastAsia="zh-CN"/>
              </w:rPr>
            </w:pPr>
            <w:r>
              <w:rPr>
                <w:rFonts w:hint="eastAsia" w:cs="Times New Roman"/>
                <w:kern w:val="0"/>
                <w:u w:val="none"/>
                <w:lang w:val="en-US" w:eastAsia="zh-CN"/>
              </w:rPr>
              <w:t>0.006</w:t>
            </w:r>
          </w:p>
        </w:tc>
      </w:tr>
      <w:tr w14:paraId="164F9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11D20FF1">
            <w:pPr>
              <w:pStyle w:val="31"/>
              <w:rPr>
                <w:rFonts w:cs="Times New Roman"/>
                <w:kern w:val="0"/>
                <w:u w:val="none"/>
              </w:rPr>
            </w:pPr>
          </w:p>
        </w:tc>
        <w:tc>
          <w:tcPr>
            <w:tcW w:w="531" w:type="pct"/>
            <w:vAlign w:val="center"/>
          </w:tcPr>
          <w:p w14:paraId="42BA569C">
            <w:pPr>
              <w:pStyle w:val="31"/>
              <w:rPr>
                <w:rFonts w:cs="Times New Roman"/>
                <w:kern w:val="0"/>
                <w:u w:val="none"/>
              </w:rPr>
            </w:pPr>
          </w:p>
        </w:tc>
        <w:tc>
          <w:tcPr>
            <w:tcW w:w="708" w:type="pct"/>
            <w:vMerge w:val="continue"/>
            <w:vAlign w:val="center"/>
          </w:tcPr>
          <w:p w14:paraId="01997225">
            <w:pPr>
              <w:pStyle w:val="31"/>
              <w:rPr>
                <w:rFonts w:cs="Times New Roman"/>
                <w:kern w:val="0"/>
                <w:u w:val="none"/>
              </w:rPr>
            </w:pPr>
          </w:p>
        </w:tc>
        <w:tc>
          <w:tcPr>
            <w:tcW w:w="2280" w:type="pct"/>
            <w:shd w:val="clear" w:color="auto" w:fill="auto"/>
            <w:vAlign w:val="center"/>
          </w:tcPr>
          <w:p w14:paraId="76BCB64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799" w:type="pct"/>
          </w:tcPr>
          <w:p w14:paraId="40A8BA06">
            <w:pPr>
              <w:pStyle w:val="31"/>
              <w:rPr>
                <w:rFonts w:hint="default" w:eastAsia="宋体" w:cs="Times New Roman"/>
                <w:kern w:val="0"/>
                <w:u w:val="none"/>
                <w:lang w:val="en-US" w:eastAsia="zh-CN"/>
              </w:rPr>
            </w:pPr>
            <w:r>
              <w:rPr>
                <w:rFonts w:hint="eastAsia" w:cs="Times New Roman"/>
                <w:kern w:val="0"/>
                <w:u w:val="none"/>
                <w:lang w:val="en-US" w:eastAsia="zh-CN"/>
              </w:rPr>
              <w:t>0.006</w:t>
            </w:r>
          </w:p>
        </w:tc>
      </w:tr>
      <w:tr w14:paraId="39211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63560721">
            <w:pPr>
              <w:pStyle w:val="31"/>
              <w:rPr>
                <w:rFonts w:cs="Times New Roman"/>
                <w:kern w:val="0"/>
                <w:u w:val="none"/>
              </w:rPr>
            </w:pPr>
          </w:p>
        </w:tc>
        <w:tc>
          <w:tcPr>
            <w:tcW w:w="531" w:type="pct"/>
            <w:vAlign w:val="center"/>
          </w:tcPr>
          <w:p w14:paraId="765C60CA">
            <w:pPr>
              <w:pStyle w:val="31"/>
              <w:rPr>
                <w:rFonts w:cs="Times New Roman"/>
                <w:kern w:val="0"/>
                <w:u w:val="none"/>
              </w:rPr>
            </w:pPr>
          </w:p>
        </w:tc>
        <w:tc>
          <w:tcPr>
            <w:tcW w:w="708" w:type="pct"/>
            <w:vMerge w:val="continue"/>
            <w:vAlign w:val="center"/>
          </w:tcPr>
          <w:p w14:paraId="50FA237D">
            <w:pPr>
              <w:pStyle w:val="31"/>
              <w:rPr>
                <w:rFonts w:cs="Times New Roman"/>
                <w:kern w:val="0"/>
                <w:u w:val="none"/>
              </w:rPr>
            </w:pPr>
          </w:p>
        </w:tc>
        <w:tc>
          <w:tcPr>
            <w:tcW w:w="2280" w:type="pct"/>
            <w:shd w:val="clear" w:color="auto" w:fill="auto"/>
            <w:vAlign w:val="center"/>
          </w:tcPr>
          <w:p w14:paraId="273040D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799" w:type="pct"/>
          </w:tcPr>
          <w:p w14:paraId="01351895">
            <w:pPr>
              <w:pStyle w:val="31"/>
              <w:rPr>
                <w:rFonts w:hint="default" w:eastAsia="宋体" w:cs="Times New Roman"/>
                <w:kern w:val="0"/>
                <w:u w:val="none"/>
                <w:lang w:val="en-US" w:eastAsia="zh-CN"/>
              </w:rPr>
            </w:pPr>
            <w:r>
              <w:rPr>
                <w:rFonts w:hint="eastAsia" w:cs="Times New Roman"/>
                <w:kern w:val="0"/>
                <w:u w:val="none"/>
                <w:lang w:val="en-US" w:eastAsia="zh-CN"/>
              </w:rPr>
              <w:t>0.003</w:t>
            </w:r>
          </w:p>
        </w:tc>
      </w:tr>
      <w:tr w14:paraId="38C0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57667573">
            <w:pPr>
              <w:pStyle w:val="31"/>
              <w:rPr>
                <w:rFonts w:cs="Times New Roman"/>
                <w:kern w:val="0"/>
                <w:u w:val="none"/>
              </w:rPr>
            </w:pPr>
          </w:p>
        </w:tc>
        <w:tc>
          <w:tcPr>
            <w:tcW w:w="531" w:type="pct"/>
            <w:vAlign w:val="center"/>
          </w:tcPr>
          <w:p w14:paraId="6F349C4F">
            <w:pPr>
              <w:pStyle w:val="31"/>
              <w:rPr>
                <w:rFonts w:cs="Times New Roman"/>
                <w:kern w:val="0"/>
                <w:u w:val="none"/>
              </w:rPr>
            </w:pPr>
          </w:p>
        </w:tc>
        <w:tc>
          <w:tcPr>
            <w:tcW w:w="708" w:type="pct"/>
            <w:vMerge w:val="continue"/>
            <w:vAlign w:val="center"/>
          </w:tcPr>
          <w:p w14:paraId="21FBC681">
            <w:pPr>
              <w:pStyle w:val="31"/>
              <w:rPr>
                <w:rFonts w:cs="Times New Roman"/>
                <w:kern w:val="0"/>
                <w:u w:val="none"/>
              </w:rPr>
            </w:pPr>
          </w:p>
        </w:tc>
        <w:tc>
          <w:tcPr>
            <w:tcW w:w="2280" w:type="pct"/>
            <w:shd w:val="clear" w:color="auto" w:fill="auto"/>
            <w:vAlign w:val="center"/>
          </w:tcPr>
          <w:p w14:paraId="3162FB0C">
            <w:pPr>
              <w:pStyle w:val="31"/>
              <w:bidi w:val="0"/>
              <w:ind w:firstLine="0" w:firstLineChars="0"/>
              <w:jc w:val="center"/>
              <w:rPr>
                <w:rFonts w:hint="default"/>
                <w:lang w:val="en-US" w:eastAsia="zh-CN"/>
              </w:rPr>
            </w:pPr>
            <w:r>
              <w:rPr>
                <w:rFonts w:hint="eastAsia"/>
                <w:lang w:val="en-US" w:eastAsia="zh-CN"/>
              </w:rPr>
              <w:t>废燃料油（油箱残油）</w:t>
            </w:r>
          </w:p>
        </w:tc>
        <w:tc>
          <w:tcPr>
            <w:tcW w:w="799" w:type="pct"/>
          </w:tcPr>
          <w:p w14:paraId="53051C47">
            <w:pPr>
              <w:pStyle w:val="31"/>
              <w:rPr>
                <w:rFonts w:hint="default" w:cs="Times New Roman"/>
                <w:kern w:val="0"/>
                <w:u w:val="none"/>
                <w:lang w:val="en-US" w:eastAsia="zh-CN"/>
              </w:rPr>
            </w:pPr>
            <w:r>
              <w:rPr>
                <w:rFonts w:hint="eastAsia" w:cs="Times New Roman"/>
                <w:kern w:val="0"/>
                <w:u w:val="none"/>
                <w:lang w:val="en-US" w:eastAsia="zh-CN"/>
              </w:rPr>
              <w:t>1.35</w:t>
            </w:r>
          </w:p>
        </w:tc>
      </w:tr>
      <w:tr w14:paraId="4D3D3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65584284">
            <w:pPr>
              <w:pStyle w:val="31"/>
              <w:rPr>
                <w:rFonts w:cs="Times New Roman"/>
                <w:kern w:val="0"/>
                <w:u w:val="none"/>
              </w:rPr>
            </w:pPr>
          </w:p>
        </w:tc>
        <w:tc>
          <w:tcPr>
            <w:tcW w:w="531" w:type="pct"/>
            <w:vAlign w:val="center"/>
          </w:tcPr>
          <w:p w14:paraId="75D9AC53">
            <w:pPr>
              <w:pStyle w:val="31"/>
              <w:rPr>
                <w:rFonts w:cs="Times New Roman"/>
                <w:kern w:val="0"/>
                <w:u w:val="none"/>
              </w:rPr>
            </w:pPr>
          </w:p>
        </w:tc>
        <w:tc>
          <w:tcPr>
            <w:tcW w:w="708" w:type="pct"/>
            <w:vMerge w:val="restart"/>
            <w:vAlign w:val="center"/>
          </w:tcPr>
          <w:p w14:paraId="3AB4DB7F">
            <w:pPr>
              <w:pStyle w:val="31"/>
              <w:rPr>
                <w:rFonts w:cs="Times New Roman"/>
                <w:kern w:val="0"/>
                <w:u w:val="none"/>
              </w:rPr>
            </w:pPr>
            <w:r>
              <w:rPr>
                <w:rFonts w:hint="eastAsia" w:cs="Times New Roman"/>
                <w:kern w:val="0"/>
                <w:u w:val="none"/>
              </w:rPr>
              <w:t>废水</w:t>
            </w:r>
          </w:p>
        </w:tc>
        <w:tc>
          <w:tcPr>
            <w:tcW w:w="2280" w:type="pct"/>
            <w:vAlign w:val="center"/>
          </w:tcPr>
          <w:p w14:paraId="47556DFA">
            <w:pPr>
              <w:pStyle w:val="31"/>
              <w:rPr>
                <w:rFonts w:hint="default" w:eastAsia="宋体" w:cs="Times New Roman"/>
                <w:kern w:val="0"/>
                <w:u w:val="none"/>
                <w:lang w:val="en-US" w:eastAsia="zh-CN"/>
              </w:rPr>
            </w:pPr>
            <w:r>
              <w:rPr>
                <w:rFonts w:hint="eastAsia" w:cs="Times New Roman"/>
                <w:kern w:val="0"/>
                <w:u w:val="none"/>
                <w:lang w:val="en-US" w:eastAsia="zh-CN"/>
              </w:rPr>
              <w:t>舱底含油水</w:t>
            </w:r>
          </w:p>
        </w:tc>
        <w:tc>
          <w:tcPr>
            <w:tcW w:w="799" w:type="pct"/>
          </w:tcPr>
          <w:p w14:paraId="3368FDAB">
            <w:pPr>
              <w:pStyle w:val="31"/>
              <w:rPr>
                <w:rFonts w:hint="default" w:eastAsia="宋体" w:cs="Times New Roman"/>
                <w:kern w:val="0"/>
                <w:u w:val="none"/>
                <w:lang w:val="en-US" w:eastAsia="zh-CN"/>
              </w:rPr>
            </w:pPr>
            <w:r>
              <w:rPr>
                <w:rFonts w:hint="eastAsia" w:cs="Times New Roman"/>
                <w:kern w:val="0"/>
                <w:u w:val="none"/>
                <w:lang w:val="en-US" w:eastAsia="zh-CN"/>
              </w:rPr>
              <w:t>51.88</w:t>
            </w:r>
          </w:p>
        </w:tc>
      </w:tr>
      <w:tr w14:paraId="0F16D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63ECEFA2">
            <w:pPr>
              <w:pStyle w:val="31"/>
              <w:rPr>
                <w:rFonts w:cs="Times New Roman"/>
                <w:kern w:val="0"/>
                <w:u w:val="none"/>
              </w:rPr>
            </w:pPr>
          </w:p>
        </w:tc>
        <w:tc>
          <w:tcPr>
            <w:tcW w:w="531" w:type="pct"/>
            <w:vAlign w:val="center"/>
          </w:tcPr>
          <w:p w14:paraId="1E84B493">
            <w:pPr>
              <w:pStyle w:val="31"/>
              <w:rPr>
                <w:rFonts w:cs="Times New Roman"/>
                <w:kern w:val="0"/>
                <w:u w:val="none"/>
              </w:rPr>
            </w:pPr>
          </w:p>
        </w:tc>
        <w:tc>
          <w:tcPr>
            <w:tcW w:w="708" w:type="pct"/>
            <w:vMerge w:val="continue"/>
            <w:vAlign w:val="center"/>
          </w:tcPr>
          <w:p w14:paraId="0FE5C0AE">
            <w:pPr>
              <w:pStyle w:val="31"/>
              <w:rPr>
                <w:rFonts w:hint="eastAsia" w:cs="Times New Roman"/>
                <w:kern w:val="0"/>
                <w:u w:val="none"/>
              </w:rPr>
            </w:pPr>
          </w:p>
        </w:tc>
        <w:tc>
          <w:tcPr>
            <w:tcW w:w="2280" w:type="pct"/>
            <w:vAlign w:val="center"/>
          </w:tcPr>
          <w:p w14:paraId="4EFC4AEC">
            <w:pPr>
              <w:pStyle w:val="31"/>
              <w:rPr>
                <w:rStyle w:val="45"/>
                <w:rFonts w:hint="default" w:ascii="Times New Roman" w:hAnsi="Times New Roman" w:eastAsia="宋体" w:cs="Times New Roman"/>
                <w:color w:val="auto"/>
                <w:kern w:val="0"/>
                <w:sz w:val="21"/>
                <w:szCs w:val="21"/>
                <w:u w:val="none"/>
                <w:lang w:val="en-US" w:eastAsia="zh-CN"/>
              </w:rPr>
            </w:pPr>
            <w:r>
              <w:rPr>
                <w:rStyle w:val="45"/>
                <w:rFonts w:hint="eastAsia" w:cs="Times New Roman"/>
                <w:color w:val="auto"/>
                <w:kern w:val="0"/>
                <w:sz w:val="21"/>
                <w:szCs w:val="21"/>
                <w:u w:val="none"/>
                <w:lang w:val="en-US" w:eastAsia="zh-CN"/>
              </w:rPr>
              <w:t>压舱废水</w:t>
            </w:r>
          </w:p>
        </w:tc>
        <w:tc>
          <w:tcPr>
            <w:tcW w:w="799" w:type="pct"/>
          </w:tcPr>
          <w:p w14:paraId="39C80B70">
            <w:pPr>
              <w:pStyle w:val="31"/>
              <w:rPr>
                <w:rFonts w:hint="default" w:eastAsia="宋体" w:cs="Times New Roman"/>
                <w:kern w:val="0"/>
                <w:u w:val="none"/>
                <w:lang w:val="en-US" w:eastAsia="zh-CN"/>
              </w:rPr>
            </w:pPr>
            <w:r>
              <w:rPr>
                <w:rFonts w:hint="eastAsia" w:cs="Times New Roman"/>
                <w:kern w:val="0"/>
                <w:u w:val="none"/>
                <w:lang w:val="en-US" w:eastAsia="zh-CN"/>
              </w:rPr>
              <w:t>495</w:t>
            </w:r>
          </w:p>
        </w:tc>
      </w:tr>
      <w:tr w14:paraId="2B901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21208B65">
            <w:pPr>
              <w:pStyle w:val="31"/>
              <w:rPr>
                <w:rFonts w:cs="Times New Roman"/>
                <w:kern w:val="0"/>
                <w:u w:val="none"/>
              </w:rPr>
            </w:pPr>
          </w:p>
        </w:tc>
        <w:tc>
          <w:tcPr>
            <w:tcW w:w="531" w:type="pct"/>
            <w:vAlign w:val="center"/>
          </w:tcPr>
          <w:p w14:paraId="40F6C59A">
            <w:pPr>
              <w:pStyle w:val="31"/>
              <w:rPr>
                <w:rFonts w:cs="Times New Roman"/>
                <w:kern w:val="0"/>
                <w:u w:val="none"/>
              </w:rPr>
            </w:pPr>
          </w:p>
        </w:tc>
        <w:tc>
          <w:tcPr>
            <w:tcW w:w="708" w:type="pct"/>
            <w:vAlign w:val="center"/>
          </w:tcPr>
          <w:p w14:paraId="560783BB">
            <w:pPr>
              <w:pStyle w:val="31"/>
              <w:rPr>
                <w:rFonts w:cs="Times New Roman"/>
                <w:kern w:val="0"/>
                <w:u w:val="none"/>
              </w:rPr>
            </w:pPr>
            <w:r>
              <w:rPr>
                <w:rFonts w:hint="eastAsia" w:cs="Times New Roman"/>
                <w:kern w:val="0"/>
                <w:u w:val="none"/>
              </w:rPr>
              <w:t>一般固废</w:t>
            </w:r>
          </w:p>
        </w:tc>
        <w:tc>
          <w:tcPr>
            <w:tcW w:w="2280" w:type="pct"/>
            <w:vAlign w:val="center"/>
          </w:tcPr>
          <w:p w14:paraId="79556E27">
            <w:pPr>
              <w:pStyle w:val="31"/>
              <w:rPr>
                <w:rFonts w:cs="Times New Roman"/>
                <w:kern w:val="0"/>
                <w:u w:val="none"/>
              </w:rPr>
            </w:pPr>
            <w:r>
              <w:rPr>
                <w:rStyle w:val="45"/>
                <w:rFonts w:hint="default" w:ascii="Times New Roman" w:hAnsi="Times New Roman" w:cs="Times New Roman"/>
                <w:color w:val="auto"/>
                <w:kern w:val="0"/>
                <w:sz w:val="21"/>
                <w:szCs w:val="21"/>
                <w:u w:val="none"/>
              </w:rPr>
              <w:t>其他不可利用部分</w:t>
            </w:r>
          </w:p>
        </w:tc>
        <w:tc>
          <w:tcPr>
            <w:tcW w:w="799" w:type="pct"/>
          </w:tcPr>
          <w:p w14:paraId="5D6FCA79">
            <w:pPr>
              <w:pStyle w:val="31"/>
              <w:rPr>
                <w:rFonts w:hint="default" w:eastAsia="宋体" w:cs="Times New Roman"/>
                <w:kern w:val="0"/>
                <w:u w:val="none"/>
                <w:lang w:val="en-US" w:eastAsia="zh-CN"/>
              </w:rPr>
            </w:pPr>
            <w:r>
              <w:rPr>
                <w:rFonts w:hint="eastAsia" w:cs="Times New Roman"/>
                <w:kern w:val="0"/>
                <w:u w:val="none"/>
                <w:lang w:val="en-US" w:eastAsia="zh-CN"/>
              </w:rPr>
              <w:t>0.344</w:t>
            </w:r>
          </w:p>
        </w:tc>
      </w:tr>
      <w:tr w14:paraId="74F0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679" w:type="pct"/>
            <w:vAlign w:val="center"/>
          </w:tcPr>
          <w:p w14:paraId="555965C0">
            <w:pPr>
              <w:pStyle w:val="31"/>
              <w:rPr>
                <w:rFonts w:cs="Times New Roman"/>
                <w:kern w:val="0"/>
                <w:u w:val="none"/>
              </w:rPr>
            </w:pPr>
            <w:r>
              <w:rPr>
                <w:rFonts w:hint="eastAsia" w:cs="Times New Roman"/>
                <w:kern w:val="0"/>
                <w:u w:val="none"/>
              </w:rPr>
              <w:t>合计</w:t>
            </w:r>
          </w:p>
        </w:tc>
        <w:tc>
          <w:tcPr>
            <w:tcW w:w="531" w:type="pct"/>
            <w:vAlign w:val="center"/>
          </w:tcPr>
          <w:p w14:paraId="61A14F2A">
            <w:pPr>
              <w:pStyle w:val="31"/>
              <w:rPr>
                <w:rFonts w:hint="default" w:eastAsia="宋体" w:cs="Times New Roman"/>
                <w:kern w:val="0"/>
                <w:u w:val="none"/>
                <w:lang w:val="en-US" w:eastAsia="zh-CN"/>
              </w:rPr>
            </w:pPr>
            <w:r>
              <w:rPr>
                <w:rFonts w:hint="eastAsia" w:cs="Times New Roman"/>
                <w:kern w:val="0"/>
                <w:u w:val="none"/>
                <w:lang w:val="en-US" w:eastAsia="zh-CN"/>
              </w:rPr>
              <w:t>3988.23</w:t>
            </w:r>
          </w:p>
        </w:tc>
        <w:tc>
          <w:tcPr>
            <w:tcW w:w="708" w:type="pct"/>
            <w:vAlign w:val="center"/>
          </w:tcPr>
          <w:p w14:paraId="0466E4FD">
            <w:pPr>
              <w:pStyle w:val="31"/>
              <w:rPr>
                <w:rFonts w:cs="Times New Roman"/>
                <w:kern w:val="0"/>
                <w:u w:val="none"/>
              </w:rPr>
            </w:pPr>
          </w:p>
        </w:tc>
        <w:tc>
          <w:tcPr>
            <w:tcW w:w="2280" w:type="pct"/>
            <w:vAlign w:val="center"/>
          </w:tcPr>
          <w:p w14:paraId="7A6B7282">
            <w:pPr>
              <w:pStyle w:val="31"/>
              <w:rPr>
                <w:rFonts w:cs="Times New Roman"/>
                <w:kern w:val="0"/>
                <w:u w:val="none"/>
              </w:rPr>
            </w:pPr>
            <w:r>
              <w:rPr>
                <w:rFonts w:hint="eastAsia" w:cs="Times New Roman"/>
                <w:kern w:val="0"/>
                <w:u w:val="none"/>
              </w:rPr>
              <w:t>合计</w:t>
            </w:r>
          </w:p>
        </w:tc>
        <w:tc>
          <w:tcPr>
            <w:tcW w:w="799" w:type="pct"/>
            <w:vAlign w:val="center"/>
          </w:tcPr>
          <w:p w14:paraId="0714D2B3">
            <w:pPr>
              <w:pStyle w:val="31"/>
              <w:rPr>
                <w:rFonts w:hint="default" w:eastAsia="宋体" w:cs="Times New Roman"/>
                <w:kern w:val="0"/>
                <w:u w:val="none"/>
                <w:lang w:val="en-US" w:eastAsia="zh-CN"/>
              </w:rPr>
            </w:pPr>
            <w:r>
              <w:rPr>
                <w:rFonts w:hint="eastAsia" w:cs="Times New Roman"/>
                <w:kern w:val="0"/>
                <w:u w:val="none"/>
                <w:lang w:val="en-US" w:eastAsia="zh-CN"/>
              </w:rPr>
              <w:t>3988.23</w:t>
            </w:r>
          </w:p>
        </w:tc>
      </w:tr>
    </w:tbl>
    <w:p w14:paraId="5818E7E6">
      <w:pPr>
        <w:pStyle w:val="21"/>
        <w:rPr>
          <w:rFonts w:hint="default"/>
          <w:lang w:val="en-US" w:eastAsia="zh-CN"/>
        </w:rPr>
      </w:pPr>
      <w:r>
        <w:rPr>
          <w:rFonts w:hint="eastAsia"/>
          <w:lang w:val="en-US" w:eastAsia="zh-CN"/>
        </w:rPr>
        <w:t>注：1、空船重不含油箱残油、压舱水及舱底水；2、参考《排放源统计调查产排污核算方法和系数手册-废弃资源综合利用行业系数手册》报废船舶“拆解+切割”固废产生情况，一般固体废物产生量为0.1kg/t-原料，则一般固废总产生量约为0.344t/a（不含产品），危险废物产生量为0.17kg/t原料，则危险废物总产生量约为0.585t/a（不含油箱残油）。</w:t>
      </w:r>
    </w:p>
    <w:p w14:paraId="3924586E">
      <w:pPr>
        <w:pStyle w:val="28"/>
      </w:pPr>
      <w:bookmarkStart w:id="107" w:name="_Toc9358"/>
      <w:r>
        <w:rPr>
          <w:rFonts w:hint="eastAsia"/>
        </w:rPr>
        <w:t>3.</w:t>
      </w:r>
      <w:r>
        <w:rPr>
          <w:rFonts w:hint="eastAsia"/>
          <w:lang w:val="en-US" w:eastAsia="zh-CN"/>
        </w:rPr>
        <w:t>4</w:t>
      </w:r>
      <w:r>
        <w:rPr>
          <w:rFonts w:hint="eastAsia"/>
        </w:rPr>
        <w:t>施工期污染源源强核算</w:t>
      </w:r>
      <w:bookmarkEnd w:id="107"/>
    </w:p>
    <w:p w14:paraId="2D535DE9">
      <w:pPr>
        <w:pStyle w:val="33"/>
      </w:pPr>
      <w:bookmarkStart w:id="108" w:name="_Toc5793"/>
      <w:r>
        <w:rPr>
          <w:rFonts w:hint="eastAsia"/>
        </w:rPr>
        <w:t>3.</w:t>
      </w:r>
      <w:r>
        <w:rPr>
          <w:rFonts w:hint="eastAsia"/>
          <w:lang w:val="en-US" w:eastAsia="zh-CN"/>
        </w:rPr>
        <w:t>4</w:t>
      </w:r>
      <w:r>
        <w:rPr>
          <w:rFonts w:hint="eastAsia"/>
        </w:rPr>
        <w:t>.1废气</w:t>
      </w:r>
      <w:bookmarkEnd w:id="108"/>
    </w:p>
    <w:p w14:paraId="0DE04DEA">
      <w:pPr>
        <w:pStyle w:val="21"/>
        <w:bidi w:val="0"/>
        <w:rPr>
          <w:rFonts w:hint="default"/>
        </w:rPr>
      </w:pPr>
      <w:r>
        <w:rPr>
          <w:rFonts w:hint="default"/>
        </w:rPr>
        <w:t>陆域施工期间的开挖、回填、建材装卸等产生的施工扬尘会使周围大气中的悬浮微粒浓度增加，局部地区污染加剧。根据同类工地现场监测，施工作业场地附近地面粉尘浓度可达1.5~30mg/m</w:t>
      </w:r>
      <w:r>
        <w:rPr>
          <w:rFonts w:hint="default"/>
          <w:vertAlign w:val="superscript"/>
        </w:rPr>
        <w:t>3</w:t>
      </w:r>
      <w:r>
        <w:rPr>
          <w:rFonts w:hint="default"/>
        </w:rPr>
        <w:t>，距离施工现场约200m 外的TSP 浓度一般低于0.5mg/m3。</w:t>
      </w:r>
    </w:p>
    <w:p w14:paraId="014A67C1">
      <w:pPr>
        <w:pStyle w:val="21"/>
        <w:bidi w:val="0"/>
      </w:pPr>
      <w:r>
        <w:rPr>
          <w:rFonts w:hint="default"/>
        </w:rPr>
        <w:t>运输车辆和燃油动力机械产生燃烧尾气，施工期机械尾气的排放主要是流动污染源。尾气中的污染物主要是 NOx、CO和THC；机械尾气的排放与机械性能和燃料质量关系很大。使用机械性能良好和燃用合格油品的机械排放的尾气能够达到规定排放标准。</w:t>
      </w:r>
    </w:p>
    <w:p w14:paraId="101A8C39">
      <w:pPr>
        <w:pStyle w:val="33"/>
      </w:pPr>
      <w:bookmarkStart w:id="109" w:name="_Toc1443"/>
      <w:r>
        <w:rPr>
          <w:rFonts w:hint="eastAsia"/>
        </w:rPr>
        <w:t>3.</w:t>
      </w:r>
      <w:r>
        <w:rPr>
          <w:rFonts w:hint="eastAsia"/>
          <w:lang w:val="en-US" w:eastAsia="zh-CN"/>
        </w:rPr>
        <w:t>4</w:t>
      </w:r>
      <w:r>
        <w:rPr>
          <w:rFonts w:hint="eastAsia"/>
        </w:rPr>
        <w:t>.2废水</w:t>
      </w:r>
      <w:bookmarkEnd w:id="109"/>
    </w:p>
    <w:p w14:paraId="1C993AF9">
      <w:pPr>
        <w:pStyle w:val="21"/>
        <w:bidi w:val="0"/>
        <w:rPr>
          <w:rFonts w:hint="default"/>
        </w:rPr>
      </w:pPr>
      <w:r>
        <w:rPr>
          <w:rFonts w:hint="default"/>
        </w:rPr>
        <w:t>本次改造工程不涉及水工建筑物及施工船舶，主要废水为施工废水、施工期生活污水。</w:t>
      </w:r>
    </w:p>
    <w:p w14:paraId="5767E976">
      <w:pPr>
        <w:pStyle w:val="21"/>
        <w:bidi w:val="0"/>
        <w:rPr>
          <w:rFonts w:hint="default"/>
        </w:rPr>
      </w:pPr>
      <w:r>
        <w:rPr>
          <w:rFonts w:hint="default"/>
        </w:rPr>
        <w:t>1、施工废水</w:t>
      </w:r>
    </w:p>
    <w:p w14:paraId="3873AE78">
      <w:pPr>
        <w:pStyle w:val="21"/>
        <w:bidi w:val="0"/>
        <w:rPr>
          <w:rFonts w:hint="default"/>
        </w:rPr>
      </w:pPr>
      <w:r>
        <w:rPr>
          <w:rFonts w:hint="default"/>
        </w:rPr>
        <w:t>陆域施工过程中的混凝土拌和等会产生一定数量的拌和废水，主要污染因子为SS，浓度可达到2000~4000mg/L，经简易沉淀池沉淀处理后回用于混凝土拌和，不排放。</w:t>
      </w:r>
    </w:p>
    <w:p w14:paraId="440EE754">
      <w:pPr>
        <w:pStyle w:val="21"/>
        <w:bidi w:val="0"/>
        <w:rPr>
          <w:rFonts w:hint="default"/>
        </w:rPr>
      </w:pPr>
      <w:r>
        <w:rPr>
          <w:rFonts w:hint="default"/>
        </w:rPr>
        <w:t>小部分预制件生产及混凝土构筑物浇筑和养护将产生废水，为间歇式排放。根据同类工程类比分析，工程产生碱性废水最大2t/d，污水中主要污染因子为SS、pH，SS 浓度约500mg/L，pH 值为8~9。</w:t>
      </w:r>
    </w:p>
    <w:p w14:paraId="5032C2ED">
      <w:pPr>
        <w:pStyle w:val="21"/>
        <w:bidi w:val="0"/>
        <w:rPr>
          <w:rFonts w:hint="default"/>
        </w:rPr>
      </w:pPr>
      <w:r>
        <w:rPr>
          <w:rFonts w:hint="default"/>
        </w:rPr>
        <w:t>施工机械和车辆冲洗废水中主要的污染因子为 SS 和石油类。根据实际调查和类比分析，冲洗废水排放量约为3t/d。此类废水中主要污染物为SS、石油类，处理前浓度一般为300mg/L、25mg/L，经隔油池和沉淀池处理后浓度分别为60mg/L、4mg/L。</w:t>
      </w:r>
    </w:p>
    <w:p w14:paraId="1146C91D">
      <w:pPr>
        <w:pStyle w:val="21"/>
        <w:bidi w:val="0"/>
        <w:rPr>
          <w:rFonts w:hint="default"/>
        </w:rPr>
      </w:pPr>
      <w:r>
        <w:rPr>
          <w:rFonts w:hint="default"/>
          <w:lang w:val="en-US" w:eastAsia="zh-CN"/>
        </w:rPr>
        <w:t>2</w:t>
      </w:r>
      <w:r>
        <w:rPr>
          <w:rFonts w:hint="default"/>
        </w:rPr>
        <w:t>、生活污水</w:t>
      </w:r>
    </w:p>
    <w:p w14:paraId="2F08BECA">
      <w:pPr>
        <w:pStyle w:val="21"/>
        <w:bidi w:val="0"/>
      </w:pPr>
      <w:r>
        <w:rPr>
          <w:rFonts w:hint="default"/>
        </w:rPr>
        <w:t>施工人员生活用水量取120L/人•d，污水排放系数取0.8，污染物浓度取COD 取400mg/L、BOD</w:t>
      </w:r>
      <w:r>
        <w:rPr>
          <w:rFonts w:hint="default"/>
          <w:vertAlign w:val="subscript"/>
        </w:rPr>
        <w:t>5</w:t>
      </w:r>
      <w:r>
        <w:rPr>
          <w:rFonts w:hint="default"/>
        </w:rPr>
        <w:t>取200mg/L、氨氮浓度取40mg/L、SS 取300mg/L。施工高峰期施工人数约</w:t>
      </w:r>
      <w:r>
        <w:rPr>
          <w:rFonts w:hint="default"/>
          <w:lang w:val="en-US" w:eastAsia="zh-CN"/>
        </w:rPr>
        <w:t>1</w:t>
      </w:r>
      <w:r>
        <w:rPr>
          <w:rFonts w:hint="default"/>
        </w:rPr>
        <w:t>0人，施工废水产生量约为</w:t>
      </w:r>
      <w:r>
        <w:rPr>
          <w:rFonts w:hint="default"/>
          <w:lang w:val="en-US" w:eastAsia="zh-CN"/>
        </w:rPr>
        <w:t>1.2</w:t>
      </w:r>
      <w:r>
        <w:rPr>
          <w:rFonts w:hint="default"/>
        </w:rPr>
        <w:t>t/d，</w:t>
      </w:r>
      <w:r>
        <w:rPr>
          <w:rFonts w:hint="eastAsia"/>
          <w:lang w:val="en-US" w:eastAsia="zh-CN"/>
        </w:rPr>
        <w:t>依托办公生活区化粪池处理后定期清掏用于周边农田施肥</w:t>
      </w:r>
      <w:r>
        <w:rPr>
          <w:rFonts w:hint="default"/>
        </w:rPr>
        <w:t>。</w:t>
      </w:r>
    </w:p>
    <w:p w14:paraId="4CCBD55A">
      <w:pPr>
        <w:pStyle w:val="33"/>
      </w:pPr>
      <w:bookmarkStart w:id="110" w:name="_Toc30108"/>
      <w:r>
        <w:rPr>
          <w:rFonts w:hint="eastAsia"/>
        </w:rPr>
        <w:t>3.</w:t>
      </w:r>
      <w:r>
        <w:rPr>
          <w:rFonts w:hint="eastAsia"/>
          <w:lang w:val="en-US" w:eastAsia="zh-CN"/>
        </w:rPr>
        <w:t>4</w:t>
      </w:r>
      <w:r>
        <w:rPr>
          <w:rFonts w:hint="eastAsia"/>
        </w:rPr>
        <w:t>.3噪声</w:t>
      </w:r>
      <w:bookmarkEnd w:id="110"/>
    </w:p>
    <w:p w14:paraId="42F29DB9">
      <w:pPr>
        <w:pStyle w:val="21"/>
        <w:ind w:firstLine="480"/>
      </w:pPr>
      <w:r>
        <w:rPr>
          <w:rFonts w:hint="default" w:ascii="Times New Roman" w:hAnsi="Times New Roman" w:cs="Times New Roman"/>
          <w:color w:val="auto"/>
          <w:highlight w:val="none"/>
          <w:u w:val="none"/>
        </w:rPr>
        <w:t>项目施工过程产生的噪声主要来自施工机械和运输车辆，施工机械和运输车辆的单体声级一般均在80dB(A)以上，施工机械和运输车辆的噪声将影响施工场地周围区域声环境质量。</w:t>
      </w:r>
    </w:p>
    <w:p w14:paraId="4E15E046">
      <w:pPr>
        <w:pStyle w:val="33"/>
      </w:pPr>
      <w:bookmarkStart w:id="111" w:name="_Toc2214"/>
      <w:r>
        <w:rPr>
          <w:rFonts w:hint="eastAsia"/>
        </w:rPr>
        <w:t>3.</w:t>
      </w:r>
      <w:r>
        <w:rPr>
          <w:rFonts w:hint="eastAsia"/>
          <w:lang w:val="en-US" w:eastAsia="zh-CN"/>
        </w:rPr>
        <w:t>4</w:t>
      </w:r>
      <w:r>
        <w:rPr>
          <w:rFonts w:hint="eastAsia"/>
        </w:rPr>
        <w:t>.4固废</w:t>
      </w:r>
      <w:bookmarkEnd w:id="111"/>
    </w:p>
    <w:p w14:paraId="3E2B4845">
      <w:pPr>
        <w:pStyle w:val="21"/>
        <w:bidi w:val="0"/>
        <w:rPr>
          <w:rFonts w:hint="default"/>
        </w:rPr>
      </w:pPr>
      <w:r>
        <w:rPr>
          <w:rFonts w:hint="default"/>
        </w:rPr>
        <w:t xml:space="preserve">本项目固体废物主要包括工程弃土、弃渣、施工建筑垃圾以及生活垃圾等。 </w:t>
      </w:r>
    </w:p>
    <w:p w14:paraId="470E5D75">
      <w:pPr>
        <w:pStyle w:val="21"/>
        <w:bidi w:val="0"/>
        <w:rPr>
          <w:rFonts w:hint="default"/>
        </w:rPr>
      </w:pPr>
      <w:r>
        <w:rPr>
          <w:rFonts w:hint="default"/>
        </w:rPr>
        <w:t xml:space="preserve">1、工程弃土、弃渣 </w:t>
      </w:r>
    </w:p>
    <w:p w14:paraId="15B8DD1A">
      <w:pPr>
        <w:pStyle w:val="21"/>
        <w:bidi w:val="0"/>
        <w:rPr>
          <w:rFonts w:hint="default"/>
        </w:rPr>
      </w:pPr>
      <w:r>
        <w:rPr>
          <w:rFonts w:hint="default"/>
        </w:rPr>
        <w:t>施工过程中废弃土石方主要来自</w:t>
      </w:r>
      <w:r>
        <w:rPr>
          <w:rFonts w:hint="eastAsia"/>
          <w:lang w:val="en-US" w:eastAsia="zh-CN"/>
        </w:rPr>
        <w:t>废水处理设施基座安装开挖及现有滩地部分清理</w:t>
      </w:r>
      <w:r>
        <w:rPr>
          <w:rFonts w:hint="default"/>
        </w:rPr>
        <w:t>。根据工程资料，本项目总计产生弃方量约为0.</w:t>
      </w:r>
      <w:r>
        <w:rPr>
          <w:rFonts w:hint="default"/>
          <w:lang w:val="en-US" w:eastAsia="zh-CN"/>
        </w:rPr>
        <w:t>0</w:t>
      </w:r>
      <w:r>
        <w:rPr>
          <w:rFonts w:hint="default"/>
        </w:rPr>
        <w:t>5万m</w:t>
      </w:r>
      <w:r>
        <w:rPr>
          <w:rFonts w:hint="default"/>
          <w:vertAlign w:val="superscript"/>
        </w:rPr>
        <w:t>3</w:t>
      </w:r>
      <w:r>
        <w:rPr>
          <w:rFonts w:hint="default"/>
        </w:rPr>
        <w:t xml:space="preserve">，回填至厂区周边，回填后进行表土覆盖及绿化。 </w:t>
      </w:r>
    </w:p>
    <w:p w14:paraId="5EAC8343">
      <w:pPr>
        <w:pStyle w:val="21"/>
        <w:bidi w:val="0"/>
        <w:rPr>
          <w:rFonts w:hint="default"/>
        </w:rPr>
      </w:pPr>
      <w:r>
        <w:rPr>
          <w:rFonts w:hint="default"/>
        </w:rPr>
        <w:t xml:space="preserve">2、施工建筑垃圾 </w:t>
      </w:r>
    </w:p>
    <w:p w14:paraId="5E3AD7B1">
      <w:pPr>
        <w:pStyle w:val="21"/>
        <w:bidi w:val="0"/>
        <w:rPr>
          <w:rFonts w:hint="default"/>
        </w:rPr>
      </w:pPr>
      <w:r>
        <w:rPr>
          <w:rFonts w:hint="default"/>
          <w:lang w:val="en-US" w:eastAsia="zh-CN"/>
        </w:rPr>
        <w:t>参照</w:t>
      </w:r>
      <w:r>
        <w:rPr>
          <w:rFonts w:hint="default"/>
        </w:rPr>
        <w:t xml:space="preserve">国内港口建设项目施工现场调查资料估算，项目陆域施工建筑垃圾发生总量约为12.5t。所有建筑垃圾委托建筑垃圾消纳单位处置。 </w:t>
      </w:r>
    </w:p>
    <w:p w14:paraId="50034AB7">
      <w:pPr>
        <w:pStyle w:val="21"/>
        <w:bidi w:val="0"/>
        <w:rPr>
          <w:rFonts w:hint="default"/>
        </w:rPr>
      </w:pPr>
      <w:r>
        <w:rPr>
          <w:rFonts w:hint="default"/>
        </w:rPr>
        <w:t xml:space="preserve">3、生活垃圾 </w:t>
      </w:r>
    </w:p>
    <w:p w14:paraId="5FF9CF93">
      <w:pPr>
        <w:pStyle w:val="21"/>
        <w:bidi w:val="0"/>
      </w:pPr>
      <w:r>
        <w:rPr>
          <w:rFonts w:hint="default"/>
        </w:rPr>
        <w:t>施工期施工人员按</w:t>
      </w:r>
      <w:r>
        <w:rPr>
          <w:rFonts w:hint="default"/>
          <w:lang w:val="en-US" w:eastAsia="zh-CN"/>
        </w:rPr>
        <w:t>1</w:t>
      </w:r>
      <w:r>
        <w:rPr>
          <w:rFonts w:hint="default"/>
        </w:rPr>
        <w:t>0人/天计算，人均生活垃圾发生量按1.0kg/天估算，施工期生活垃圾发生量为0.05t/d，工程施工期为</w:t>
      </w:r>
      <w:r>
        <w:rPr>
          <w:rFonts w:hint="default"/>
          <w:lang w:val="en-US" w:eastAsia="zh-CN"/>
        </w:rPr>
        <w:t>2</w:t>
      </w:r>
      <w:r>
        <w:rPr>
          <w:rFonts w:hint="default"/>
        </w:rPr>
        <w:t>个月（按</w:t>
      </w:r>
      <w:r>
        <w:rPr>
          <w:rFonts w:hint="default"/>
          <w:lang w:val="en-US" w:eastAsia="zh-CN"/>
        </w:rPr>
        <w:t>60</w:t>
      </w:r>
      <w:r>
        <w:rPr>
          <w:rFonts w:hint="default"/>
        </w:rPr>
        <w:t>天计），则整个施工期生活垃圾发生量为</w:t>
      </w:r>
      <w:r>
        <w:rPr>
          <w:rFonts w:hint="default"/>
          <w:lang w:val="en-US" w:eastAsia="zh-CN"/>
        </w:rPr>
        <w:t>3</w:t>
      </w:r>
      <w:r>
        <w:rPr>
          <w:rFonts w:hint="default"/>
        </w:rPr>
        <w:t>t，生活垃圾分类收集后委托当地环卫部门处置。</w:t>
      </w:r>
    </w:p>
    <w:p w14:paraId="5F559B0E">
      <w:pPr>
        <w:pStyle w:val="33"/>
      </w:pPr>
      <w:bookmarkStart w:id="112" w:name="_Toc6357"/>
      <w:r>
        <w:rPr>
          <w:rFonts w:hint="eastAsia"/>
        </w:rPr>
        <w:t>3.</w:t>
      </w:r>
      <w:r>
        <w:rPr>
          <w:rFonts w:hint="eastAsia"/>
          <w:lang w:val="en-US" w:eastAsia="zh-CN"/>
        </w:rPr>
        <w:t>4</w:t>
      </w:r>
      <w:r>
        <w:rPr>
          <w:rFonts w:hint="eastAsia"/>
        </w:rPr>
        <w:t>.5生态</w:t>
      </w:r>
      <w:bookmarkEnd w:id="112"/>
    </w:p>
    <w:p w14:paraId="404B8A56">
      <w:pPr>
        <w:pStyle w:val="21"/>
        <w:ind w:firstLine="480"/>
        <w:rPr>
          <w:rFonts w:hint="eastAsia"/>
        </w:rPr>
      </w:pPr>
      <w:r>
        <w:rPr>
          <w:rFonts w:hint="default" w:ascii="Times New Roman" w:hAnsi="Times New Roman" w:cs="Times New Roman"/>
          <w:color w:val="auto"/>
          <w:highlight w:val="none"/>
          <w:u w:val="none"/>
        </w:rPr>
        <w:t>本项目属于在现有厂区内进行改造，不涉及新增占地，对生态环境影响较小。</w:t>
      </w:r>
    </w:p>
    <w:p w14:paraId="38743448">
      <w:pPr>
        <w:pStyle w:val="28"/>
      </w:pPr>
      <w:bookmarkStart w:id="113" w:name="_Toc30163"/>
      <w:r>
        <w:rPr>
          <w:rFonts w:hint="eastAsia"/>
        </w:rPr>
        <w:t>3.</w:t>
      </w:r>
      <w:r>
        <w:rPr>
          <w:rFonts w:hint="eastAsia"/>
          <w:lang w:val="en-US" w:eastAsia="zh-CN"/>
        </w:rPr>
        <w:t>5</w:t>
      </w:r>
      <w:r>
        <w:rPr>
          <w:rFonts w:hint="eastAsia"/>
        </w:rPr>
        <w:t>运营期</w:t>
      </w:r>
      <w:r>
        <w:rPr>
          <w:rFonts w:hint="eastAsia"/>
          <w:lang w:val="en-US" w:eastAsia="zh-CN"/>
        </w:rPr>
        <w:t>扩建工程</w:t>
      </w:r>
      <w:r>
        <w:rPr>
          <w:rFonts w:hint="eastAsia"/>
        </w:rPr>
        <w:t>污染源源强核算</w:t>
      </w:r>
      <w:bookmarkEnd w:id="113"/>
    </w:p>
    <w:p w14:paraId="7BC2D922">
      <w:pPr>
        <w:pStyle w:val="33"/>
      </w:pPr>
      <w:bookmarkStart w:id="114" w:name="_Toc14818"/>
      <w:r>
        <w:rPr>
          <w:rFonts w:hint="eastAsia"/>
        </w:rPr>
        <w:t>3.</w:t>
      </w:r>
      <w:r>
        <w:rPr>
          <w:rFonts w:hint="eastAsia"/>
          <w:lang w:val="en-US" w:eastAsia="zh-CN"/>
        </w:rPr>
        <w:t>5</w:t>
      </w:r>
      <w:r>
        <w:rPr>
          <w:rFonts w:hint="eastAsia"/>
        </w:rPr>
        <w:t>.1废气</w:t>
      </w:r>
      <w:bookmarkEnd w:id="114"/>
    </w:p>
    <w:p w14:paraId="7703A9A8">
      <w:pPr>
        <w:pStyle w:val="21"/>
        <w:bidi w:val="0"/>
      </w:pPr>
      <w:r>
        <w:rPr>
          <w:rFonts w:hint="eastAsia"/>
        </w:rPr>
        <w:t>1、切割废气</w:t>
      </w:r>
    </w:p>
    <w:p w14:paraId="560524B8">
      <w:pPr>
        <w:pStyle w:val="21"/>
        <w:bidi w:val="0"/>
      </w:pPr>
      <w:r>
        <w:t>项目切割报废船舶时污染物主要为</w:t>
      </w:r>
      <w:r>
        <w:rPr>
          <w:rFonts w:hint="eastAsia"/>
        </w:rPr>
        <w:t>钢材等材料</w:t>
      </w:r>
      <w:r>
        <w:t>切割产生的烟尘</w:t>
      </w:r>
      <w:r>
        <w:rPr>
          <w:rFonts w:hint="eastAsia"/>
        </w:rPr>
        <w:t>和挥发性有机物（以非甲烷总烃表征）</w:t>
      </w:r>
      <w:r>
        <w:t>。</w:t>
      </w:r>
      <w:r>
        <w:rPr>
          <w:rFonts w:hint="eastAsia"/>
        </w:rPr>
        <w:t>其中挥发性有机物主要来自</w:t>
      </w:r>
      <w:r>
        <w:t>切割过程</w:t>
      </w:r>
      <w:r>
        <w:rPr>
          <w:rFonts w:hint="eastAsia"/>
        </w:rPr>
        <w:t>中可燃</w:t>
      </w:r>
      <w:r>
        <w:t>气体</w:t>
      </w:r>
      <w:r>
        <w:rPr>
          <w:rFonts w:hint="eastAsia"/>
        </w:rPr>
        <w:t>不完全燃烧产生的有机废气，热切割过程中船舶表面油漆涂层受热分解产生的有机废气，船舶内部塑料制品在高温切割过程中游离单体挥发产生的有机废气。由于在拆解过程中一般为确保丙烷完全燃烧并且提高切割效率，会使氧气保持过量状态；由于在切割过程中船舶表面涂层和内部塑料制品与割炬接触的受热区域相对很小，因此其受热分解和游离单体析出的有机废气量极小，本项目不对该工序挥发性有机物进行定量分析。</w:t>
      </w:r>
    </w:p>
    <w:p w14:paraId="7226B3F7">
      <w:pPr>
        <w:pStyle w:val="21"/>
        <w:ind w:firstLine="480"/>
        <w:rPr>
          <w:rFonts w:cs="Times New Roman"/>
          <w:szCs w:val="24"/>
        </w:rPr>
      </w:pPr>
      <w:r>
        <w:rPr>
          <w:rFonts w:hint="eastAsia" w:cs="Times New Roman"/>
          <w:szCs w:val="24"/>
        </w:rPr>
        <w:t>参照《工业源产排污核算方法和系数手册-42废弃资源综合利用行业系数手册》（环境部公告2021年第24号），报废船舶“拆解+切割”工段废气颗粒物产生系数为0.8g/t原料，本项目拆解船舶总重量为</w:t>
      </w:r>
      <w:r>
        <w:rPr>
          <w:rFonts w:hint="eastAsia" w:cs="Times New Roman"/>
          <w:szCs w:val="24"/>
          <w:lang w:val="en-US" w:eastAsia="zh-CN"/>
        </w:rPr>
        <w:t>3440</w:t>
      </w:r>
      <w:r>
        <w:rPr>
          <w:rFonts w:hint="eastAsia" w:cs="Times New Roman"/>
          <w:szCs w:val="24"/>
        </w:rPr>
        <w:t>t/a，则颗粒物产生量为</w:t>
      </w:r>
      <w:r>
        <w:rPr>
          <w:rFonts w:hint="eastAsia" w:cs="Times New Roman"/>
          <w:szCs w:val="24"/>
          <w:lang w:val="en-US" w:eastAsia="zh-CN"/>
        </w:rPr>
        <w:t>2.752kg</w:t>
      </w:r>
      <w:r>
        <w:rPr>
          <w:rFonts w:hint="eastAsia" w:cs="Times New Roman"/>
          <w:szCs w:val="24"/>
        </w:rPr>
        <w:t>/a，</w:t>
      </w:r>
      <w:r>
        <w:rPr>
          <w:rFonts w:hint="eastAsia" w:cs="Times New Roman"/>
          <w:szCs w:val="24"/>
          <w:lang w:val="en-US" w:eastAsia="zh-CN"/>
        </w:rPr>
        <w:t>0.0017</w:t>
      </w:r>
      <w:r>
        <w:rPr>
          <w:rFonts w:hint="eastAsia" w:cs="Times New Roman"/>
          <w:szCs w:val="24"/>
        </w:rPr>
        <w:t>kg/h，采用移动式烟尘净化器收集处理后排放，收集效率按60%计算，处理效率按90%计算，则颗粒物排放量为</w:t>
      </w:r>
      <w:r>
        <w:rPr>
          <w:rFonts w:hint="eastAsia" w:cs="Times New Roman"/>
          <w:szCs w:val="24"/>
          <w:lang w:val="en-US" w:eastAsia="zh-CN"/>
        </w:rPr>
        <w:t>0.001</w:t>
      </w:r>
      <w:r>
        <w:rPr>
          <w:rFonts w:hint="eastAsia" w:cs="Times New Roman"/>
          <w:szCs w:val="24"/>
        </w:rPr>
        <w:t>t/a，排放速率0.00</w:t>
      </w:r>
      <w:r>
        <w:rPr>
          <w:rFonts w:hint="eastAsia" w:cs="Times New Roman"/>
          <w:szCs w:val="24"/>
          <w:lang w:val="en-US" w:eastAsia="zh-CN"/>
        </w:rPr>
        <w:t>08</w:t>
      </w:r>
      <w:r>
        <w:rPr>
          <w:rFonts w:hint="eastAsia" w:cs="Times New Roman"/>
          <w:szCs w:val="24"/>
        </w:rPr>
        <w:t>kg/h。</w:t>
      </w:r>
    </w:p>
    <w:p w14:paraId="7AC2FD5C">
      <w:pPr>
        <w:pStyle w:val="21"/>
        <w:ind w:firstLine="480"/>
      </w:pPr>
      <w:r>
        <w:rPr>
          <w:rFonts w:hint="eastAsia"/>
        </w:rPr>
        <w:t>2、</w:t>
      </w:r>
      <w:r>
        <w:rPr>
          <w:rFonts w:hint="eastAsia"/>
          <w:lang w:val="en-US" w:eastAsia="zh-CN"/>
        </w:rPr>
        <w:t>废油</w:t>
      </w:r>
      <w:r>
        <w:rPr>
          <w:rFonts w:hint="eastAsia"/>
        </w:rPr>
        <w:t>收集废气</w:t>
      </w:r>
    </w:p>
    <w:p w14:paraId="46AA8353">
      <w:pPr>
        <w:pStyle w:val="21"/>
        <w:ind w:firstLine="480"/>
        <w:rPr>
          <w:rFonts w:hint="eastAsia" w:eastAsia="宋体" w:cs="Times New Roman"/>
          <w:szCs w:val="24"/>
          <w:vertAlign w:val="baseline"/>
          <w:lang w:val="en-US" w:eastAsia="zh-CN"/>
        </w:rPr>
      </w:pPr>
      <w:r>
        <w:rPr>
          <w:rFonts w:hint="eastAsia" w:cs="Times New Roman"/>
          <w:szCs w:val="24"/>
        </w:rPr>
        <w:t>本项目在船舶拆除前需进行油料清理，使用输油泵将</w:t>
      </w:r>
      <w:r>
        <w:rPr>
          <w:rFonts w:hint="eastAsia" w:cs="Times New Roman"/>
          <w:szCs w:val="24"/>
          <w:lang w:val="en-US" w:eastAsia="zh-CN"/>
        </w:rPr>
        <w:t>齿轮箱、液压系统、空压机等设备及油管</w:t>
      </w:r>
      <w:r>
        <w:rPr>
          <w:rFonts w:hint="eastAsia" w:cs="Times New Roman"/>
          <w:szCs w:val="24"/>
        </w:rPr>
        <w:t>中少量残留的油品抽至密闭吨桶中，在该过程将挥发产生有机废气，以非甲烷总烃表征。参考《关于印发&lt;石化行业 VOCs 污染源排查工作指南&gt;及&lt;石化企业泄漏检测与修复工作指南&gt;的通知》（环办〔2015〕104号）中轻污油喷溅装载系数1.118kg/m</w:t>
      </w:r>
      <w:r>
        <w:rPr>
          <w:rFonts w:hint="eastAsia" w:cs="Times New Roman"/>
          <w:szCs w:val="24"/>
          <w:vertAlign w:val="superscript"/>
        </w:rPr>
        <w:t>3</w:t>
      </w:r>
      <w:r>
        <w:rPr>
          <w:rFonts w:hint="eastAsia" w:cs="Times New Roman"/>
          <w:szCs w:val="24"/>
          <w:vertAlign w:val="baseline"/>
          <w:lang w:eastAsia="zh-CN"/>
        </w:rPr>
        <w:t>。</w:t>
      </w:r>
    </w:p>
    <w:p w14:paraId="3D96A198">
      <w:pPr>
        <w:pStyle w:val="21"/>
        <w:ind w:firstLine="480"/>
        <w:rPr>
          <w:rFonts w:cs="Times New Roman"/>
          <w:szCs w:val="24"/>
        </w:rPr>
      </w:pPr>
      <w:r>
        <w:rPr>
          <w:rFonts w:hint="eastAsia" w:cs="Times New Roman"/>
          <w:szCs w:val="24"/>
        </w:rPr>
        <w:t>根据物料平衡本项目拆解船舶得到的废油品量为</w:t>
      </w:r>
      <w:r>
        <w:rPr>
          <w:rFonts w:hint="eastAsia" w:cs="Times New Roman"/>
          <w:szCs w:val="24"/>
          <w:lang w:val="en-US" w:eastAsia="zh-CN"/>
        </w:rPr>
        <w:t>0.195</w:t>
      </w:r>
      <w:r>
        <w:rPr>
          <w:rFonts w:hint="eastAsia" w:cs="Times New Roman"/>
          <w:szCs w:val="24"/>
        </w:rPr>
        <w:t>t/a，密度按照900kg/m</w:t>
      </w:r>
      <w:r>
        <w:rPr>
          <w:rFonts w:hint="eastAsia" w:cs="Times New Roman"/>
          <w:szCs w:val="24"/>
          <w:vertAlign w:val="superscript"/>
          <w:lang w:val="en-US" w:eastAsia="zh-CN"/>
        </w:rPr>
        <w:t>3</w:t>
      </w:r>
      <w:r>
        <w:rPr>
          <w:rFonts w:hint="eastAsia" w:cs="Times New Roman"/>
          <w:szCs w:val="24"/>
        </w:rPr>
        <w:t>计，计算得到逸散的非甲烷总烃为</w:t>
      </w:r>
      <w:r>
        <w:rPr>
          <w:rFonts w:hint="eastAsia" w:cs="Times New Roman"/>
          <w:szCs w:val="24"/>
          <w:lang w:val="en-US" w:eastAsia="zh-CN"/>
        </w:rPr>
        <w:t>0.242kg</w:t>
      </w:r>
      <w:r>
        <w:rPr>
          <w:rFonts w:hint="eastAsia" w:cs="Times New Roman"/>
          <w:szCs w:val="24"/>
        </w:rPr>
        <w:t>/a，每艘船抽油持续时间3h，则总计工作时间</w:t>
      </w:r>
      <w:r>
        <w:rPr>
          <w:rFonts w:hint="eastAsia" w:cs="Times New Roman"/>
          <w:szCs w:val="24"/>
          <w:lang w:val="en-US" w:eastAsia="zh-CN"/>
        </w:rPr>
        <w:t>90</w:t>
      </w:r>
      <w:r>
        <w:rPr>
          <w:rFonts w:hint="eastAsia" w:cs="Times New Roman"/>
          <w:szCs w:val="24"/>
        </w:rPr>
        <w:t>h，产生速率为</w:t>
      </w:r>
      <w:r>
        <w:rPr>
          <w:rFonts w:hint="eastAsia" w:cs="Times New Roman"/>
          <w:szCs w:val="24"/>
          <w:lang w:val="en-US" w:eastAsia="zh-CN"/>
        </w:rPr>
        <w:t>0.0022</w:t>
      </w:r>
      <w:r>
        <w:rPr>
          <w:rFonts w:hint="eastAsia" w:cs="Times New Roman"/>
          <w:szCs w:val="24"/>
        </w:rPr>
        <w:t>kg/h，在厂区无组织排放。</w:t>
      </w:r>
    </w:p>
    <w:p w14:paraId="74CE24FA">
      <w:pPr>
        <w:pStyle w:val="21"/>
        <w:ind w:firstLine="480"/>
        <w:rPr>
          <w:rFonts w:cs="Times New Roman"/>
          <w:szCs w:val="24"/>
        </w:rPr>
      </w:pPr>
      <w:r>
        <w:rPr>
          <w:rFonts w:hint="eastAsia" w:cs="Times New Roman"/>
          <w:szCs w:val="24"/>
        </w:rPr>
        <w:t>3、油箱剩余油料抽取废气</w:t>
      </w:r>
    </w:p>
    <w:p w14:paraId="33DD9B27">
      <w:pPr>
        <w:pStyle w:val="21"/>
        <w:ind w:firstLine="480"/>
        <w:rPr>
          <w:rFonts w:cs="Times New Roman"/>
          <w:szCs w:val="24"/>
        </w:rPr>
      </w:pPr>
      <w:r>
        <w:rPr>
          <w:rFonts w:hint="eastAsia" w:cs="Times New Roman"/>
          <w:szCs w:val="24"/>
        </w:rPr>
        <w:t>本项目在船舶拆除前需抽取油箱中的剩余柴油，千吨级船舶油箱容积约为500L，由于船舶需要拆解，因此油箱内油量会比较少，本次按10%计算，则剩余柴油约为50L/艘，则总计需抽取柴油</w:t>
      </w:r>
      <w:r>
        <w:rPr>
          <w:rFonts w:hint="eastAsia" w:cs="Times New Roman"/>
          <w:szCs w:val="24"/>
          <w:lang w:val="en-US" w:eastAsia="zh-CN"/>
        </w:rPr>
        <w:t>1.5</w:t>
      </w:r>
      <w:r>
        <w:rPr>
          <w:rFonts w:hint="eastAsia" w:cs="Times New Roman"/>
          <w:szCs w:val="24"/>
        </w:rPr>
        <w:t>m</w:t>
      </w:r>
      <w:r>
        <w:rPr>
          <w:rFonts w:hint="eastAsia" w:cs="Times New Roman"/>
          <w:szCs w:val="24"/>
          <w:vertAlign w:val="superscript"/>
        </w:rPr>
        <w:t>3</w:t>
      </w:r>
      <w:r>
        <w:rPr>
          <w:rFonts w:hint="eastAsia" w:cs="Times New Roman"/>
          <w:szCs w:val="24"/>
        </w:rPr>
        <w:t>/a，参考《关于印发&lt;石化行业 VOCs 污染源排查工作指南&gt;及&lt;石化企业泄漏检测与修复工作指南&gt;的通知》（环办〔2015〕104号）中柴油喷溅装载系数0.152kg/m</w:t>
      </w:r>
      <w:r>
        <w:rPr>
          <w:rFonts w:hint="eastAsia" w:cs="Times New Roman"/>
          <w:szCs w:val="24"/>
          <w:vertAlign w:val="superscript"/>
        </w:rPr>
        <w:t>3</w:t>
      </w:r>
      <w:r>
        <w:rPr>
          <w:rFonts w:hint="eastAsia" w:cs="Times New Roman"/>
          <w:szCs w:val="24"/>
        </w:rPr>
        <w:t>，计算得到逸散的非甲烷总烃为</w:t>
      </w:r>
      <w:r>
        <w:rPr>
          <w:rFonts w:hint="eastAsia" w:cs="Times New Roman"/>
          <w:szCs w:val="24"/>
          <w:lang w:val="en-US" w:eastAsia="zh-CN"/>
        </w:rPr>
        <w:t>0.228</w:t>
      </w:r>
      <w:r>
        <w:rPr>
          <w:rFonts w:hint="eastAsia" w:cs="Times New Roman"/>
          <w:szCs w:val="24"/>
        </w:rPr>
        <w:t>kg/a，抽油速率为10L/min，则总计抽油持续时间为</w:t>
      </w:r>
      <w:r>
        <w:rPr>
          <w:rFonts w:hint="eastAsia" w:cs="Times New Roman"/>
          <w:szCs w:val="24"/>
          <w:lang w:val="en-US" w:eastAsia="zh-CN"/>
        </w:rPr>
        <w:t>150</w:t>
      </w:r>
      <w:r>
        <w:rPr>
          <w:rFonts w:hint="eastAsia" w:cs="Times New Roman"/>
          <w:szCs w:val="24"/>
        </w:rPr>
        <w:t>min，</w:t>
      </w:r>
      <w:r>
        <w:rPr>
          <w:rFonts w:hint="eastAsia" w:cs="Times New Roman"/>
          <w:szCs w:val="24"/>
          <w:lang w:val="en-US" w:eastAsia="zh-CN"/>
        </w:rPr>
        <w:t>2.5</w:t>
      </w:r>
      <w:r>
        <w:rPr>
          <w:rFonts w:hint="eastAsia" w:cs="Times New Roman"/>
          <w:szCs w:val="24"/>
        </w:rPr>
        <w:t>h，则NMHC排放速率为</w:t>
      </w:r>
      <w:r>
        <w:rPr>
          <w:rFonts w:hint="eastAsia" w:cs="Times New Roman"/>
          <w:szCs w:val="24"/>
          <w:lang w:val="en-US" w:eastAsia="zh-CN"/>
        </w:rPr>
        <w:t>0.0912</w:t>
      </w:r>
      <w:r>
        <w:rPr>
          <w:rFonts w:hint="eastAsia" w:cs="Times New Roman"/>
          <w:szCs w:val="24"/>
        </w:rPr>
        <w:t>kg/h，在厂区无组织排放。</w:t>
      </w:r>
    </w:p>
    <w:p w14:paraId="30227754">
      <w:pPr>
        <w:pStyle w:val="21"/>
        <w:ind w:firstLine="480"/>
        <w:rPr>
          <w:rFonts w:cs="Times New Roman"/>
          <w:szCs w:val="24"/>
        </w:rPr>
      </w:pPr>
      <w:r>
        <w:rPr>
          <w:rFonts w:hint="eastAsia" w:cs="Times New Roman"/>
          <w:szCs w:val="24"/>
        </w:rPr>
        <w:t>4、危废贮存间有机废气</w:t>
      </w:r>
    </w:p>
    <w:p w14:paraId="5E05F110">
      <w:pPr>
        <w:pStyle w:val="21"/>
        <w:ind w:firstLine="480"/>
        <w:rPr>
          <w:rFonts w:cs="Times New Roman"/>
          <w:szCs w:val="24"/>
        </w:rPr>
      </w:pPr>
      <w:r>
        <w:rPr>
          <w:rFonts w:hint="eastAsia" w:cs="Times New Roman"/>
          <w:szCs w:val="24"/>
        </w:rPr>
        <w:t>项目废油、油泥</w:t>
      </w:r>
      <w:r>
        <w:rPr>
          <w:rFonts w:hint="eastAsia" w:cs="Times New Roman"/>
          <w:szCs w:val="24"/>
          <w:lang w:eastAsia="zh-CN"/>
        </w:rPr>
        <w:t>、</w:t>
      </w:r>
      <w:r>
        <w:rPr>
          <w:rFonts w:hint="eastAsia" w:cs="Times New Roman"/>
          <w:szCs w:val="24"/>
          <w:lang w:val="en-US" w:eastAsia="zh-CN"/>
        </w:rPr>
        <w:t>废燃料油、污水处理设施废油及油泥</w:t>
      </w:r>
      <w:r>
        <w:rPr>
          <w:rFonts w:hint="eastAsia" w:cs="Times New Roman"/>
          <w:szCs w:val="24"/>
        </w:rPr>
        <w:t>等产生量为</w:t>
      </w:r>
      <w:r>
        <w:rPr>
          <w:rFonts w:hint="eastAsia" w:cs="Times New Roman"/>
          <w:szCs w:val="24"/>
          <w:lang w:val="en-US" w:eastAsia="zh-CN"/>
        </w:rPr>
        <w:t>64.885</w:t>
      </w:r>
      <w:r>
        <w:rPr>
          <w:rFonts w:hint="eastAsia" w:cs="Times New Roman"/>
          <w:szCs w:val="24"/>
        </w:rPr>
        <w:t>t/a，根据《散装液态石油产品损耗》(GB11085-89)，损耗率(按月计算)为0.01%，项目废油、油泥贮存时间以6个月计算，则挥发量以0.06%计，则挥发性有机物的产生量为</w:t>
      </w:r>
      <w:r>
        <w:rPr>
          <w:rFonts w:hint="eastAsia" w:cs="Times New Roman"/>
          <w:szCs w:val="24"/>
          <w:lang w:val="en-US" w:eastAsia="zh-CN"/>
        </w:rPr>
        <w:t>0.04</w:t>
      </w:r>
      <w:r>
        <w:rPr>
          <w:rFonts w:hint="eastAsia" w:cs="Times New Roman"/>
          <w:szCs w:val="24"/>
        </w:rPr>
        <w:t>t/a，产生速率为</w:t>
      </w:r>
      <w:r>
        <w:rPr>
          <w:rFonts w:hint="eastAsia" w:cs="Times New Roman"/>
          <w:szCs w:val="24"/>
          <w:lang w:val="en-US" w:eastAsia="zh-CN"/>
        </w:rPr>
        <w:t>0.0046</w:t>
      </w:r>
      <w:r>
        <w:rPr>
          <w:rFonts w:hint="eastAsia" w:cs="Times New Roman"/>
          <w:szCs w:val="24"/>
        </w:rPr>
        <w:t>kg/h（贮存时间以全年8760h计），以无组织形式排放。</w:t>
      </w:r>
    </w:p>
    <w:p w14:paraId="262E25FC">
      <w:pPr>
        <w:pStyle w:val="21"/>
        <w:ind w:firstLine="480"/>
        <w:rPr>
          <w:rFonts w:cs="Times New Roman"/>
          <w:szCs w:val="24"/>
        </w:rPr>
      </w:pPr>
      <w:r>
        <w:rPr>
          <w:rFonts w:hint="eastAsia" w:cs="Times New Roman"/>
          <w:szCs w:val="24"/>
        </w:rPr>
        <w:t>5、制冷剂废气</w:t>
      </w:r>
    </w:p>
    <w:p w14:paraId="4F2BA5FF">
      <w:pPr>
        <w:pStyle w:val="21"/>
        <w:ind w:firstLine="480"/>
        <w:rPr>
          <w:rFonts w:cs="Times New Roman"/>
          <w:szCs w:val="24"/>
        </w:rPr>
      </w:pPr>
      <w:r>
        <w:rPr>
          <w:rFonts w:hint="eastAsia" w:cs="Times New Roman"/>
          <w:szCs w:val="24"/>
        </w:rPr>
        <w:t>项目拟拆解船舶中部分年代较早的空调系统仍然使用氟利昂</w:t>
      </w:r>
      <w:r>
        <w:rPr>
          <w:rFonts w:cs="Times New Roman"/>
          <w:szCs w:val="24"/>
        </w:rPr>
        <w:t>(CF₂C₁₂)作为制冷剂，</w:t>
      </w:r>
      <w:r>
        <w:rPr>
          <w:rFonts w:hint="eastAsia" w:cs="Times New Roman"/>
          <w:szCs w:val="24"/>
        </w:rPr>
        <w:t>若氟利昂未得到有效收集，泄漏到大气中会对臭氧层产生破坏。因此，《绿色拆船通用规范》(GB/T36661-2018)中提出：废船预处理过程应先将各空调制冷计抽到专用储存容器内中，并送专门厂家进行处理，不准许将制冷剂泄漏和排放到空气环境中。</w:t>
      </w:r>
    </w:p>
    <w:p w14:paraId="21230999">
      <w:pPr>
        <w:pStyle w:val="21"/>
        <w:ind w:firstLine="480"/>
        <w:rPr>
          <w:rFonts w:cs="Times New Roman"/>
          <w:szCs w:val="24"/>
        </w:rPr>
      </w:pPr>
      <w:r>
        <w:rPr>
          <w:rFonts w:hint="eastAsia" w:cs="Times New Roman"/>
          <w:szCs w:val="24"/>
        </w:rPr>
        <w:t>本项目应采用专门的制冷剂回收装置对废空调制冷剂等进行回收，装置运行时将回收罐连接在回收装置的气阀上并把回收罐的液阀连接在制冷系统的液体一侧，当降低回收罐的压力时，回收装置会把被回收设备中的液态制冷剂“拉出”来。从回收罐抽出蒸汽，又会进回收装置的运行，把它排到(推回)被回收设备的蒸汽入口处。在制冷剂的收集过程中，仅在连接、收集过程中会有少量制冷剂通过管线、阀门等以无组织形式释放到环境空气中，泄漏出来的废气量非常极小，对周围的环境影响也很小，因此本评价不对其进行定量分析。回收后的制冷剂在厂区内危废贮存间贮存后将由有资质的单位进行处置，不排放到空气中。</w:t>
      </w:r>
    </w:p>
    <w:p w14:paraId="6DD967FF">
      <w:pPr>
        <w:pStyle w:val="23"/>
        <w:bidi w:val="0"/>
        <w:rPr>
          <w:rFonts w:hint="eastAsia"/>
          <w:lang w:val="en-US" w:eastAsia="zh-CN"/>
        </w:rPr>
      </w:pPr>
      <w:r>
        <w:rPr>
          <w:rFonts w:hint="eastAsia"/>
          <w:lang w:val="en-US" w:eastAsia="zh-CN"/>
        </w:rPr>
        <w:t>表3.5-1  废气污染源强汇总</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847"/>
        <w:gridCol w:w="846"/>
        <w:gridCol w:w="1056"/>
        <w:gridCol w:w="811"/>
        <w:gridCol w:w="811"/>
        <w:gridCol w:w="846"/>
        <w:gridCol w:w="1266"/>
      </w:tblGrid>
      <w:tr w14:paraId="368D6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DEBBE12">
            <w:pPr>
              <w:pStyle w:val="31"/>
              <w:bidi w:val="0"/>
              <w:jc w:val="center"/>
              <w:rPr>
                <w:rFonts w:hint="default"/>
                <w:lang w:val="en-US" w:eastAsia="zh-CN"/>
              </w:rPr>
            </w:pPr>
            <w:r>
              <w:rPr>
                <w:rFonts w:hint="eastAsia"/>
                <w:lang w:val="en-US" w:eastAsia="zh-CN"/>
              </w:rPr>
              <w:t>污染源</w:t>
            </w:r>
          </w:p>
        </w:tc>
        <w:tc>
          <w:tcPr>
            <w:tcW w:w="0" w:type="auto"/>
            <w:vAlign w:val="center"/>
          </w:tcPr>
          <w:p w14:paraId="6DBD2E90">
            <w:pPr>
              <w:pStyle w:val="31"/>
              <w:bidi w:val="0"/>
              <w:jc w:val="center"/>
              <w:rPr>
                <w:rFonts w:hint="default"/>
                <w:lang w:val="en-US" w:eastAsia="zh-CN"/>
              </w:rPr>
            </w:pPr>
            <w:r>
              <w:rPr>
                <w:rFonts w:hint="eastAsia"/>
                <w:lang w:val="en-US" w:eastAsia="zh-CN"/>
              </w:rPr>
              <w:t>污染物</w:t>
            </w:r>
          </w:p>
        </w:tc>
        <w:tc>
          <w:tcPr>
            <w:tcW w:w="0" w:type="auto"/>
            <w:vAlign w:val="center"/>
          </w:tcPr>
          <w:p w14:paraId="3DFB17CC">
            <w:pPr>
              <w:pStyle w:val="31"/>
              <w:bidi w:val="0"/>
              <w:jc w:val="center"/>
              <w:rPr>
                <w:rFonts w:hint="eastAsia"/>
                <w:lang w:val="en-US" w:eastAsia="zh-CN"/>
              </w:rPr>
            </w:pPr>
            <w:r>
              <w:rPr>
                <w:rFonts w:hint="eastAsia"/>
                <w:lang w:val="en-US" w:eastAsia="zh-CN"/>
              </w:rPr>
              <w:t>产生量</w:t>
            </w:r>
          </w:p>
          <w:p w14:paraId="20AB0CFD">
            <w:pPr>
              <w:pStyle w:val="31"/>
              <w:bidi w:val="0"/>
              <w:jc w:val="center"/>
              <w:rPr>
                <w:rFonts w:hint="default"/>
                <w:lang w:val="en-US" w:eastAsia="zh-CN"/>
              </w:rPr>
            </w:pPr>
            <w:r>
              <w:rPr>
                <w:rFonts w:hint="eastAsia"/>
                <w:lang w:val="en-US" w:eastAsia="zh-CN"/>
              </w:rPr>
              <w:t>t/a</w:t>
            </w:r>
          </w:p>
        </w:tc>
        <w:tc>
          <w:tcPr>
            <w:tcW w:w="0" w:type="auto"/>
            <w:vAlign w:val="center"/>
          </w:tcPr>
          <w:p w14:paraId="08B8F896">
            <w:pPr>
              <w:pStyle w:val="31"/>
              <w:bidi w:val="0"/>
              <w:jc w:val="center"/>
              <w:rPr>
                <w:rFonts w:hint="default"/>
                <w:lang w:val="en-US" w:eastAsia="zh-CN"/>
              </w:rPr>
            </w:pPr>
            <w:r>
              <w:rPr>
                <w:rFonts w:hint="eastAsia"/>
                <w:lang w:val="en-US" w:eastAsia="zh-CN"/>
              </w:rPr>
              <w:t>处理措施</w:t>
            </w:r>
          </w:p>
        </w:tc>
        <w:tc>
          <w:tcPr>
            <w:tcW w:w="0" w:type="auto"/>
            <w:vAlign w:val="center"/>
          </w:tcPr>
          <w:p w14:paraId="4E2C2762">
            <w:pPr>
              <w:pStyle w:val="31"/>
              <w:bidi w:val="0"/>
              <w:jc w:val="center"/>
              <w:rPr>
                <w:rFonts w:hint="eastAsia"/>
                <w:lang w:val="en-US" w:eastAsia="zh-CN"/>
              </w:rPr>
            </w:pPr>
            <w:r>
              <w:rPr>
                <w:rFonts w:hint="eastAsia"/>
                <w:lang w:val="en-US" w:eastAsia="zh-CN"/>
              </w:rPr>
              <w:t>收集</w:t>
            </w:r>
          </w:p>
          <w:p w14:paraId="48638465">
            <w:pPr>
              <w:pStyle w:val="31"/>
              <w:bidi w:val="0"/>
              <w:jc w:val="center"/>
              <w:rPr>
                <w:rFonts w:hint="default"/>
                <w:lang w:val="en-US" w:eastAsia="zh-CN"/>
              </w:rPr>
            </w:pPr>
            <w:r>
              <w:rPr>
                <w:rFonts w:hint="eastAsia"/>
                <w:lang w:val="en-US" w:eastAsia="zh-CN"/>
              </w:rPr>
              <w:t>效率%</w:t>
            </w:r>
          </w:p>
        </w:tc>
        <w:tc>
          <w:tcPr>
            <w:tcW w:w="0" w:type="auto"/>
            <w:vAlign w:val="center"/>
          </w:tcPr>
          <w:p w14:paraId="67AF6F8A">
            <w:pPr>
              <w:pStyle w:val="31"/>
              <w:bidi w:val="0"/>
              <w:jc w:val="center"/>
              <w:rPr>
                <w:rFonts w:hint="eastAsia"/>
                <w:lang w:val="en-US" w:eastAsia="zh-CN"/>
              </w:rPr>
            </w:pPr>
            <w:r>
              <w:rPr>
                <w:rFonts w:hint="eastAsia"/>
                <w:lang w:val="en-US" w:eastAsia="zh-CN"/>
              </w:rPr>
              <w:t>去除</w:t>
            </w:r>
          </w:p>
          <w:p w14:paraId="78D2D639">
            <w:pPr>
              <w:pStyle w:val="31"/>
              <w:bidi w:val="0"/>
              <w:jc w:val="center"/>
              <w:rPr>
                <w:rFonts w:hint="default"/>
                <w:lang w:val="en-US" w:eastAsia="zh-CN"/>
              </w:rPr>
            </w:pPr>
            <w:r>
              <w:rPr>
                <w:rFonts w:hint="eastAsia"/>
                <w:lang w:val="en-US" w:eastAsia="zh-CN"/>
              </w:rPr>
              <w:t>效率%</w:t>
            </w:r>
          </w:p>
        </w:tc>
        <w:tc>
          <w:tcPr>
            <w:tcW w:w="0" w:type="auto"/>
            <w:vAlign w:val="center"/>
          </w:tcPr>
          <w:p w14:paraId="0F2B9A33">
            <w:pPr>
              <w:pStyle w:val="31"/>
              <w:bidi w:val="0"/>
              <w:jc w:val="center"/>
              <w:rPr>
                <w:rFonts w:hint="eastAsia"/>
                <w:lang w:val="en-US" w:eastAsia="zh-CN"/>
              </w:rPr>
            </w:pPr>
            <w:r>
              <w:rPr>
                <w:rFonts w:hint="eastAsia"/>
                <w:lang w:val="en-US" w:eastAsia="zh-CN"/>
              </w:rPr>
              <w:t>排放量</w:t>
            </w:r>
          </w:p>
          <w:p w14:paraId="50B876F8">
            <w:pPr>
              <w:pStyle w:val="31"/>
              <w:bidi w:val="0"/>
              <w:jc w:val="center"/>
              <w:rPr>
                <w:rFonts w:hint="default"/>
                <w:lang w:val="en-US" w:eastAsia="zh-CN"/>
              </w:rPr>
            </w:pPr>
            <w:r>
              <w:rPr>
                <w:rFonts w:hint="eastAsia"/>
                <w:lang w:val="en-US" w:eastAsia="zh-CN"/>
              </w:rPr>
              <w:t>t/a</w:t>
            </w:r>
          </w:p>
        </w:tc>
        <w:tc>
          <w:tcPr>
            <w:tcW w:w="0" w:type="auto"/>
            <w:vAlign w:val="center"/>
          </w:tcPr>
          <w:p w14:paraId="101A2A73">
            <w:pPr>
              <w:pStyle w:val="31"/>
              <w:bidi w:val="0"/>
              <w:jc w:val="center"/>
              <w:rPr>
                <w:rFonts w:hint="default"/>
                <w:lang w:val="en-US" w:eastAsia="zh-CN"/>
              </w:rPr>
            </w:pPr>
            <w:r>
              <w:rPr>
                <w:rFonts w:hint="eastAsia"/>
                <w:lang w:val="en-US" w:eastAsia="zh-CN"/>
              </w:rPr>
              <w:t>排放方式</w:t>
            </w:r>
          </w:p>
        </w:tc>
      </w:tr>
      <w:tr w14:paraId="79D71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2ECB484">
            <w:pPr>
              <w:pStyle w:val="31"/>
              <w:bidi w:val="0"/>
              <w:jc w:val="center"/>
              <w:rPr>
                <w:rFonts w:hint="default"/>
                <w:lang w:val="en-US" w:eastAsia="zh-CN"/>
              </w:rPr>
            </w:pPr>
            <w:r>
              <w:rPr>
                <w:rFonts w:hint="eastAsia"/>
                <w:lang w:val="en-US" w:eastAsia="zh-CN"/>
              </w:rPr>
              <w:t>切割废气</w:t>
            </w:r>
          </w:p>
        </w:tc>
        <w:tc>
          <w:tcPr>
            <w:tcW w:w="0" w:type="auto"/>
            <w:vAlign w:val="center"/>
          </w:tcPr>
          <w:p w14:paraId="181B4605">
            <w:pPr>
              <w:pStyle w:val="31"/>
              <w:bidi w:val="0"/>
              <w:jc w:val="center"/>
              <w:rPr>
                <w:rFonts w:hint="default"/>
                <w:lang w:val="en-US" w:eastAsia="zh-CN"/>
              </w:rPr>
            </w:pPr>
            <w:r>
              <w:rPr>
                <w:rFonts w:hint="eastAsia"/>
                <w:lang w:val="en-US" w:eastAsia="zh-CN"/>
              </w:rPr>
              <w:t>颗粒物</w:t>
            </w:r>
          </w:p>
        </w:tc>
        <w:tc>
          <w:tcPr>
            <w:tcW w:w="0" w:type="auto"/>
            <w:vAlign w:val="center"/>
          </w:tcPr>
          <w:p w14:paraId="6B32372D">
            <w:pPr>
              <w:pStyle w:val="31"/>
              <w:bidi w:val="0"/>
              <w:jc w:val="center"/>
              <w:rPr>
                <w:rFonts w:hint="default"/>
                <w:lang w:val="en-US" w:eastAsia="zh-CN"/>
              </w:rPr>
            </w:pPr>
            <w:r>
              <w:rPr>
                <w:rFonts w:hint="eastAsia"/>
                <w:lang w:val="en-US" w:eastAsia="zh-CN"/>
              </w:rPr>
              <w:t>0.003</w:t>
            </w:r>
          </w:p>
        </w:tc>
        <w:tc>
          <w:tcPr>
            <w:tcW w:w="0" w:type="auto"/>
            <w:vAlign w:val="center"/>
          </w:tcPr>
          <w:p w14:paraId="3A11E366">
            <w:pPr>
              <w:pStyle w:val="31"/>
              <w:bidi w:val="0"/>
              <w:jc w:val="center"/>
              <w:rPr>
                <w:rFonts w:hint="eastAsia"/>
                <w:lang w:val="en-US" w:eastAsia="zh-CN"/>
              </w:rPr>
            </w:pPr>
            <w:r>
              <w:rPr>
                <w:rFonts w:hint="eastAsia"/>
                <w:lang w:val="en-US" w:eastAsia="zh-CN"/>
              </w:rPr>
              <w:t>移动式烟</w:t>
            </w:r>
          </w:p>
          <w:p w14:paraId="511DCF2B">
            <w:pPr>
              <w:pStyle w:val="31"/>
              <w:bidi w:val="0"/>
              <w:jc w:val="center"/>
              <w:rPr>
                <w:rFonts w:hint="default"/>
                <w:lang w:val="en-US" w:eastAsia="zh-CN"/>
              </w:rPr>
            </w:pPr>
            <w:r>
              <w:rPr>
                <w:rFonts w:hint="eastAsia"/>
                <w:lang w:val="en-US" w:eastAsia="zh-CN"/>
              </w:rPr>
              <w:t>尘净化器</w:t>
            </w:r>
          </w:p>
        </w:tc>
        <w:tc>
          <w:tcPr>
            <w:tcW w:w="0" w:type="auto"/>
            <w:vAlign w:val="center"/>
          </w:tcPr>
          <w:p w14:paraId="66BDA37B">
            <w:pPr>
              <w:pStyle w:val="31"/>
              <w:bidi w:val="0"/>
              <w:jc w:val="center"/>
              <w:rPr>
                <w:rFonts w:hint="default"/>
                <w:lang w:val="en-US" w:eastAsia="zh-CN"/>
              </w:rPr>
            </w:pPr>
            <w:r>
              <w:rPr>
                <w:rFonts w:hint="eastAsia"/>
                <w:lang w:val="en-US" w:eastAsia="zh-CN"/>
              </w:rPr>
              <w:t>60</w:t>
            </w:r>
          </w:p>
        </w:tc>
        <w:tc>
          <w:tcPr>
            <w:tcW w:w="0" w:type="auto"/>
            <w:vAlign w:val="center"/>
          </w:tcPr>
          <w:p w14:paraId="717608F6">
            <w:pPr>
              <w:pStyle w:val="31"/>
              <w:bidi w:val="0"/>
              <w:jc w:val="center"/>
              <w:rPr>
                <w:rFonts w:hint="default"/>
                <w:lang w:val="en-US" w:eastAsia="zh-CN"/>
              </w:rPr>
            </w:pPr>
            <w:r>
              <w:rPr>
                <w:rFonts w:hint="eastAsia"/>
                <w:lang w:val="en-US" w:eastAsia="zh-CN"/>
              </w:rPr>
              <w:t>90</w:t>
            </w:r>
          </w:p>
        </w:tc>
        <w:tc>
          <w:tcPr>
            <w:tcW w:w="0" w:type="auto"/>
            <w:vAlign w:val="center"/>
          </w:tcPr>
          <w:p w14:paraId="463EB5B1">
            <w:pPr>
              <w:pStyle w:val="31"/>
              <w:bidi w:val="0"/>
              <w:jc w:val="center"/>
              <w:rPr>
                <w:rFonts w:hint="default"/>
                <w:lang w:val="en-US" w:eastAsia="zh-CN"/>
              </w:rPr>
            </w:pPr>
            <w:r>
              <w:rPr>
                <w:rFonts w:hint="eastAsia"/>
                <w:lang w:val="en-US" w:eastAsia="zh-CN"/>
              </w:rPr>
              <w:t>0.001</w:t>
            </w:r>
          </w:p>
        </w:tc>
        <w:tc>
          <w:tcPr>
            <w:tcW w:w="0" w:type="auto"/>
            <w:vAlign w:val="center"/>
          </w:tcPr>
          <w:p w14:paraId="396CFE90">
            <w:pPr>
              <w:pStyle w:val="31"/>
              <w:bidi w:val="0"/>
              <w:jc w:val="center"/>
              <w:rPr>
                <w:rFonts w:hint="default"/>
                <w:lang w:val="en-US" w:eastAsia="zh-CN"/>
              </w:rPr>
            </w:pPr>
            <w:r>
              <w:rPr>
                <w:rFonts w:hint="eastAsia"/>
                <w:lang w:val="en-US" w:eastAsia="zh-CN"/>
              </w:rPr>
              <w:t>无组织排放</w:t>
            </w:r>
          </w:p>
        </w:tc>
      </w:tr>
      <w:tr w14:paraId="23B4C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62864184">
            <w:pPr>
              <w:pStyle w:val="31"/>
              <w:bidi w:val="0"/>
              <w:jc w:val="center"/>
              <w:rPr>
                <w:rFonts w:hint="default"/>
                <w:lang w:val="en-US" w:eastAsia="zh-CN"/>
              </w:rPr>
            </w:pPr>
            <w:r>
              <w:rPr>
                <w:rFonts w:hint="eastAsia"/>
                <w:lang w:val="en-US" w:eastAsia="zh-CN"/>
              </w:rPr>
              <w:t>废油收集废气</w:t>
            </w:r>
          </w:p>
        </w:tc>
        <w:tc>
          <w:tcPr>
            <w:tcW w:w="0" w:type="auto"/>
            <w:vAlign w:val="center"/>
          </w:tcPr>
          <w:p w14:paraId="6E2849BE">
            <w:pPr>
              <w:pStyle w:val="31"/>
              <w:bidi w:val="0"/>
              <w:jc w:val="center"/>
              <w:rPr>
                <w:rFonts w:hint="default"/>
                <w:lang w:val="en-US" w:eastAsia="zh-CN"/>
              </w:rPr>
            </w:pPr>
            <w:r>
              <w:rPr>
                <w:rFonts w:hint="eastAsia"/>
                <w:lang w:val="en-US" w:eastAsia="zh-CN"/>
              </w:rPr>
              <w:t>NMHC</w:t>
            </w:r>
          </w:p>
        </w:tc>
        <w:tc>
          <w:tcPr>
            <w:tcW w:w="0" w:type="auto"/>
            <w:vAlign w:val="center"/>
          </w:tcPr>
          <w:p w14:paraId="52BC6286">
            <w:pPr>
              <w:pStyle w:val="31"/>
              <w:bidi w:val="0"/>
              <w:jc w:val="center"/>
              <w:rPr>
                <w:rFonts w:hint="default"/>
                <w:lang w:val="en-US" w:eastAsia="zh-CN"/>
              </w:rPr>
            </w:pPr>
            <w:r>
              <w:rPr>
                <w:rFonts w:hint="eastAsia"/>
                <w:lang w:val="en-US" w:eastAsia="zh-CN"/>
              </w:rPr>
              <w:t>0.0002</w:t>
            </w:r>
          </w:p>
        </w:tc>
        <w:tc>
          <w:tcPr>
            <w:tcW w:w="0" w:type="auto"/>
            <w:vAlign w:val="center"/>
          </w:tcPr>
          <w:p w14:paraId="6C997BDA">
            <w:pPr>
              <w:pStyle w:val="31"/>
              <w:bidi w:val="0"/>
              <w:jc w:val="center"/>
              <w:rPr>
                <w:rFonts w:hint="default"/>
                <w:lang w:val="en-US" w:eastAsia="zh-CN"/>
              </w:rPr>
            </w:pPr>
            <w:r>
              <w:rPr>
                <w:rFonts w:hint="eastAsia"/>
                <w:lang w:val="en-US" w:eastAsia="zh-CN"/>
              </w:rPr>
              <w:t>/</w:t>
            </w:r>
          </w:p>
        </w:tc>
        <w:tc>
          <w:tcPr>
            <w:tcW w:w="0" w:type="auto"/>
            <w:vAlign w:val="center"/>
          </w:tcPr>
          <w:p w14:paraId="61471076">
            <w:pPr>
              <w:pStyle w:val="31"/>
              <w:bidi w:val="0"/>
              <w:jc w:val="center"/>
              <w:rPr>
                <w:rFonts w:hint="default"/>
                <w:lang w:val="en-US" w:eastAsia="zh-CN"/>
              </w:rPr>
            </w:pPr>
            <w:r>
              <w:rPr>
                <w:rFonts w:hint="eastAsia"/>
                <w:lang w:val="en-US" w:eastAsia="zh-CN"/>
              </w:rPr>
              <w:t>/</w:t>
            </w:r>
          </w:p>
        </w:tc>
        <w:tc>
          <w:tcPr>
            <w:tcW w:w="0" w:type="auto"/>
            <w:vAlign w:val="center"/>
          </w:tcPr>
          <w:p w14:paraId="36C365CA">
            <w:pPr>
              <w:pStyle w:val="31"/>
              <w:bidi w:val="0"/>
              <w:jc w:val="center"/>
              <w:rPr>
                <w:rFonts w:hint="default"/>
                <w:lang w:val="en-US" w:eastAsia="zh-CN"/>
              </w:rPr>
            </w:pPr>
            <w:r>
              <w:rPr>
                <w:rFonts w:hint="eastAsia"/>
                <w:lang w:val="en-US" w:eastAsia="zh-CN"/>
              </w:rPr>
              <w:t>/</w:t>
            </w:r>
          </w:p>
        </w:tc>
        <w:tc>
          <w:tcPr>
            <w:tcW w:w="0" w:type="auto"/>
            <w:vAlign w:val="center"/>
          </w:tcPr>
          <w:p w14:paraId="3BB6E9D1">
            <w:pPr>
              <w:pStyle w:val="31"/>
              <w:bidi w:val="0"/>
              <w:jc w:val="center"/>
              <w:rPr>
                <w:rFonts w:hint="default"/>
                <w:lang w:val="en-US" w:eastAsia="zh-CN"/>
              </w:rPr>
            </w:pPr>
            <w:r>
              <w:rPr>
                <w:rFonts w:hint="eastAsia"/>
                <w:lang w:val="en-US" w:eastAsia="zh-CN"/>
              </w:rPr>
              <w:t>0.0002</w:t>
            </w:r>
          </w:p>
        </w:tc>
        <w:tc>
          <w:tcPr>
            <w:tcW w:w="0" w:type="auto"/>
            <w:vAlign w:val="center"/>
          </w:tcPr>
          <w:p w14:paraId="7676A3D1">
            <w:pPr>
              <w:pStyle w:val="31"/>
              <w:bidi w:val="0"/>
              <w:jc w:val="center"/>
              <w:rPr>
                <w:rFonts w:hint="default"/>
                <w:lang w:val="en-US" w:eastAsia="zh-CN"/>
              </w:rPr>
            </w:pPr>
            <w:r>
              <w:rPr>
                <w:rFonts w:hint="eastAsia"/>
                <w:lang w:val="en-US" w:eastAsia="zh-CN"/>
              </w:rPr>
              <w:t>无组织排放</w:t>
            </w:r>
          </w:p>
        </w:tc>
      </w:tr>
      <w:tr w14:paraId="340C5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7527DBA">
            <w:pPr>
              <w:pStyle w:val="31"/>
              <w:bidi w:val="0"/>
              <w:jc w:val="center"/>
              <w:rPr>
                <w:rFonts w:hint="default"/>
                <w:lang w:val="en-US" w:eastAsia="zh-CN"/>
              </w:rPr>
            </w:pPr>
            <w:r>
              <w:rPr>
                <w:rFonts w:hint="eastAsia"/>
                <w:lang w:val="en-US" w:eastAsia="zh-CN"/>
              </w:rPr>
              <w:t>油箱残油收集废气</w:t>
            </w:r>
          </w:p>
        </w:tc>
        <w:tc>
          <w:tcPr>
            <w:tcW w:w="0" w:type="auto"/>
            <w:vAlign w:val="center"/>
          </w:tcPr>
          <w:p w14:paraId="24B8EF9F">
            <w:pPr>
              <w:pStyle w:val="31"/>
              <w:bidi w:val="0"/>
              <w:jc w:val="center"/>
              <w:rPr>
                <w:rFonts w:hint="default"/>
                <w:lang w:val="en-US" w:eastAsia="zh-CN"/>
              </w:rPr>
            </w:pPr>
            <w:r>
              <w:rPr>
                <w:rFonts w:hint="eastAsia"/>
                <w:lang w:val="en-US" w:eastAsia="zh-CN"/>
              </w:rPr>
              <w:t>NMHC</w:t>
            </w:r>
          </w:p>
        </w:tc>
        <w:tc>
          <w:tcPr>
            <w:tcW w:w="0" w:type="auto"/>
            <w:vAlign w:val="center"/>
          </w:tcPr>
          <w:p w14:paraId="00B68103">
            <w:pPr>
              <w:pStyle w:val="31"/>
              <w:bidi w:val="0"/>
              <w:jc w:val="center"/>
              <w:rPr>
                <w:rFonts w:hint="default"/>
                <w:lang w:val="en-US" w:eastAsia="zh-CN"/>
              </w:rPr>
            </w:pPr>
            <w:r>
              <w:rPr>
                <w:rFonts w:hint="eastAsia"/>
                <w:lang w:val="en-US" w:eastAsia="zh-CN"/>
              </w:rPr>
              <w:t>0.0002</w:t>
            </w:r>
          </w:p>
        </w:tc>
        <w:tc>
          <w:tcPr>
            <w:tcW w:w="0" w:type="auto"/>
            <w:vAlign w:val="center"/>
          </w:tcPr>
          <w:p w14:paraId="2F8F5D0C">
            <w:pPr>
              <w:pStyle w:val="31"/>
              <w:bidi w:val="0"/>
              <w:jc w:val="center"/>
              <w:rPr>
                <w:rFonts w:hint="default"/>
                <w:lang w:val="en-US" w:eastAsia="zh-CN"/>
              </w:rPr>
            </w:pPr>
            <w:r>
              <w:rPr>
                <w:rFonts w:hint="eastAsia"/>
                <w:lang w:val="en-US" w:eastAsia="zh-CN"/>
              </w:rPr>
              <w:t>/</w:t>
            </w:r>
          </w:p>
        </w:tc>
        <w:tc>
          <w:tcPr>
            <w:tcW w:w="0" w:type="auto"/>
            <w:vAlign w:val="center"/>
          </w:tcPr>
          <w:p w14:paraId="14CFBA8B">
            <w:pPr>
              <w:pStyle w:val="31"/>
              <w:bidi w:val="0"/>
              <w:jc w:val="center"/>
              <w:rPr>
                <w:rFonts w:hint="default"/>
                <w:lang w:val="en-US" w:eastAsia="zh-CN"/>
              </w:rPr>
            </w:pPr>
            <w:r>
              <w:rPr>
                <w:rFonts w:hint="eastAsia"/>
                <w:lang w:val="en-US" w:eastAsia="zh-CN"/>
              </w:rPr>
              <w:t>/</w:t>
            </w:r>
          </w:p>
        </w:tc>
        <w:tc>
          <w:tcPr>
            <w:tcW w:w="0" w:type="auto"/>
            <w:vAlign w:val="center"/>
          </w:tcPr>
          <w:p w14:paraId="2D5CB21F">
            <w:pPr>
              <w:pStyle w:val="31"/>
              <w:bidi w:val="0"/>
              <w:jc w:val="center"/>
              <w:rPr>
                <w:rFonts w:hint="default"/>
                <w:lang w:val="en-US" w:eastAsia="zh-CN"/>
              </w:rPr>
            </w:pPr>
            <w:r>
              <w:rPr>
                <w:rFonts w:hint="eastAsia"/>
                <w:lang w:val="en-US" w:eastAsia="zh-CN"/>
              </w:rPr>
              <w:t>/</w:t>
            </w:r>
          </w:p>
        </w:tc>
        <w:tc>
          <w:tcPr>
            <w:tcW w:w="0" w:type="auto"/>
            <w:vAlign w:val="center"/>
          </w:tcPr>
          <w:p w14:paraId="13DB4D49">
            <w:pPr>
              <w:pStyle w:val="31"/>
              <w:bidi w:val="0"/>
              <w:jc w:val="center"/>
              <w:rPr>
                <w:rFonts w:hint="default"/>
                <w:lang w:val="en-US" w:eastAsia="zh-CN"/>
              </w:rPr>
            </w:pPr>
            <w:r>
              <w:rPr>
                <w:rFonts w:hint="eastAsia"/>
                <w:lang w:val="en-US" w:eastAsia="zh-CN"/>
              </w:rPr>
              <w:t>0.0002</w:t>
            </w:r>
          </w:p>
        </w:tc>
        <w:tc>
          <w:tcPr>
            <w:tcW w:w="0" w:type="auto"/>
            <w:vAlign w:val="center"/>
          </w:tcPr>
          <w:p w14:paraId="3EFB18F0">
            <w:pPr>
              <w:pStyle w:val="31"/>
              <w:bidi w:val="0"/>
              <w:jc w:val="center"/>
              <w:rPr>
                <w:rFonts w:hint="default"/>
                <w:lang w:val="en-US" w:eastAsia="zh-CN"/>
              </w:rPr>
            </w:pPr>
            <w:r>
              <w:rPr>
                <w:rFonts w:hint="eastAsia"/>
                <w:lang w:val="en-US" w:eastAsia="zh-CN"/>
              </w:rPr>
              <w:t>无组织排放</w:t>
            </w:r>
          </w:p>
        </w:tc>
      </w:tr>
      <w:tr w14:paraId="4BBB4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7505D738">
            <w:pPr>
              <w:pStyle w:val="31"/>
              <w:bidi w:val="0"/>
              <w:jc w:val="center"/>
              <w:rPr>
                <w:rFonts w:hint="default"/>
                <w:lang w:val="en-US" w:eastAsia="zh-CN"/>
              </w:rPr>
            </w:pPr>
            <w:r>
              <w:rPr>
                <w:rFonts w:hint="eastAsia"/>
                <w:lang w:val="en-US" w:eastAsia="zh-CN"/>
              </w:rPr>
              <w:t>危废贮存间废气</w:t>
            </w:r>
          </w:p>
        </w:tc>
        <w:tc>
          <w:tcPr>
            <w:tcW w:w="0" w:type="auto"/>
            <w:vAlign w:val="center"/>
          </w:tcPr>
          <w:p w14:paraId="499ED319">
            <w:pPr>
              <w:pStyle w:val="31"/>
              <w:bidi w:val="0"/>
              <w:jc w:val="center"/>
              <w:rPr>
                <w:rFonts w:hint="default"/>
                <w:lang w:val="en-US" w:eastAsia="zh-CN"/>
              </w:rPr>
            </w:pPr>
            <w:r>
              <w:rPr>
                <w:rFonts w:hint="eastAsia"/>
                <w:lang w:val="en-US" w:eastAsia="zh-CN"/>
              </w:rPr>
              <w:t>NMHC</w:t>
            </w:r>
          </w:p>
        </w:tc>
        <w:tc>
          <w:tcPr>
            <w:tcW w:w="0" w:type="auto"/>
            <w:vAlign w:val="center"/>
          </w:tcPr>
          <w:p w14:paraId="55536FAF">
            <w:pPr>
              <w:pStyle w:val="31"/>
              <w:bidi w:val="0"/>
              <w:jc w:val="center"/>
              <w:rPr>
                <w:rFonts w:hint="default"/>
                <w:lang w:val="en-US" w:eastAsia="zh-CN"/>
              </w:rPr>
            </w:pPr>
            <w:r>
              <w:rPr>
                <w:rFonts w:hint="eastAsia"/>
                <w:lang w:val="en-US" w:eastAsia="zh-CN"/>
              </w:rPr>
              <w:t>0.04</w:t>
            </w:r>
          </w:p>
        </w:tc>
        <w:tc>
          <w:tcPr>
            <w:tcW w:w="0" w:type="auto"/>
            <w:vAlign w:val="center"/>
          </w:tcPr>
          <w:p w14:paraId="6C923C58">
            <w:pPr>
              <w:pStyle w:val="31"/>
              <w:bidi w:val="0"/>
              <w:jc w:val="center"/>
              <w:rPr>
                <w:rFonts w:hint="default"/>
                <w:lang w:val="en-US" w:eastAsia="zh-CN"/>
              </w:rPr>
            </w:pPr>
            <w:r>
              <w:rPr>
                <w:rFonts w:hint="eastAsia"/>
                <w:lang w:val="en-US" w:eastAsia="zh-CN"/>
              </w:rPr>
              <w:t>/</w:t>
            </w:r>
          </w:p>
        </w:tc>
        <w:tc>
          <w:tcPr>
            <w:tcW w:w="0" w:type="auto"/>
            <w:vAlign w:val="center"/>
          </w:tcPr>
          <w:p w14:paraId="6F964C62">
            <w:pPr>
              <w:pStyle w:val="31"/>
              <w:bidi w:val="0"/>
              <w:jc w:val="center"/>
              <w:rPr>
                <w:rFonts w:hint="default"/>
                <w:lang w:val="en-US" w:eastAsia="zh-CN"/>
              </w:rPr>
            </w:pPr>
            <w:r>
              <w:rPr>
                <w:rFonts w:hint="eastAsia"/>
                <w:lang w:val="en-US" w:eastAsia="zh-CN"/>
              </w:rPr>
              <w:t>/</w:t>
            </w:r>
          </w:p>
        </w:tc>
        <w:tc>
          <w:tcPr>
            <w:tcW w:w="0" w:type="auto"/>
            <w:vAlign w:val="center"/>
          </w:tcPr>
          <w:p w14:paraId="5180F7F6">
            <w:pPr>
              <w:pStyle w:val="31"/>
              <w:bidi w:val="0"/>
              <w:jc w:val="center"/>
              <w:rPr>
                <w:rFonts w:hint="default"/>
                <w:lang w:val="en-US" w:eastAsia="zh-CN"/>
              </w:rPr>
            </w:pPr>
            <w:r>
              <w:rPr>
                <w:rFonts w:hint="eastAsia"/>
                <w:lang w:val="en-US" w:eastAsia="zh-CN"/>
              </w:rPr>
              <w:t>/</w:t>
            </w:r>
          </w:p>
        </w:tc>
        <w:tc>
          <w:tcPr>
            <w:tcW w:w="0" w:type="auto"/>
            <w:vAlign w:val="center"/>
          </w:tcPr>
          <w:p w14:paraId="4E22F5D5">
            <w:pPr>
              <w:pStyle w:val="31"/>
              <w:bidi w:val="0"/>
              <w:jc w:val="center"/>
              <w:rPr>
                <w:rFonts w:hint="default"/>
                <w:lang w:val="en-US" w:eastAsia="zh-CN"/>
              </w:rPr>
            </w:pPr>
            <w:r>
              <w:rPr>
                <w:rFonts w:hint="eastAsia"/>
                <w:lang w:val="en-US" w:eastAsia="zh-CN"/>
              </w:rPr>
              <w:t>0.04</w:t>
            </w:r>
          </w:p>
        </w:tc>
        <w:tc>
          <w:tcPr>
            <w:tcW w:w="0" w:type="auto"/>
            <w:vAlign w:val="center"/>
          </w:tcPr>
          <w:p w14:paraId="65F4D133">
            <w:pPr>
              <w:pStyle w:val="31"/>
              <w:bidi w:val="0"/>
              <w:jc w:val="center"/>
              <w:rPr>
                <w:rFonts w:hint="default"/>
                <w:lang w:val="en-US" w:eastAsia="zh-CN"/>
              </w:rPr>
            </w:pPr>
            <w:r>
              <w:rPr>
                <w:rFonts w:hint="eastAsia"/>
                <w:lang w:val="en-US" w:eastAsia="zh-CN"/>
              </w:rPr>
              <w:t>无组织排放</w:t>
            </w:r>
          </w:p>
        </w:tc>
      </w:tr>
      <w:tr w14:paraId="23428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575FD204">
            <w:pPr>
              <w:pStyle w:val="31"/>
              <w:bidi w:val="0"/>
              <w:jc w:val="center"/>
              <w:rPr>
                <w:rFonts w:hint="default"/>
                <w:lang w:val="en-US" w:eastAsia="zh-CN"/>
              </w:rPr>
            </w:pPr>
            <w:r>
              <w:rPr>
                <w:rFonts w:hint="eastAsia"/>
                <w:lang w:val="en-US" w:eastAsia="zh-CN"/>
              </w:rPr>
              <w:t>制冷剂废气</w:t>
            </w:r>
          </w:p>
        </w:tc>
        <w:tc>
          <w:tcPr>
            <w:tcW w:w="0" w:type="auto"/>
            <w:vAlign w:val="center"/>
          </w:tcPr>
          <w:p w14:paraId="3B66DF33">
            <w:pPr>
              <w:pStyle w:val="31"/>
              <w:bidi w:val="0"/>
              <w:jc w:val="center"/>
              <w:rPr>
                <w:rFonts w:hint="default"/>
                <w:lang w:val="en-US" w:eastAsia="zh-CN"/>
              </w:rPr>
            </w:pPr>
            <w:r>
              <w:rPr>
                <w:rFonts w:hint="eastAsia"/>
                <w:lang w:val="en-US" w:eastAsia="zh-CN"/>
              </w:rPr>
              <w:t>氟利昂</w:t>
            </w:r>
          </w:p>
        </w:tc>
        <w:tc>
          <w:tcPr>
            <w:tcW w:w="0" w:type="auto"/>
            <w:vAlign w:val="center"/>
          </w:tcPr>
          <w:p w14:paraId="672F57F0">
            <w:pPr>
              <w:pStyle w:val="31"/>
              <w:bidi w:val="0"/>
              <w:jc w:val="center"/>
              <w:rPr>
                <w:rFonts w:hint="default"/>
                <w:lang w:val="en-US" w:eastAsia="zh-CN"/>
              </w:rPr>
            </w:pPr>
            <w:r>
              <w:rPr>
                <w:rFonts w:hint="eastAsia"/>
                <w:lang w:val="en-US" w:eastAsia="zh-CN"/>
              </w:rPr>
              <w:t>极少量</w:t>
            </w:r>
          </w:p>
        </w:tc>
        <w:tc>
          <w:tcPr>
            <w:tcW w:w="0" w:type="auto"/>
            <w:vAlign w:val="center"/>
          </w:tcPr>
          <w:p w14:paraId="716D192E">
            <w:pPr>
              <w:pStyle w:val="31"/>
              <w:bidi w:val="0"/>
              <w:jc w:val="center"/>
              <w:rPr>
                <w:rFonts w:hint="default"/>
                <w:lang w:val="en-US" w:eastAsia="zh-CN"/>
              </w:rPr>
            </w:pPr>
            <w:r>
              <w:rPr>
                <w:rFonts w:hint="eastAsia"/>
                <w:lang w:val="en-US" w:eastAsia="zh-CN"/>
              </w:rPr>
              <w:t>/</w:t>
            </w:r>
          </w:p>
        </w:tc>
        <w:tc>
          <w:tcPr>
            <w:tcW w:w="0" w:type="auto"/>
            <w:vAlign w:val="center"/>
          </w:tcPr>
          <w:p w14:paraId="3A82EB0D">
            <w:pPr>
              <w:pStyle w:val="31"/>
              <w:bidi w:val="0"/>
              <w:jc w:val="center"/>
              <w:rPr>
                <w:rFonts w:hint="default"/>
                <w:lang w:val="en-US" w:eastAsia="zh-CN"/>
              </w:rPr>
            </w:pPr>
            <w:r>
              <w:rPr>
                <w:rFonts w:hint="eastAsia"/>
                <w:lang w:val="en-US" w:eastAsia="zh-CN"/>
              </w:rPr>
              <w:t>/</w:t>
            </w:r>
          </w:p>
        </w:tc>
        <w:tc>
          <w:tcPr>
            <w:tcW w:w="0" w:type="auto"/>
            <w:vAlign w:val="center"/>
          </w:tcPr>
          <w:p w14:paraId="4E87879E">
            <w:pPr>
              <w:pStyle w:val="31"/>
              <w:bidi w:val="0"/>
              <w:jc w:val="center"/>
              <w:rPr>
                <w:rFonts w:hint="default"/>
                <w:lang w:val="en-US" w:eastAsia="zh-CN"/>
              </w:rPr>
            </w:pPr>
            <w:r>
              <w:rPr>
                <w:rFonts w:hint="eastAsia"/>
                <w:lang w:val="en-US" w:eastAsia="zh-CN"/>
              </w:rPr>
              <w:t>/</w:t>
            </w:r>
          </w:p>
        </w:tc>
        <w:tc>
          <w:tcPr>
            <w:tcW w:w="0" w:type="auto"/>
            <w:vAlign w:val="center"/>
          </w:tcPr>
          <w:p w14:paraId="2D522CC6">
            <w:pPr>
              <w:pStyle w:val="31"/>
              <w:bidi w:val="0"/>
              <w:jc w:val="center"/>
              <w:rPr>
                <w:rFonts w:hint="default"/>
                <w:lang w:val="en-US" w:eastAsia="zh-CN"/>
              </w:rPr>
            </w:pPr>
            <w:r>
              <w:rPr>
                <w:rFonts w:hint="eastAsia"/>
                <w:lang w:val="en-US" w:eastAsia="zh-CN"/>
              </w:rPr>
              <w:t>极少量</w:t>
            </w:r>
          </w:p>
        </w:tc>
        <w:tc>
          <w:tcPr>
            <w:tcW w:w="0" w:type="auto"/>
            <w:vAlign w:val="center"/>
          </w:tcPr>
          <w:p w14:paraId="60B85A96">
            <w:pPr>
              <w:pStyle w:val="31"/>
              <w:bidi w:val="0"/>
              <w:jc w:val="center"/>
              <w:rPr>
                <w:rFonts w:hint="default"/>
                <w:lang w:val="en-US" w:eastAsia="zh-CN"/>
              </w:rPr>
            </w:pPr>
            <w:r>
              <w:rPr>
                <w:rFonts w:hint="eastAsia"/>
                <w:lang w:val="en-US" w:eastAsia="zh-CN"/>
              </w:rPr>
              <w:t>无组织排放</w:t>
            </w:r>
          </w:p>
        </w:tc>
      </w:tr>
    </w:tbl>
    <w:p w14:paraId="56E4BC21">
      <w:pPr>
        <w:pStyle w:val="33"/>
      </w:pPr>
      <w:bookmarkStart w:id="115" w:name="_Toc4492"/>
      <w:r>
        <w:rPr>
          <w:rFonts w:hint="eastAsia"/>
        </w:rPr>
        <w:t>3.</w:t>
      </w:r>
      <w:r>
        <w:rPr>
          <w:rFonts w:hint="eastAsia"/>
          <w:lang w:val="en-US" w:eastAsia="zh-CN"/>
        </w:rPr>
        <w:t>5</w:t>
      </w:r>
      <w:r>
        <w:rPr>
          <w:rFonts w:hint="eastAsia"/>
        </w:rPr>
        <w:t>.2废水</w:t>
      </w:r>
      <w:bookmarkEnd w:id="115"/>
    </w:p>
    <w:p w14:paraId="2FBE58EA">
      <w:pPr>
        <w:pStyle w:val="21"/>
        <w:ind w:firstLine="480"/>
        <w:rPr>
          <w:u w:val="none"/>
        </w:rPr>
      </w:pPr>
      <w:r>
        <w:rPr>
          <w:rFonts w:hint="eastAsia"/>
          <w:u w:val="none"/>
        </w:rPr>
        <w:t>1、船舶清洗废水</w:t>
      </w:r>
    </w:p>
    <w:p w14:paraId="758A16B5">
      <w:pPr>
        <w:pStyle w:val="21"/>
        <w:ind w:firstLine="480"/>
        <w:rPr>
          <w:u w:val="none"/>
        </w:rPr>
      </w:pPr>
      <w:r>
        <w:rPr>
          <w:rFonts w:hint="eastAsia"/>
          <w:u w:val="none"/>
        </w:rPr>
        <w:t>主要为船舶舱内、舱外在拆解前需要进行清洗，以去除残留的油污和沉积物，便于后续拆解作业，</w:t>
      </w:r>
      <w:r>
        <w:rPr>
          <w:rFonts w:hint="eastAsia" w:cs="Times New Roman"/>
          <w:szCs w:val="24"/>
          <w:u w:val="none"/>
        </w:rPr>
        <w:t>参照《工业源产排污核算方法和系数手册-42废弃资源综合利用行业系数手册》（环境部公告2021年第24号），报废船舶“拆解+切割”工段废水产生量为0.03t/t原料，本项目年拆解船舶重量约为</w:t>
      </w:r>
      <w:r>
        <w:rPr>
          <w:rFonts w:hint="eastAsia" w:cs="Times New Roman"/>
          <w:szCs w:val="24"/>
          <w:u w:val="none"/>
          <w:lang w:val="en-US" w:eastAsia="zh-CN"/>
        </w:rPr>
        <w:t>3440</w:t>
      </w:r>
      <w:r>
        <w:rPr>
          <w:rFonts w:hint="eastAsia" w:cs="Times New Roman"/>
          <w:szCs w:val="24"/>
          <w:u w:val="none"/>
        </w:rPr>
        <w:t>t，则产生废水量约为</w:t>
      </w:r>
      <w:r>
        <w:rPr>
          <w:rFonts w:hint="eastAsia" w:cs="Times New Roman"/>
          <w:szCs w:val="24"/>
          <w:u w:val="none"/>
          <w:lang w:val="en-US" w:eastAsia="zh-CN"/>
        </w:rPr>
        <w:t>103.2</w:t>
      </w:r>
      <w:r>
        <w:rPr>
          <w:rFonts w:hint="eastAsia" w:cs="Times New Roman"/>
          <w:szCs w:val="24"/>
          <w:u w:val="none"/>
        </w:rPr>
        <w:t>t/a。其主要污染物为COD、石油类等，COD产生系数为6.4g/t原料，则产生量为</w:t>
      </w:r>
      <w:r>
        <w:rPr>
          <w:rFonts w:hint="eastAsia" w:cs="Times New Roman"/>
          <w:szCs w:val="24"/>
          <w:u w:val="none"/>
          <w:lang w:val="en-US" w:eastAsia="zh-CN"/>
        </w:rPr>
        <w:t>0.022</w:t>
      </w:r>
      <w:r>
        <w:rPr>
          <w:rFonts w:hint="eastAsia" w:cs="Times New Roman"/>
          <w:szCs w:val="24"/>
          <w:u w:val="none"/>
        </w:rPr>
        <w:t>t/a，产生浓度约为</w:t>
      </w:r>
      <w:r>
        <w:rPr>
          <w:rFonts w:hint="eastAsia" w:cs="Times New Roman"/>
          <w:szCs w:val="24"/>
          <w:u w:val="none"/>
          <w:lang w:val="en-US" w:eastAsia="zh-CN"/>
        </w:rPr>
        <w:t>213.33</w:t>
      </w:r>
      <w:r>
        <w:rPr>
          <w:rFonts w:hint="eastAsia" w:cs="Times New Roman"/>
          <w:szCs w:val="24"/>
          <w:u w:val="none"/>
        </w:rPr>
        <w:t>mg/L；石油类产生系数约为0.5g/t原料，则产生量为</w:t>
      </w:r>
      <w:r>
        <w:rPr>
          <w:rFonts w:hint="eastAsia" w:cs="Times New Roman"/>
          <w:szCs w:val="24"/>
          <w:u w:val="none"/>
          <w:lang w:val="en-US" w:eastAsia="zh-CN"/>
        </w:rPr>
        <w:t>0.002</w:t>
      </w:r>
      <w:r>
        <w:rPr>
          <w:rFonts w:hint="eastAsia" w:cs="Times New Roman"/>
          <w:szCs w:val="24"/>
          <w:u w:val="none"/>
        </w:rPr>
        <w:t>t/a，产生浓度为</w:t>
      </w:r>
      <w:r>
        <w:rPr>
          <w:rFonts w:hint="eastAsia" w:cs="Times New Roman"/>
          <w:szCs w:val="24"/>
          <w:u w:val="none"/>
          <w:lang w:val="en-US" w:eastAsia="zh-CN"/>
        </w:rPr>
        <w:t>16.67</w:t>
      </w:r>
      <w:r>
        <w:rPr>
          <w:rFonts w:hint="eastAsia" w:cs="Times New Roman"/>
          <w:szCs w:val="24"/>
          <w:u w:val="none"/>
        </w:rPr>
        <w:t>mg/L。其次，废水中悬浮物浓度也会比较高，《手册》中未给出产污系数，类比</w:t>
      </w:r>
      <w:r>
        <w:rPr>
          <w:rFonts w:hint="eastAsia"/>
          <w:u w:val="none"/>
        </w:rPr>
        <w:t>《</w:t>
      </w:r>
      <w:r>
        <w:rPr>
          <w:u w:val="none"/>
        </w:rPr>
        <w:t>辽宁浩源船舶拆解有限公司船舶拆解项目</w:t>
      </w:r>
      <w:r>
        <w:rPr>
          <w:rFonts w:hint="eastAsia"/>
          <w:u w:val="none"/>
        </w:rPr>
        <w:t>竣工环境保护验收监测报告》中监测数据，其SS浓度在1000~1200mg/L之间，本次考虑最不利情况，按1200mg/L计算，则SS产生量为</w:t>
      </w:r>
      <w:r>
        <w:rPr>
          <w:rFonts w:hint="eastAsia"/>
          <w:u w:val="none"/>
          <w:lang w:val="en-US" w:eastAsia="zh-CN"/>
        </w:rPr>
        <w:t>0.124</w:t>
      </w:r>
      <w:r>
        <w:rPr>
          <w:rFonts w:hint="eastAsia"/>
          <w:u w:val="none"/>
        </w:rPr>
        <w:t>t/a。</w:t>
      </w:r>
    </w:p>
    <w:p w14:paraId="78EA8D5D">
      <w:pPr>
        <w:pStyle w:val="21"/>
        <w:ind w:firstLine="480"/>
        <w:rPr>
          <w:u w:val="none"/>
        </w:rPr>
      </w:pPr>
      <w:r>
        <w:rPr>
          <w:rFonts w:hint="eastAsia"/>
          <w:u w:val="none"/>
        </w:rPr>
        <w:t>2、船台清洗废水</w:t>
      </w:r>
    </w:p>
    <w:p w14:paraId="6173A932">
      <w:pPr>
        <w:pStyle w:val="21"/>
        <w:ind w:firstLine="480"/>
        <w:rPr>
          <w:u w:val="none"/>
        </w:rPr>
      </w:pPr>
      <w:r>
        <w:rPr>
          <w:rFonts w:hint="eastAsia"/>
          <w:u w:val="none"/>
        </w:rPr>
        <w:t>根据水平衡计算，船台清洗废水产生量约为400m</w:t>
      </w:r>
      <w:r>
        <w:rPr>
          <w:rFonts w:hint="eastAsia"/>
          <w:u w:val="none"/>
          <w:vertAlign w:val="superscript"/>
        </w:rPr>
        <w:t>3</w:t>
      </w:r>
      <w:r>
        <w:rPr>
          <w:rFonts w:hint="eastAsia"/>
          <w:u w:val="none"/>
        </w:rPr>
        <w:t>/a，其中主要污染物为石油类和SS，废水污染物浓度与船舶清洗废水接近，COD：213.33mg/L、石油类：16.</w:t>
      </w:r>
      <w:r>
        <w:rPr>
          <w:rFonts w:hint="eastAsia"/>
          <w:u w:val="none"/>
          <w:lang w:val="en-US" w:eastAsia="zh-CN"/>
        </w:rPr>
        <w:t>67</w:t>
      </w:r>
      <w:r>
        <w:rPr>
          <w:rFonts w:hint="eastAsia"/>
          <w:u w:val="none"/>
        </w:rPr>
        <w:t>mg/L、SS：1200mg/L，产生量分别为COD：</w:t>
      </w:r>
      <w:r>
        <w:rPr>
          <w:rFonts w:hint="eastAsia"/>
          <w:u w:val="none"/>
          <w:lang w:val="en-US" w:eastAsia="zh-CN"/>
        </w:rPr>
        <w:t>0.085</w:t>
      </w:r>
      <w:r>
        <w:rPr>
          <w:rFonts w:hint="eastAsia"/>
          <w:u w:val="none"/>
        </w:rPr>
        <w:t>t/a、石油类：</w:t>
      </w:r>
      <w:r>
        <w:rPr>
          <w:rFonts w:hint="eastAsia"/>
          <w:u w:val="none"/>
          <w:lang w:val="en-US" w:eastAsia="zh-CN"/>
        </w:rPr>
        <w:t>0.007</w:t>
      </w:r>
      <w:r>
        <w:rPr>
          <w:rFonts w:hint="eastAsia"/>
          <w:u w:val="none"/>
        </w:rPr>
        <w:t>t/a、SS：0.48</w:t>
      </w:r>
      <w:r>
        <w:rPr>
          <w:rFonts w:hint="eastAsia"/>
          <w:u w:val="none"/>
          <w:lang w:val="en-US" w:eastAsia="zh-CN"/>
        </w:rPr>
        <w:t>0</w:t>
      </w:r>
      <w:r>
        <w:rPr>
          <w:rFonts w:hint="eastAsia"/>
          <w:u w:val="none"/>
        </w:rPr>
        <w:t>t/a。</w:t>
      </w:r>
    </w:p>
    <w:p w14:paraId="1349FF15">
      <w:pPr>
        <w:pStyle w:val="21"/>
        <w:ind w:firstLine="480"/>
        <w:rPr>
          <w:u w:val="none"/>
        </w:rPr>
      </w:pPr>
      <w:r>
        <w:rPr>
          <w:rFonts w:hint="eastAsia"/>
          <w:u w:val="none"/>
        </w:rPr>
        <w:t>3、石棉拆解废水</w:t>
      </w:r>
    </w:p>
    <w:p w14:paraId="4F1E98EE">
      <w:pPr>
        <w:pStyle w:val="21"/>
        <w:ind w:firstLine="480"/>
        <w:rPr>
          <w:rFonts w:hint="eastAsia"/>
          <w:u w:val="none"/>
        </w:rPr>
      </w:pPr>
      <w:r>
        <w:rPr>
          <w:rFonts w:hint="eastAsia"/>
          <w:u w:val="none"/>
        </w:rPr>
        <w:t>石棉拆解用水量约为</w:t>
      </w:r>
      <w:r>
        <w:rPr>
          <w:rFonts w:hint="eastAsia"/>
          <w:u w:val="none"/>
          <w:lang w:val="en-US" w:eastAsia="zh-CN"/>
        </w:rPr>
        <w:t>30</w:t>
      </w:r>
      <w:r>
        <w:rPr>
          <w:rFonts w:hint="eastAsia"/>
          <w:u w:val="none"/>
        </w:rPr>
        <w:t>m</w:t>
      </w:r>
      <w:r>
        <w:rPr>
          <w:rFonts w:hint="eastAsia"/>
          <w:u w:val="none"/>
          <w:vertAlign w:val="superscript"/>
        </w:rPr>
        <w:t>3</w:t>
      </w:r>
      <w:r>
        <w:rPr>
          <w:rFonts w:hint="eastAsia"/>
          <w:u w:val="none"/>
        </w:rPr>
        <w:t>/a，损耗率按10%计算，则废水量约为</w:t>
      </w:r>
      <w:r>
        <w:rPr>
          <w:rFonts w:hint="eastAsia"/>
          <w:u w:val="none"/>
          <w:lang w:val="en-US" w:eastAsia="zh-CN"/>
        </w:rPr>
        <w:t>30</w:t>
      </w:r>
      <w:r>
        <w:rPr>
          <w:rFonts w:hint="eastAsia"/>
          <w:u w:val="none"/>
        </w:rPr>
        <w:t>m</w:t>
      </w:r>
      <w:r>
        <w:rPr>
          <w:rFonts w:hint="eastAsia"/>
          <w:u w:val="none"/>
          <w:vertAlign w:val="superscript"/>
        </w:rPr>
        <w:t>3</w:t>
      </w:r>
      <w:r>
        <w:rPr>
          <w:rFonts w:hint="eastAsia"/>
          <w:u w:val="none"/>
        </w:rPr>
        <w:t>/a，全部进入石棉内，与石棉一并作为危废处置，不计入废水。</w:t>
      </w:r>
    </w:p>
    <w:p w14:paraId="0EB48FB1">
      <w:pPr>
        <w:pStyle w:val="21"/>
        <w:ind w:firstLine="480"/>
        <w:rPr>
          <w:rFonts w:hint="eastAsia"/>
          <w:u w:val="none"/>
          <w:lang w:val="en-US" w:eastAsia="zh-CN"/>
        </w:rPr>
      </w:pPr>
      <w:r>
        <w:rPr>
          <w:rFonts w:hint="eastAsia"/>
          <w:u w:val="none"/>
          <w:lang w:val="en-US" w:eastAsia="zh-CN"/>
        </w:rPr>
        <w:t>4、压舱废水</w:t>
      </w:r>
    </w:p>
    <w:p w14:paraId="7AC68D8E">
      <w:pPr>
        <w:pStyle w:val="21"/>
        <w:ind w:firstLine="480"/>
        <w:rPr>
          <w:rFonts w:hint="default"/>
          <w:u w:val="none"/>
          <w:vertAlign w:val="baseline"/>
          <w:lang w:val="en-US" w:eastAsia="zh-CN"/>
        </w:rPr>
      </w:pPr>
      <w:r>
        <w:rPr>
          <w:rFonts w:hint="eastAsia"/>
          <w:u w:val="none"/>
          <w:lang w:val="en-US" w:eastAsia="zh-CN"/>
        </w:rPr>
        <w:t>根据水平衡分析，压舱废水产生量约为495m</w:t>
      </w:r>
      <w:r>
        <w:rPr>
          <w:rFonts w:hint="eastAsia"/>
          <w:u w:val="none"/>
          <w:vertAlign w:val="superscript"/>
          <w:lang w:val="en-US" w:eastAsia="zh-CN"/>
        </w:rPr>
        <w:t>3</w:t>
      </w:r>
      <w:r>
        <w:rPr>
          <w:rFonts w:hint="eastAsia"/>
          <w:u w:val="none"/>
          <w:vertAlign w:val="baseline"/>
          <w:lang w:val="en-US" w:eastAsia="zh-CN"/>
        </w:rPr>
        <w:t>/a，压舱水为船舶卸货后为保障船舶配重和吃水，保障船舶稳定航行，用于配重的水，一般直接从河流抽取，压舱水箱为独立水箱，不会接触船舶运载货物及其他可能污染途径，一般较为干净，各污染物浓度参考船舶清洗废水污染物浓度，取</w:t>
      </w:r>
      <w:r>
        <w:rPr>
          <w:rFonts w:hint="eastAsia"/>
          <w:u w:val="none"/>
        </w:rPr>
        <w:t>COD：213.33mg/L、石油类：16.</w:t>
      </w:r>
      <w:r>
        <w:rPr>
          <w:rFonts w:hint="eastAsia"/>
          <w:u w:val="none"/>
          <w:lang w:val="en-US" w:eastAsia="zh-CN"/>
        </w:rPr>
        <w:t>67</w:t>
      </w:r>
      <w:r>
        <w:rPr>
          <w:rFonts w:hint="eastAsia"/>
          <w:u w:val="none"/>
        </w:rPr>
        <w:t>mg/L、SS：1200mg/L，产生量分别为COD：</w:t>
      </w:r>
      <w:r>
        <w:rPr>
          <w:rFonts w:hint="eastAsia"/>
          <w:u w:val="none"/>
          <w:lang w:val="en-US" w:eastAsia="zh-CN"/>
        </w:rPr>
        <w:t>0.106</w:t>
      </w:r>
      <w:r>
        <w:rPr>
          <w:rFonts w:hint="eastAsia"/>
          <w:u w:val="none"/>
        </w:rPr>
        <w:t>t/a、石油类：</w:t>
      </w:r>
      <w:r>
        <w:rPr>
          <w:rFonts w:hint="eastAsia"/>
          <w:u w:val="none"/>
          <w:lang w:val="en-US" w:eastAsia="zh-CN"/>
        </w:rPr>
        <w:t>0.008</w:t>
      </w:r>
      <w:r>
        <w:rPr>
          <w:rFonts w:hint="eastAsia"/>
          <w:u w:val="none"/>
        </w:rPr>
        <w:t>t/a、SS：</w:t>
      </w:r>
      <w:r>
        <w:rPr>
          <w:rFonts w:hint="eastAsia"/>
          <w:u w:val="none"/>
          <w:lang w:val="en-US" w:eastAsia="zh-CN"/>
        </w:rPr>
        <w:t>0.594</w:t>
      </w:r>
      <w:r>
        <w:rPr>
          <w:rFonts w:hint="eastAsia"/>
          <w:u w:val="none"/>
        </w:rPr>
        <w:t>t/a。</w:t>
      </w:r>
    </w:p>
    <w:p w14:paraId="458CDFA3">
      <w:pPr>
        <w:pStyle w:val="21"/>
        <w:ind w:firstLine="480"/>
        <w:rPr>
          <w:u w:val="none"/>
        </w:rPr>
      </w:pPr>
      <w:r>
        <w:rPr>
          <w:rFonts w:hint="eastAsia"/>
          <w:u w:val="none"/>
          <w:lang w:val="en-US" w:eastAsia="zh-CN"/>
        </w:rPr>
        <w:t>5</w:t>
      </w:r>
      <w:r>
        <w:rPr>
          <w:rFonts w:hint="eastAsia"/>
          <w:u w:val="none"/>
        </w:rPr>
        <w:t>、初期雨水</w:t>
      </w:r>
    </w:p>
    <w:p w14:paraId="13105237">
      <w:pPr>
        <w:pStyle w:val="21"/>
        <w:ind w:firstLine="480"/>
        <w:rPr>
          <w:u w:val="none"/>
        </w:rPr>
      </w:pPr>
      <w:r>
        <w:rPr>
          <w:rFonts w:hint="eastAsia"/>
          <w:u w:val="none"/>
        </w:rPr>
        <w:t>根据水平衡计算，初期雨水收集量约为4500m</w:t>
      </w:r>
      <w:r>
        <w:rPr>
          <w:rFonts w:hint="eastAsia"/>
          <w:u w:val="none"/>
          <w:vertAlign w:val="superscript"/>
        </w:rPr>
        <w:t>3</w:t>
      </w:r>
      <w:r>
        <w:rPr>
          <w:rFonts w:hint="eastAsia"/>
          <w:u w:val="none"/>
        </w:rPr>
        <w:t>/a，其中主要污染物为石油类和SS，</w:t>
      </w:r>
      <w:r>
        <w:rPr>
          <w:rFonts w:hint="eastAsia" w:cs="Times New Roman"/>
          <w:szCs w:val="24"/>
          <w:u w:val="none"/>
        </w:rPr>
        <w:t>初期雨水污染物浓度与船台清洗废水基本一致，</w:t>
      </w:r>
      <w:r>
        <w:rPr>
          <w:rFonts w:hint="eastAsia"/>
          <w:u w:val="none"/>
        </w:rPr>
        <w:t>COD：213.33mg/L、石油类：16.89mg/L、SS：1200mg/L，产生量分别为COD：0.96</w:t>
      </w:r>
      <w:r>
        <w:rPr>
          <w:rFonts w:hint="eastAsia"/>
          <w:u w:val="none"/>
          <w:lang w:val="en-US" w:eastAsia="zh-CN"/>
        </w:rPr>
        <w:t>0</w:t>
      </w:r>
      <w:r>
        <w:rPr>
          <w:rFonts w:hint="eastAsia"/>
          <w:u w:val="none"/>
        </w:rPr>
        <w:t>t/a、石油类：0.076t/a、SS：5.40</w:t>
      </w:r>
      <w:r>
        <w:rPr>
          <w:rFonts w:hint="eastAsia"/>
          <w:u w:val="none"/>
          <w:lang w:val="en-US" w:eastAsia="zh-CN"/>
        </w:rPr>
        <w:t>0</w:t>
      </w:r>
      <w:r>
        <w:rPr>
          <w:rFonts w:hint="eastAsia"/>
          <w:u w:val="none"/>
        </w:rPr>
        <w:t>t/a。</w:t>
      </w:r>
    </w:p>
    <w:p w14:paraId="3B425AB9">
      <w:pPr>
        <w:pStyle w:val="21"/>
        <w:ind w:firstLine="480"/>
        <w:rPr>
          <w:u w:val="none"/>
        </w:rPr>
      </w:pPr>
      <w:r>
        <w:rPr>
          <w:rFonts w:hint="eastAsia"/>
          <w:u w:val="none"/>
          <w:lang w:val="en-US" w:eastAsia="zh-CN"/>
        </w:rPr>
        <w:t>6</w:t>
      </w:r>
      <w:r>
        <w:rPr>
          <w:rFonts w:hint="eastAsia"/>
          <w:u w:val="none"/>
        </w:rPr>
        <w:t>、舱底含油污水</w:t>
      </w:r>
    </w:p>
    <w:p w14:paraId="678606D0">
      <w:pPr>
        <w:pStyle w:val="21"/>
        <w:ind w:firstLine="480"/>
        <w:rPr>
          <w:rFonts w:hint="eastAsia"/>
          <w:u w:val="none"/>
        </w:rPr>
      </w:pPr>
      <w:r>
        <w:rPr>
          <w:rFonts w:hint="eastAsia"/>
          <w:u w:val="none"/>
        </w:rPr>
        <w:t>机舱含油污水产生于船舶底仓，它主要是雨水、艉轴管、水柜、水管渗漏等形成的。根据建设单位提供资料，船舶机舱油污水量与船舶载重量有关，</w:t>
      </w:r>
      <w:r>
        <w:rPr>
          <w:rFonts w:hint="eastAsia"/>
          <w:u w:val="none"/>
          <w:lang w:val="en-US" w:eastAsia="zh-CN"/>
        </w:rPr>
        <w:t>一般为船载重的0.25%，根据表3.2-3拆解船型，按各类船舶的最大载重考虑，总载重约为20750t，则舱底含油废水产生量约为51.88t/a</w:t>
      </w:r>
      <w:r>
        <w:rPr>
          <w:rFonts w:hint="eastAsia"/>
          <w:u w:val="none"/>
        </w:rPr>
        <w:t>，舱底含油污水中石油类浓度较高，本项目不具备处理能力，委托有资质的含油污水处理单位处置。</w:t>
      </w:r>
    </w:p>
    <w:p w14:paraId="5FBFC847">
      <w:pPr>
        <w:pStyle w:val="21"/>
        <w:ind w:firstLine="480"/>
        <w:rPr>
          <w:rFonts w:hint="eastAsia"/>
          <w:u w:val="none"/>
          <w:lang w:val="en-US" w:eastAsia="zh-CN"/>
        </w:rPr>
      </w:pPr>
      <w:r>
        <w:rPr>
          <w:rFonts w:hint="eastAsia"/>
          <w:u w:val="none"/>
          <w:lang w:val="en-US" w:eastAsia="zh-CN"/>
        </w:rPr>
        <w:t>7、生活污水</w:t>
      </w:r>
    </w:p>
    <w:p w14:paraId="50CEA827">
      <w:pPr>
        <w:pStyle w:val="21"/>
        <w:ind w:firstLine="480"/>
        <w:rPr>
          <w:rFonts w:hint="default" w:eastAsia="宋体"/>
          <w:u w:val="none"/>
          <w:vertAlign w:val="baseline"/>
          <w:lang w:val="en-US" w:eastAsia="zh-CN"/>
        </w:rPr>
      </w:pPr>
      <w:r>
        <w:rPr>
          <w:rFonts w:hint="eastAsia"/>
          <w:u w:val="none"/>
        </w:rPr>
        <w:t>根据前文水平衡分析，项目生活污水产生量为</w:t>
      </w:r>
      <w:r>
        <w:rPr>
          <w:rFonts w:hint="eastAsia"/>
          <w:u w:val="none"/>
          <w:lang w:val="en-US" w:eastAsia="zh-CN"/>
        </w:rPr>
        <w:t>108</w:t>
      </w:r>
      <w:r>
        <w:rPr>
          <w:rFonts w:hint="eastAsia"/>
          <w:u w:val="none"/>
        </w:rPr>
        <w:t>m</w:t>
      </w:r>
      <w:r>
        <w:rPr>
          <w:rFonts w:hint="eastAsia"/>
          <w:u w:val="none"/>
          <w:vertAlign w:val="superscript"/>
        </w:rPr>
        <w:t>3</w:t>
      </w:r>
      <w:r>
        <w:rPr>
          <w:rFonts w:hint="eastAsia"/>
          <w:u w:val="none"/>
        </w:rPr>
        <w:t>/a，</w:t>
      </w:r>
      <w:r>
        <w:rPr>
          <w:u w:val="none"/>
          <w:lang w:bidi="ar"/>
        </w:rPr>
        <w:t>参照《第二次全国污染源普查生活污染源产排污系数手册（试用版）》中的表 6-5（五区城镇生活源水污染物产污校核系数—县城—产污系数平均值）且结合同类型项目</w:t>
      </w:r>
      <w:r>
        <w:rPr>
          <w:rFonts w:hint="eastAsia"/>
          <w:u w:val="none"/>
          <w:lang w:eastAsia="zh-CN" w:bidi="ar"/>
        </w:rPr>
        <w:t>，</w:t>
      </w:r>
      <w:r>
        <w:rPr>
          <w:rFonts w:hint="eastAsia"/>
          <w:u w:val="none"/>
          <w:lang w:val="en-US" w:eastAsia="zh-CN" w:bidi="ar"/>
        </w:rPr>
        <w:t>生活污水源强为：COD：300mg/L、BOD</w:t>
      </w:r>
      <w:r>
        <w:rPr>
          <w:rFonts w:hint="eastAsia"/>
          <w:u w:val="none"/>
          <w:vertAlign w:val="subscript"/>
          <w:lang w:val="en-US" w:eastAsia="zh-CN" w:bidi="ar"/>
        </w:rPr>
        <w:t>5</w:t>
      </w:r>
      <w:r>
        <w:rPr>
          <w:rFonts w:hint="eastAsia"/>
          <w:u w:val="none"/>
          <w:vertAlign w:val="baseline"/>
          <w:lang w:val="en-US" w:eastAsia="zh-CN" w:bidi="ar"/>
        </w:rPr>
        <w:t>：200mg/L、SS：200mg/L、氨氮：35mg/L，则产生量分别为</w:t>
      </w:r>
      <w:r>
        <w:rPr>
          <w:rFonts w:hint="eastAsia"/>
          <w:u w:val="none"/>
          <w:lang w:val="en-US" w:eastAsia="zh-CN" w:bidi="ar"/>
        </w:rPr>
        <w:t>COD：0.324t/a、BOD</w:t>
      </w:r>
      <w:r>
        <w:rPr>
          <w:rFonts w:hint="eastAsia"/>
          <w:u w:val="none"/>
          <w:vertAlign w:val="subscript"/>
          <w:lang w:val="en-US" w:eastAsia="zh-CN" w:bidi="ar"/>
        </w:rPr>
        <w:t>5</w:t>
      </w:r>
      <w:r>
        <w:rPr>
          <w:rFonts w:hint="eastAsia"/>
          <w:u w:val="none"/>
          <w:vertAlign w:val="baseline"/>
          <w:lang w:val="en-US" w:eastAsia="zh-CN" w:bidi="ar"/>
        </w:rPr>
        <w:t>：0.216t/a、SS：0.216t/aL、氨氮：0.038t/a。生活污水经化粪池处理后定期清掏用于周边农田施肥，不外排。</w:t>
      </w:r>
    </w:p>
    <w:p w14:paraId="4487A2E4">
      <w:pPr>
        <w:pStyle w:val="21"/>
        <w:ind w:firstLine="480"/>
        <w:rPr>
          <w:u w:val="none"/>
        </w:rPr>
      </w:pPr>
      <w:r>
        <w:rPr>
          <w:rFonts w:hint="eastAsia"/>
          <w:u w:val="none"/>
          <w:lang w:val="en-US" w:eastAsia="zh-CN"/>
        </w:rPr>
        <w:t>8</w:t>
      </w:r>
      <w:r>
        <w:rPr>
          <w:rFonts w:hint="eastAsia"/>
          <w:u w:val="none"/>
        </w:rPr>
        <w:t>、废水排放情况</w:t>
      </w:r>
    </w:p>
    <w:p w14:paraId="4AB95DEB">
      <w:pPr>
        <w:pStyle w:val="21"/>
        <w:ind w:firstLine="480"/>
        <w:rPr>
          <w:rFonts w:hint="eastAsia"/>
          <w:u w:val="none"/>
        </w:rPr>
      </w:pPr>
      <w:r>
        <w:rPr>
          <w:rFonts w:hint="eastAsia"/>
          <w:u w:val="none"/>
        </w:rPr>
        <w:t>船舶清洗废水、船台清洗废水、初期雨水等全部</w:t>
      </w:r>
      <w:r>
        <w:rPr>
          <w:rFonts w:hint="eastAsia"/>
          <w:u w:val="none"/>
          <w:lang w:val="en-US" w:eastAsia="zh-CN"/>
        </w:rPr>
        <w:t>通过船台导流沟排入初期雨水池，初期雨水池设置自动水泵及液位监控设施，液位超过监控液位，自动启动水泵将废水抽至废水处理中处理</w:t>
      </w:r>
      <w:r>
        <w:rPr>
          <w:rFonts w:hint="eastAsia"/>
          <w:u w:val="none"/>
        </w:rPr>
        <w:t>，</w:t>
      </w:r>
      <w:r>
        <w:rPr>
          <w:rFonts w:hint="eastAsia"/>
          <w:u w:val="none"/>
          <w:lang w:val="en-US" w:eastAsia="zh-CN"/>
        </w:rPr>
        <w:t>经处理达到《污水综合排放标准》（GB8978-1996）一级标准后，部分废水回用于生产（船舶清洗、船台清洗、石棉拆解等）</w:t>
      </w:r>
      <w:r>
        <w:rPr>
          <w:rFonts w:hint="eastAsia"/>
          <w:u w:val="none"/>
        </w:rPr>
        <w:t>，</w:t>
      </w:r>
      <w:r>
        <w:rPr>
          <w:rFonts w:hint="eastAsia"/>
          <w:u w:val="none"/>
          <w:lang w:val="en-US" w:eastAsia="zh-CN"/>
        </w:rPr>
        <w:t>不能回用部分通过罐车运输至三樟镇污水处理厂处理</w:t>
      </w:r>
      <w:r>
        <w:rPr>
          <w:rFonts w:hint="eastAsia"/>
          <w:u w:val="none"/>
        </w:rPr>
        <w:t>。项目废水排放情况如下：</w:t>
      </w:r>
    </w:p>
    <w:p w14:paraId="3D2A7E0C">
      <w:pPr>
        <w:pStyle w:val="23"/>
        <w:bidi w:val="0"/>
        <w:rPr>
          <w:rFonts w:hint="eastAsia"/>
          <w:lang w:val="en-US" w:eastAsia="zh-CN"/>
        </w:rPr>
      </w:pPr>
      <w:r>
        <w:rPr>
          <w:rFonts w:hint="eastAsia"/>
          <w:lang w:val="en-US" w:eastAsia="zh-CN"/>
        </w:rPr>
        <w:t>表3.5-2  废水处理站进出水质情况表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959"/>
        <w:gridCol w:w="1496"/>
        <w:gridCol w:w="910"/>
        <w:gridCol w:w="1337"/>
        <w:gridCol w:w="787"/>
        <w:gridCol w:w="713"/>
        <w:gridCol w:w="666"/>
        <w:gridCol w:w="666"/>
        <w:gridCol w:w="871"/>
      </w:tblGrid>
      <w:tr w14:paraId="43082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Merge w:val="restart"/>
            <w:vAlign w:val="center"/>
          </w:tcPr>
          <w:p w14:paraId="45B1E3C9">
            <w:pPr>
              <w:pStyle w:val="31"/>
              <w:bidi w:val="0"/>
              <w:jc w:val="center"/>
              <w:rPr>
                <w:rFonts w:hint="default"/>
                <w:lang w:val="en-US" w:eastAsia="zh-CN"/>
              </w:rPr>
            </w:pPr>
            <w:r>
              <w:rPr>
                <w:rFonts w:hint="eastAsia"/>
                <w:lang w:val="en-US" w:eastAsia="zh-CN"/>
              </w:rPr>
              <w:t>废水类别</w:t>
            </w:r>
          </w:p>
        </w:tc>
        <w:tc>
          <w:tcPr>
            <w:tcW w:w="541" w:type="pct"/>
            <w:vMerge w:val="restart"/>
            <w:vAlign w:val="center"/>
          </w:tcPr>
          <w:p w14:paraId="7A6FA8D8">
            <w:pPr>
              <w:pStyle w:val="31"/>
              <w:bidi w:val="0"/>
              <w:jc w:val="center"/>
              <w:rPr>
                <w:rFonts w:hint="eastAsia"/>
                <w:lang w:val="en-US" w:eastAsia="zh-CN"/>
              </w:rPr>
            </w:pPr>
            <w:r>
              <w:rPr>
                <w:rFonts w:hint="eastAsia"/>
                <w:lang w:val="en-US" w:eastAsia="zh-CN"/>
              </w:rPr>
              <w:t>废水量</w:t>
            </w:r>
          </w:p>
          <w:p w14:paraId="1699F3F5">
            <w:pPr>
              <w:pStyle w:val="31"/>
              <w:bidi w:val="0"/>
              <w:jc w:val="center"/>
              <w:rPr>
                <w:rFonts w:hint="default"/>
                <w:vertAlign w:val="baseline"/>
                <w:lang w:val="en-US" w:eastAsia="zh-CN"/>
              </w:rPr>
            </w:pPr>
            <w:r>
              <w:rPr>
                <w:rFonts w:hint="eastAsia"/>
                <w:lang w:val="en-US" w:eastAsia="zh-CN"/>
              </w:rPr>
              <w:t>m</w:t>
            </w:r>
            <w:r>
              <w:rPr>
                <w:rFonts w:hint="eastAsia"/>
                <w:vertAlign w:val="superscript"/>
                <w:lang w:val="en-US" w:eastAsia="zh-CN"/>
              </w:rPr>
              <w:t>3</w:t>
            </w:r>
            <w:r>
              <w:rPr>
                <w:rFonts w:hint="eastAsia"/>
                <w:vertAlign w:val="baseline"/>
                <w:lang w:val="en-US" w:eastAsia="zh-CN"/>
              </w:rPr>
              <w:t>/a</w:t>
            </w:r>
          </w:p>
        </w:tc>
        <w:tc>
          <w:tcPr>
            <w:tcW w:w="2997" w:type="pct"/>
            <w:gridSpan w:val="6"/>
            <w:vAlign w:val="center"/>
          </w:tcPr>
          <w:p w14:paraId="297D6A7B">
            <w:pPr>
              <w:pStyle w:val="31"/>
              <w:bidi w:val="0"/>
              <w:jc w:val="center"/>
              <w:rPr>
                <w:rFonts w:hint="default"/>
                <w:lang w:val="en-US" w:eastAsia="zh-CN"/>
              </w:rPr>
            </w:pPr>
            <w:r>
              <w:rPr>
                <w:rFonts w:hint="eastAsia"/>
                <w:lang w:val="en-US" w:eastAsia="zh-CN"/>
              </w:rPr>
              <w:t>污染物</w:t>
            </w:r>
          </w:p>
        </w:tc>
      </w:tr>
      <w:tr w14:paraId="76C63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Merge w:val="continue"/>
            <w:vAlign w:val="center"/>
          </w:tcPr>
          <w:p w14:paraId="1CA0A6BD">
            <w:pPr>
              <w:pStyle w:val="31"/>
              <w:bidi w:val="0"/>
              <w:jc w:val="center"/>
              <w:rPr>
                <w:rFonts w:hint="default"/>
                <w:lang w:val="en-US" w:eastAsia="zh-CN"/>
              </w:rPr>
            </w:pPr>
          </w:p>
        </w:tc>
        <w:tc>
          <w:tcPr>
            <w:tcW w:w="541" w:type="pct"/>
            <w:vMerge w:val="continue"/>
            <w:vAlign w:val="center"/>
          </w:tcPr>
          <w:p w14:paraId="0C9C8526">
            <w:pPr>
              <w:pStyle w:val="31"/>
              <w:bidi w:val="0"/>
              <w:jc w:val="center"/>
              <w:rPr>
                <w:rFonts w:hint="eastAsia"/>
                <w:lang w:val="en-US" w:eastAsia="zh-CN"/>
              </w:rPr>
            </w:pPr>
          </w:p>
        </w:tc>
        <w:tc>
          <w:tcPr>
            <w:tcW w:w="795" w:type="pct"/>
            <w:vAlign w:val="center"/>
          </w:tcPr>
          <w:p w14:paraId="78079FB0">
            <w:pPr>
              <w:pStyle w:val="31"/>
              <w:bidi w:val="0"/>
              <w:jc w:val="center"/>
              <w:rPr>
                <w:rFonts w:hint="eastAsia"/>
                <w:lang w:val="en-US" w:eastAsia="zh-CN"/>
              </w:rPr>
            </w:pPr>
            <w:r>
              <w:rPr>
                <w:rFonts w:hint="eastAsia"/>
                <w:lang w:val="en-US" w:eastAsia="zh-CN"/>
              </w:rPr>
              <w:t>pH</w:t>
            </w:r>
          </w:p>
          <w:p w14:paraId="3C7A27D5">
            <w:pPr>
              <w:pStyle w:val="31"/>
              <w:bidi w:val="0"/>
              <w:jc w:val="center"/>
              <w:rPr>
                <w:rFonts w:hint="default"/>
                <w:lang w:val="en-US" w:eastAsia="zh-CN"/>
              </w:rPr>
            </w:pPr>
            <w:r>
              <w:rPr>
                <w:rFonts w:hint="eastAsia"/>
                <w:lang w:val="en-US" w:eastAsia="zh-CN"/>
              </w:rPr>
              <w:t>（无量纲）</w:t>
            </w:r>
          </w:p>
        </w:tc>
        <w:tc>
          <w:tcPr>
            <w:tcW w:w="468" w:type="pct"/>
            <w:vAlign w:val="center"/>
          </w:tcPr>
          <w:p w14:paraId="5E29B9E9">
            <w:pPr>
              <w:pStyle w:val="31"/>
              <w:bidi w:val="0"/>
              <w:jc w:val="center"/>
              <w:rPr>
                <w:rFonts w:hint="default"/>
                <w:lang w:val="en-US" w:eastAsia="zh-CN"/>
              </w:rPr>
            </w:pPr>
            <w:r>
              <w:rPr>
                <w:rFonts w:hint="eastAsia"/>
                <w:lang w:val="en-US" w:eastAsia="zh-CN"/>
              </w:rPr>
              <w:t>COD</w:t>
            </w:r>
          </w:p>
        </w:tc>
        <w:tc>
          <w:tcPr>
            <w:tcW w:w="424" w:type="pct"/>
            <w:vAlign w:val="center"/>
          </w:tcPr>
          <w:p w14:paraId="0234CF60">
            <w:pPr>
              <w:pStyle w:val="31"/>
              <w:bidi w:val="0"/>
              <w:jc w:val="center"/>
              <w:rPr>
                <w:rFonts w:hint="default"/>
                <w:vertAlign w:val="baseline"/>
                <w:lang w:val="en-US" w:eastAsia="zh-CN"/>
              </w:rPr>
            </w:pPr>
            <w:r>
              <w:rPr>
                <w:rFonts w:hint="eastAsia"/>
                <w:lang w:val="en-US" w:eastAsia="zh-CN"/>
              </w:rPr>
              <w:t>BOD</w:t>
            </w:r>
            <w:r>
              <w:rPr>
                <w:rFonts w:hint="eastAsia"/>
                <w:vertAlign w:val="subscript"/>
                <w:lang w:val="en-US" w:eastAsia="zh-CN"/>
              </w:rPr>
              <w:t>5</w:t>
            </w:r>
          </w:p>
        </w:tc>
        <w:tc>
          <w:tcPr>
            <w:tcW w:w="396" w:type="pct"/>
            <w:vAlign w:val="center"/>
          </w:tcPr>
          <w:p w14:paraId="09531C7F">
            <w:pPr>
              <w:pStyle w:val="31"/>
              <w:bidi w:val="0"/>
              <w:jc w:val="center"/>
              <w:rPr>
                <w:rFonts w:hint="default"/>
                <w:lang w:val="en-US" w:eastAsia="zh-CN"/>
              </w:rPr>
            </w:pPr>
            <w:r>
              <w:rPr>
                <w:rFonts w:hint="eastAsia"/>
                <w:lang w:val="en-US" w:eastAsia="zh-CN"/>
              </w:rPr>
              <w:t>氨氮</w:t>
            </w:r>
          </w:p>
        </w:tc>
        <w:tc>
          <w:tcPr>
            <w:tcW w:w="396" w:type="pct"/>
            <w:vAlign w:val="center"/>
          </w:tcPr>
          <w:p w14:paraId="4A91ACD5">
            <w:pPr>
              <w:pStyle w:val="31"/>
              <w:bidi w:val="0"/>
              <w:jc w:val="center"/>
              <w:rPr>
                <w:rFonts w:hint="default"/>
                <w:lang w:val="en-US" w:eastAsia="zh-CN"/>
              </w:rPr>
            </w:pPr>
            <w:r>
              <w:rPr>
                <w:rFonts w:hint="eastAsia"/>
                <w:lang w:val="en-US" w:eastAsia="zh-CN"/>
              </w:rPr>
              <w:t>SS</w:t>
            </w:r>
          </w:p>
        </w:tc>
        <w:tc>
          <w:tcPr>
            <w:tcW w:w="516" w:type="pct"/>
            <w:vAlign w:val="center"/>
          </w:tcPr>
          <w:p w14:paraId="0F68752F">
            <w:pPr>
              <w:pStyle w:val="31"/>
              <w:bidi w:val="0"/>
              <w:jc w:val="center"/>
              <w:rPr>
                <w:rFonts w:hint="default"/>
                <w:lang w:val="en-US" w:eastAsia="zh-CN"/>
              </w:rPr>
            </w:pPr>
            <w:r>
              <w:rPr>
                <w:rFonts w:hint="eastAsia"/>
                <w:lang w:val="en-US" w:eastAsia="zh-CN"/>
              </w:rPr>
              <w:t>石油类</w:t>
            </w:r>
          </w:p>
        </w:tc>
      </w:tr>
      <w:tr w14:paraId="29D0E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732166BE">
            <w:pPr>
              <w:pStyle w:val="31"/>
              <w:bidi w:val="0"/>
              <w:jc w:val="center"/>
              <w:rPr>
                <w:rFonts w:hint="eastAsia"/>
                <w:lang w:val="en-US" w:eastAsia="zh-CN"/>
              </w:rPr>
            </w:pPr>
            <w:r>
              <w:rPr>
                <w:rFonts w:hint="eastAsia"/>
                <w:lang w:val="en-US" w:eastAsia="zh-CN"/>
              </w:rPr>
              <w:t>船舶清</w:t>
            </w:r>
          </w:p>
          <w:p w14:paraId="2424E104">
            <w:pPr>
              <w:pStyle w:val="31"/>
              <w:bidi w:val="0"/>
              <w:jc w:val="center"/>
              <w:rPr>
                <w:rFonts w:hint="default"/>
                <w:lang w:val="en-US" w:eastAsia="zh-CN"/>
              </w:rPr>
            </w:pPr>
            <w:r>
              <w:rPr>
                <w:rFonts w:hint="eastAsia"/>
                <w:lang w:val="en-US" w:eastAsia="zh-CN"/>
              </w:rPr>
              <w:t>洗废水</w:t>
            </w:r>
          </w:p>
        </w:tc>
        <w:tc>
          <w:tcPr>
            <w:tcW w:w="889" w:type="pct"/>
            <w:vAlign w:val="center"/>
          </w:tcPr>
          <w:p w14:paraId="1A479AB4">
            <w:pPr>
              <w:pStyle w:val="31"/>
              <w:bidi w:val="0"/>
              <w:jc w:val="center"/>
              <w:rPr>
                <w:rFonts w:hint="default"/>
                <w:lang w:val="en-US" w:eastAsia="zh-CN"/>
              </w:rPr>
            </w:pPr>
            <w:r>
              <w:rPr>
                <w:rFonts w:hint="eastAsia"/>
                <w:lang w:val="en-US" w:eastAsia="zh-CN"/>
              </w:rPr>
              <w:t>产生量t/a</w:t>
            </w:r>
          </w:p>
        </w:tc>
        <w:tc>
          <w:tcPr>
            <w:tcW w:w="541" w:type="pct"/>
            <w:vMerge w:val="restart"/>
            <w:vAlign w:val="center"/>
          </w:tcPr>
          <w:p w14:paraId="57D51063">
            <w:pPr>
              <w:pStyle w:val="31"/>
              <w:bidi w:val="0"/>
              <w:jc w:val="center"/>
              <w:rPr>
                <w:rFonts w:hint="default"/>
                <w:lang w:val="en-US" w:eastAsia="zh-CN"/>
              </w:rPr>
            </w:pPr>
            <w:r>
              <w:rPr>
                <w:rFonts w:hint="eastAsia"/>
                <w:lang w:val="en-US" w:eastAsia="zh-CN"/>
              </w:rPr>
              <w:t>103.2</w:t>
            </w:r>
          </w:p>
        </w:tc>
        <w:tc>
          <w:tcPr>
            <w:tcW w:w="795" w:type="pct"/>
            <w:vAlign w:val="center"/>
          </w:tcPr>
          <w:p w14:paraId="79B64502">
            <w:pPr>
              <w:pStyle w:val="31"/>
              <w:bidi w:val="0"/>
              <w:jc w:val="center"/>
              <w:rPr>
                <w:rFonts w:hint="default"/>
                <w:lang w:val="en-US" w:eastAsia="zh-CN"/>
              </w:rPr>
            </w:pPr>
            <w:r>
              <w:rPr>
                <w:rFonts w:hint="eastAsia"/>
                <w:lang w:val="en-US" w:eastAsia="zh-CN"/>
              </w:rPr>
              <w:t>/</w:t>
            </w:r>
          </w:p>
        </w:tc>
        <w:tc>
          <w:tcPr>
            <w:tcW w:w="468" w:type="pct"/>
            <w:vAlign w:val="center"/>
          </w:tcPr>
          <w:p w14:paraId="222CD861">
            <w:pPr>
              <w:pStyle w:val="31"/>
              <w:bidi w:val="0"/>
              <w:jc w:val="center"/>
              <w:rPr>
                <w:rFonts w:hint="default"/>
                <w:lang w:val="en-US" w:eastAsia="zh-CN"/>
              </w:rPr>
            </w:pPr>
            <w:r>
              <w:rPr>
                <w:rFonts w:hint="eastAsia"/>
                <w:lang w:val="en-US" w:eastAsia="zh-CN"/>
              </w:rPr>
              <w:t>0.022</w:t>
            </w:r>
          </w:p>
        </w:tc>
        <w:tc>
          <w:tcPr>
            <w:tcW w:w="424" w:type="pct"/>
            <w:vAlign w:val="center"/>
          </w:tcPr>
          <w:p w14:paraId="7CF4EA0B">
            <w:pPr>
              <w:pStyle w:val="31"/>
              <w:bidi w:val="0"/>
              <w:jc w:val="center"/>
              <w:rPr>
                <w:rFonts w:hint="default"/>
                <w:lang w:val="en-US" w:eastAsia="zh-CN"/>
              </w:rPr>
            </w:pPr>
            <w:r>
              <w:rPr>
                <w:rFonts w:hint="eastAsia"/>
                <w:lang w:val="en-US" w:eastAsia="zh-CN"/>
              </w:rPr>
              <w:t>0.018</w:t>
            </w:r>
          </w:p>
        </w:tc>
        <w:tc>
          <w:tcPr>
            <w:tcW w:w="396" w:type="pct"/>
            <w:vAlign w:val="center"/>
          </w:tcPr>
          <w:p w14:paraId="53FC32CB">
            <w:pPr>
              <w:pStyle w:val="31"/>
              <w:bidi w:val="0"/>
              <w:jc w:val="center"/>
              <w:rPr>
                <w:rFonts w:hint="default"/>
                <w:lang w:val="en-US" w:eastAsia="zh-CN"/>
              </w:rPr>
            </w:pPr>
            <w:r>
              <w:rPr>
                <w:rFonts w:hint="eastAsia"/>
                <w:lang w:val="en-US" w:eastAsia="zh-CN"/>
              </w:rPr>
              <w:t>0.003</w:t>
            </w:r>
          </w:p>
        </w:tc>
        <w:tc>
          <w:tcPr>
            <w:tcW w:w="396" w:type="pct"/>
            <w:vAlign w:val="center"/>
          </w:tcPr>
          <w:p w14:paraId="1603B224">
            <w:pPr>
              <w:pStyle w:val="31"/>
              <w:bidi w:val="0"/>
              <w:jc w:val="center"/>
              <w:rPr>
                <w:rFonts w:hint="default"/>
                <w:lang w:val="en-US" w:eastAsia="zh-CN"/>
              </w:rPr>
            </w:pPr>
            <w:r>
              <w:rPr>
                <w:rFonts w:hint="eastAsia"/>
                <w:lang w:val="en-US" w:eastAsia="zh-CN"/>
              </w:rPr>
              <w:t>0.124</w:t>
            </w:r>
          </w:p>
        </w:tc>
        <w:tc>
          <w:tcPr>
            <w:tcW w:w="516" w:type="pct"/>
            <w:vAlign w:val="center"/>
          </w:tcPr>
          <w:p w14:paraId="10926015">
            <w:pPr>
              <w:pStyle w:val="31"/>
              <w:bidi w:val="0"/>
              <w:jc w:val="center"/>
              <w:rPr>
                <w:rFonts w:hint="default"/>
                <w:lang w:val="en-US" w:eastAsia="zh-CN"/>
              </w:rPr>
            </w:pPr>
            <w:r>
              <w:rPr>
                <w:rFonts w:hint="eastAsia"/>
                <w:lang w:val="en-US" w:eastAsia="zh-CN"/>
              </w:rPr>
              <w:t>0.002</w:t>
            </w:r>
          </w:p>
        </w:tc>
      </w:tr>
      <w:tr w14:paraId="04CE4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4C5198F4">
            <w:pPr>
              <w:pStyle w:val="31"/>
              <w:bidi w:val="0"/>
              <w:jc w:val="center"/>
              <w:rPr>
                <w:rFonts w:hint="default"/>
                <w:lang w:val="en-US" w:eastAsia="zh-CN"/>
              </w:rPr>
            </w:pPr>
          </w:p>
        </w:tc>
        <w:tc>
          <w:tcPr>
            <w:tcW w:w="889" w:type="pct"/>
            <w:vAlign w:val="center"/>
          </w:tcPr>
          <w:p w14:paraId="017A11E4">
            <w:pPr>
              <w:pStyle w:val="31"/>
              <w:bidi w:val="0"/>
              <w:jc w:val="center"/>
              <w:rPr>
                <w:rFonts w:hint="default"/>
                <w:lang w:val="en-US" w:eastAsia="zh-CN"/>
              </w:rPr>
            </w:pPr>
            <w:r>
              <w:rPr>
                <w:rFonts w:hint="eastAsia"/>
                <w:lang w:val="en-US" w:eastAsia="zh-CN"/>
              </w:rPr>
              <w:t>产生浓度mg/L</w:t>
            </w:r>
          </w:p>
        </w:tc>
        <w:tc>
          <w:tcPr>
            <w:tcW w:w="541" w:type="pct"/>
            <w:vMerge w:val="continue"/>
            <w:vAlign w:val="center"/>
          </w:tcPr>
          <w:p w14:paraId="217E8184">
            <w:pPr>
              <w:pStyle w:val="31"/>
              <w:bidi w:val="0"/>
              <w:jc w:val="center"/>
              <w:rPr>
                <w:rFonts w:hint="default"/>
                <w:lang w:val="en-US" w:eastAsia="zh-CN"/>
              </w:rPr>
            </w:pPr>
          </w:p>
        </w:tc>
        <w:tc>
          <w:tcPr>
            <w:tcW w:w="795" w:type="pct"/>
            <w:vAlign w:val="center"/>
          </w:tcPr>
          <w:p w14:paraId="73D8A831">
            <w:pPr>
              <w:pStyle w:val="31"/>
              <w:bidi w:val="0"/>
              <w:jc w:val="center"/>
              <w:rPr>
                <w:rFonts w:hint="default"/>
                <w:lang w:val="en-US" w:eastAsia="zh-CN"/>
              </w:rPr>
            </w:pPr>
            <w:r>
              <w:rPr>
                <w:rFonts w:hint="eastAsia"/>
                <w:lang w:val="en-US" w:eastAsia="zh-CN"/>
              </w:rPr>
              <w:t>6~9</w:t>
            </w:r>
          </w:p>
        </w:tc>
        <w:tc>
          <w:tcPr>
            <w:tcW w:w="468" w:type="pct"/>
            <w:vAlign w:val="center"/>
          </w:tcPr>
          <w:p w14:paraId="01299240">
            <w:pPr>
              <w:pStyle w:val="31"/>
              <w:bidi w:val="0"/>
              <w:jc w:val="center"/>
              <w:rPr>
                <w:rFonts w:hint="default"/>
                <w:lang w:val="en-US" w:eastAsia="zh-CN"/>
              </w:rPr>
            </w:pPr>
            <w:r>
              <w:rPr>
                <w:rFonts w:hint="eastAsia"/>
                <w:lang w:val="en-US" w:eastAsia="zh-CN"/>
              </w:rPr>
              <w:t>213.33</w:t>
            </w:r>
          </w:p>
        </w:tc>
        <w:tc>
          <w:tcPr>
            <w:tcW w:w="424" w:type="pct"/>
            <w:vAlign w:val="center"/>
          </w:tcPr>
          <w:p w14:paraId="3F9849E3">
            <w:pPr>
              <w:pStyle w:val="31"/>
              <w:bidi w:val="0"/>
              <w:jc w:val="center"/>
              <w:rPr>
                <w:rFonts w:hint="default"/>
                <w:lang w:val="en-US" w:eastAsia="zh-CN"/>
              </w:rPr>
            </w:pPr>
            <w:r>
              <w:rPr>
                <w:rFonts w:hint="eastAsia"/>
                <w:lang w:val="en-US" w:eastAsia="zh-CN"/>
              </w:rPr>
              <w:t>170</w:t>
            </w:r>
          </w:p>
        </w:tc>
        <w:tc>
          <w:tcPr>
            <w:tcW w:w="396" w:type="pct"/>
            <w:vAlign w:val="center"/>
          </w:tcPr>
          <w:p w14:paraId="30E0301A">
            <w:pPr>
              <w:pStyle w:val="31"/>
              <w:bidi w:val="0"/>
              <w:jc w:val="center"/>
              <w:rPr>
                <w:rFonts w:hint="default"/>
                <w:lang w:val="en-US" w:eastAsia="zh-CN"/>
              </w:rPr>
            </w:pPr>
            <w:r>
              <w:rPr>
                <w:rFonts w:hint="eastAsia"/>
                <w:lang w:val="en-US" w:eastAsia="zh-CN"/>
              </w:rPr>
              <w:t>30</w:t>
            </w:r>
          </w:p>
        </w:tc>
        <w:tc>
          <w:tcPr>
            <w:tcW w:w="396" w:type="pct"/>
            <w:vAlign w:val="center"/>
          </w:tcPr>
          <w:p w14:paraId="2AD7C4A8">
            <w:pPr>
              <w:pStyle w:val="31"/>
              <w:bidi w:val="0"/>
              <w:jc w:val="center"/>
              <w:rPr>
                <w:rFonts w:hint="default"/>
                <w:lang w:val="en-US" w:eastAsia="zh-CN"/>
              </w:rPr>
            </w:pPr>
            <w:r>
              <w:rPr>
                <w:rFonts w:hint="eastAsia"/>
                <w:lang w:val="en-US" w:eastAsia="zh-CN"/>
              </w:rPr>
              <w:t>1200</w:t>
            </w:r>
          </w:p>
        </w:tc>
        <w:tc>
          <w:tcPr>
            <w:tcW w:w="516" w:type="pct"/>
            <w:vAlign w:val="center"/>
          </w:tcPr>
          <w:p w14:paraId="46EFA6D5">
            <w:pPr>
              <w:pStyle w:val="31"/>
              <w:bidi w:val="0"/>
              <w:jc w:val="center"/>
              <w:rPr>
                <w:rFonts w:hint="default"/>
                <w:lang w:val="en-US" w:eastAsia="zh-CN"/>
              </w:rPr>
            </w:pPr>
            <w:r>
              <w:rPr>
                <w:rFonts w:hint="eastAsia"/>
                <w:lang w:val="en-US" w:eastAsia="zh-CN"/>
              </w:rPr>
              <w:t>16.67</w:t>
            </w:r>
          </w:p>
        </w:tc>
      </w:tr>
      <w:tr w14:paraId="5CADF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482A0546">
            <w:pPr>
              <w:pStyle w:val="31"/>
              <w:bidi w:val="0"/>
              <w:jc w:val="center"/>
              <w:rPr>
                <w:rFonts w:hint="eastAsia"/>
                <w:lang w:val="en-US" w:eastAsia="zh-CN"/>
              </w:rPr>
            </w:pPr>
            <w:r>
              <w:rPr>
                <w:rFonts w:hint="eastAsia"/>
                <w:lang w:val="en-US" w:eastAsia="zh-CN"/>
              </w:rPr>
              <w:t>船台清</w:t>
            </w:r>
          </w:p>
          <w:p w14:paraId="3B6CC50A">
            <w:pPr>
              <w:pStyle w:val="31"/>
              <w:bidi w:val="0"/>
              <w:jc w:val="center"/>
              <w:rPr>
                <w:rFonts w:hint="default"/>
                <w:lang w:val="en-US" w:eastAsia="zh-CN"/>
              </w:rPr>
            </w:pPr>
            <w:r>
              <w:rPr>
                <w:rFonts w:hint="eastAsia"/>
                <w:lang w:val="en-US" w:eastAsia="zh-CN"/>
              </w:rPr>
              <w:t>洗废水</w:t>
            </w:r>
          </w:p>
        </w:tc>
        <w:tc>
          <w:tcPr>
            <w:tcW w:w="889" w:type="pct"/>
            <w:shd w:val="clear" w:color="auto" w:fill="auto"/>
            <w:vAlign w:val="center"/>
          </w:tcPr>
          <w:p w14:paraId="19BE77E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产生量t/a</w:t>
            </w:r>
          </w:p>
        </w:tc>
        <w:tc>
          <w:tcPr>
            <w:tcW w:w="541" w:type="pct"/>
            <w:vMerge w:val="restart"/>
            <w:vAlign w:val="center"/>
          </w:tcPr>
          <w:p w14:paraId="7E01F132">
            <w:pPr>
              <w:pStyle w:val="31"/>
              <w:bidi w:val="0"/>
              <w:jc w:val="center"/>
              <w:rPr>
                <w:rFonts w:hint="default"/>
                <w:lang w:val="en-US" w:eastAsia="zh-CN"/>
              </w:rPr>
            </w:pPr>
            <w:r>
              <w:rPr>
                <w:rFonts w:hint="eastAsia"/>
                <w:lang w:val="en-US" w:eastAsia="zh-CN"/>
              </w:rPr>
              <w:t>400</w:t>
            </w:r>
          </w:p>
        </w:tc>
        <w:tc>
          <w:tcPr>
            <w:tcW w:w="795" w:type="pct"/>
            <w:vAlign w:val="center"/>
          </w:tcPr>
          <w:p w14:paraId="2C727866">
            <w:pPr>
              <w:pStyle w:val="31"/>
              <w:bidi w:val="0"/>
              <w:jc w:val="center"/>
              <w:rPr>
                <w:rFonts w:hint="default"/>
                <w:lang w:val="en-US" w:eastAsia="zh-CN"/>
              </w:rPr>
            </w:pPr>
            <w:r>
              <w:rPr>
                <w:rFonts w:hint="eastAsia"/>
                <w:lang w:val="en-US" w:eastAsia="zh-CN"/>
              </w:rPr>
              <w:t>/</w:t>
            </w:r>
          </w:p>
        </w:tc>
        <w:tc>
          <w:tcPr>
            <w:tcW w:w="468" w:type="pct"/>
            <w:vAlign w:val="center"/>
          </w:tcPr>
          <w:p w14:paraId="3C2B6435">
            <w:pPr>
              <w:pStyle w:val="31"/>
              <w:bidi w:val="0"/>
              <w:jc w:val="center"/>
              <w:rPr>
                <w:rFonts w:hint="default"/>
                <w:lang w:val="en-US" w:eastAsia="zh-CN"/>
              </w:rPr>
            </w:pPr>
            <w:r>
              <w:rPr>
                <w:rFonts w:hint="eastAsia"/>
                <w:lang w:val="en-US" w:eastAsia="zh-CN"/>
              </w:rPr>
              <w:t>0.085</w:t>
            </w:r>
          </w:p>
        </w:tc>
        <w:tc>
          <w:tcPr>
            <w:tcW w:w="424" w:type="pct"/>
            <w:vAlign w:val="center"/>
          </w:tcPr>
          <w:p w14:paraId="264FC4C1">
            <w:pPr>
              <w:pStyle w:val="31"/>
              <w:bidi w:val="0"/>
              <w:jc w:val="center"/>
              <w:rPr>
                <w:rFonts w:hint="default"/>
                <w:lang w:val="en-US" w:eastAsia="zh-CN"/>
              </w:rPr>
            </w:pPr>
            <w:r>
              <w:rPr>
                <w:rFonts w:hint="eastAsia"/>
                <w:lang w:val="en-US" w:eastAsia="zh-CN"/>
              </w:rPr>
              <w:t>0.068</w:t>
            </w:r>
          </w:p>
        </w:tc>
        <w:tc>
          <w:tcPr>
            <w:tcW w:w="396" w:type="pct"/>
            <w:vAlign w:val="center"/>
          </w:tcPr>
          <w:p w14:paraId="1108D656">
            <w:pPr>
              <w:pStyle w:val="31"/>
              <w:bidi w:val="0"/>
              <w:jc w:val="center"/>
              <w:rPr>
                <w:rFonts w:hint="default"/>
                <w:lang w:val="en-US" w:eastAsia="zh-CN"/>
              </w:rPr>
            </w:pPr>
            <w:r>
              <w:rPr>
                <w:rFonts w:hint="eastAsia"/>
                <w:lang w:val="en-US" w:eastAsia="zh-CN"/>
              </w:rPr>
              <w:t>0.012</w:t>
            </w:r>
          </w:p>
        </w:tc>
        <w:tc>
          <w:tcPr>
            <w:tcW w:w="396" w:type="pct"/>
            <w:vAlign w:val="center"/>
          </w:tcPr>
          <w:p w14:paraId="57764176">
            <w:pPr>
              <w:pStyle w:val="31"/>
              <w:bidi w:val="0"/>
              <w:jc w:val="center"/>
              <w:rPr>
                <w:rFonts w:hint="default"/>
                <w:lang w:val="en-US" w:eastAsia="zh-CN"/>
              </w:rPr>
            </w:pPr>
            <w:r>
              <w:rPr>
                <w:rFonts w:hint="eastAsia"/>
                <w:lang w:val="en-US" w:eastAsia="zh-CN"/>
              </w:rPr>
              <w:t>0.480</w:t>
            </w:r>
          </w:p>
        </w:tc>
        <w:tc>
          <w:tcPr>
            <w:tcW w:w="516" w:type="pct"/>
            <w:vAlign w:val="center"/>
          </w:tcPr>
          <w:p w14:paraId="0E9EE537">
            <w:pPr>
              <w:pStyle w:val="31"/>
              <w:bidi w:val="0"/>
              <w:jc w:val="center"/>
              <w:rPr>
                <w:rFonts w:hint="default"/>
                <w:lang w:val="en-US" w:eastAsia="zh-CN"/>
              </w:rPr>
            </w:pPr>
            <w:r>
              <w:rPr>
                <w:rFonts w:hint="eastAsia"/>
                <w:lang w:val="en-US" w:eastAsia="zh-CN"/>
              </w:rPr>
              <w:t>0.007</w:t>
            </w:r>
          </w:p>
        </w:tc>
      </w:tr>
      <w:tr w14:paraId="1C058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2FC8BDC1">
            <w:pPr>
              <w:pStyle w:val="31"/>
              <w:bidi w:val="0"/>
              <w:jc w:val="center"/>
              <w:rPr>
                <w:rFonts w:hint="default"/>
                <w:lang w:val="en-US" w:eastAsia="zh-CN"/>
              </w:rPr>
            </w:pPr>
          </w:p>
        </w:tc>
        <w:tc>
          <w:tcPr>
            <w:tcW w:w="889" w:type="pct"/>
            <w:shd w:val="clear" w:color="auto" w:fill="auto"/>
            <w:vAlign w:val="center"/>
          </w:tcPr>
          <w:p w14:paraId="2117DF6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产生浓度mg/L</w:t>
            </w:r>
          </w:p>
        </w:tc>
        <w:tc>
          <w:tcPr>
            <w:tcW w:w="541" w:type="pct"/>
            <w:vMerge w:val="continue"/>
            <w:vAlign w:val="center"/>
          </w:tcPr>
          <w:p w14:paraId="42CF83CF">
            <w:pPr>
              <w:pStyle w:val="31"/>
              <w:bidi w:val="0"/>
              <w:jc w:val="center"/>
              <w:rPr>
                <w:rFonts w:hint="default"/>
                <w:lang w:val="en-US" w:eastAsia="zh-CN"/>
              </w:rPr>
            </w:pPr>
          </w:p>
        </w:tc>
        <w:tc>
          <w:tcPr>
            <w:tcW w:w="795" w:type="pct"/>
            <w:vAlign w:val="center"/>
          </w:tcPr>
          <w:p w14:paraId="5A3DEA76">
            <w:pPr>
              <w:pStyle w:val="31"/>
              <w:bidi w:val="0"/>
              <w:jc w:val="center"/>
              <w:rPr>
                <w:rFonts w:hint="default"/>
                <w:lang w:val="en-US" w:eastAsia="zh-CN"/>
              </w:rPr>
            </w:pPr>
            <w:r>
              <w:rPr>
                <w:rFonts w:hint="eastAsia"/>
                <w:lang w:val="en-US" w:eastAsia="zh-CN"/>
              </w:rPr>
              <w:t>6~9</w:t>
            </w:r>
          </w:p>
        </w:tc>
        <w:tc>
          <w:tcPr>
            <w:tcW w:w="468" w:type="pct"/>
            <w:vAlign w:val="center"/>
          </w:tcPr>
          <w:p w14:paraId="64FA95CC">
            <w:pPr>
              <w:pStyle w:val="31"/>
              <w:bidi w:val="0"/>
              <w:jc w:val="center"/>
              <w:rPr>
                <w:rFonts w:hint="default"/>
                <w:lang w:val="en-US" w:eastAsia="zh-CN"/>
              </w:rPr>
            </w:pPr>
            <w:r>
              <w:rPr>
                <w:rFonts w:hint="eastAsia"/>
                <w:lang w:val="en-US" w:eastAsia="zh-CN"/>
              </w:rPr>
              <w:t>213.33</w:t>
            </w:r>
          </w:p>
        </w:tc>
        <w:tc>
          <w:tcPr>
            <w:tcW w:w="424" w:type="pct"/>
            <w:vAlign w:val="center"/>
          </w:tcPr>
          <w:p w14:paraId="7C65E848">
            <w:pPr>
              <w:pStyle w:val="31"/>
              <w:bidi w:val="0"/>
              <w:jc w:val="center"/>
              <w:rPr>
                <w:rFonts w:hint="default"/>
                <w:lang w:val="en-US" w:eastAsia="zh-CN"/>
              </w:rPr>
            </w:pPr>
            <w:r>
              <w:rPr>
                <w:rFonts w:hint="eastAsia"/>
                <w:lang w:val="en-US" w:eastAsia="zh-CN"/>
              </w:rPr>
              <w:t>170</w:t>
            </w:r>
          </w:p>
        </w:tc>
        <w:tc>
          <w:tcPr>
            <w:tcW w:w="396" w:type="pct"/>
            <w:vAlign w:val="center"/>
          </w:tcPr>
          <w:p w14:paraId="73EDE3D5">
            <w:pPr>
              <w:pStyle w:val="31"/>
              <w:bidi w:val="0"/>
              <w:jc w:val="center"/>
              <w:rPr>
                <w:rFonts w:hint="default"/>
                <w:lang w:val="en-US" w:eastAsia="zh-CN"/>
              </w:rPr>
            </w:pPr>
            <w:r>
              <w:rPr>
                <w:rFonts w:hint="eastAsia"/>
                <w:lang w:val="en-US" w:eastAsia="zh-CN"/>
              </w:rPr>
              <w:t>30</w:t>
            </w:r>
          </w:p>
        </w:tc>
        <w:tc>
          <w:tcPr>
            <w:tcW w:w="396" w:type="pct"/>
            <w:vAlign w:val="center"/>
          </w:tcPr>
          <w:p w14:paraId="7AE7EC4D">
            <w:pPr>
              <w:pStyle w:val="31"/>
              <w:bidi w:val="0"/>
              <w:jc w:val="center"/>
              <w:rPr>
                <w:rFonts w:hint="default"/>
                <w:lang w:val="en-US" w:eastAsia="zh-CN"/>
              </w:rPr>
            </w:pPr>
            <w:r>
              <w:rPr>
                <w:rFonts w:hint="eastAsia"/>
                <w:lang w:val="en-US" w:eastAsia="zh-CN"/>
              </w:rPr>
              <w:t>1200</w:t>
            </w:r>
          </w:p>
        </w:tc>
        <w:tc>
          <w:tcPr>
            <w:tcW w:w="516" w:type="pct"/>
            <w:vAlign w:val="center"/>
          </w:tcPr>
          <w:p w14:paraId="078ECAB3">
            <w:pPr>
              <w:pStyle w:val="31"/>
              <w:bidi w:val="0"/>
              <w:jc w:val="center"/>
              <w:rPr>
                <w:rFonts w:hint="default"/>
                <w:lang w:val="en-US" w:eastAsia="zh-CN"/>
              </w:rPr>
            </w:pPr>
            <w:r>
              <w:rPr>
                <w:rFonts w:hint="eastAsia"/>
                <w:lang w:val="en-US" w:eastAsia="zh-CN"/>
              </w:rPr>
              <w:t>16.67</w:t>
            </w:r>
          </w:p>
        </w:tc>
      </w:tr>
      <w:tr w14:paraId="58B9F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7DD5982E">
            <w:pPr>
              <w:pStyle w:val="31"/>
              <w:bidi w:val="0"/>
              <w:jc w:val="center"/>
              <w:rPr>
                <w:rFonts w:hint="eastAsia"/>
                <w:lang w:val="en-US" w:eastAsia="zh-CN"/>
              </w:rPr>
            </w:pPr>
            <w:r>
              <w:rPr>
                <w:rFonts w:hint="eastAsia"/>
                <w:lang w:val="en-US" w:eastAsia="zh-CN"/>
              </w:rPr>
              <w:t>初期</w:t>
            </w:r>
          </w:p>
          <w:p w14:paraId="6A812502">
            <w:pPr>
              <w:pStyle w:val="31"/>
              <w:bidi w:val="0"/>
              <w:jc w:val="center"/>
              <w:rPr>
                <w:rFonts w:hint="default"/>
                <w:lang w:val="en-US" w:eastAsia="zh-CN"/>
              </w:rPr>
            </w:pPr>
            <w:r>
              <w:rPr>
                <w:rFonts w:hint="eastAsia"/>
                <w:lang w:val="en-US" w:eastAsia="zh-CN"/>
              </w:rPr>
              <w:t>雨水</w:t>
            </w:r>
          </w:p>
        </w:tc>
        <w:tc>
          <w:tcPr>
            <w:tcW w:w="889" w:type="pct"/>
            <w:shd w:val="clear" w:color="auto" w:fill="auto"/>
            <w:vAlign w:val="center"/>
          </w:tcPr>
          <w:p w14:paraId="0FE4DAD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产生量t/a</w:t>
            </w:r>
          </w:p>
        </w:tc>
        <w:tc>
          <w:tcPr>
            <w:tcW w:w="541" w:type="pct"/>
            <w:vMerge w:val="restart"/>
            <w:vAlign w:val="center"/>
          </w:tcPr>
          <w:p w14:paraId="5B3F3FB0">
            <w:pPr>
              <w:pStyle w:val="31"/>
              <w:bidi w:val="0"/>
              <w:jc w:val="center"/>
              <w:rPr>
                <w:rFonts w:hint="default"/>
                <w:lang w:val="en-US" w:eastAsia="zh-CN"/>
              </w:rPr>
            </w:pPr>
            <w:r>
              <w:rPr>
                <w:rFonts w:hint="eastAsia"/>
                <w:lang w:val="en-US" w:eastAsia="zh-CN"/>
              </w:rPr>
              <w:t>4500</w:t>
            </w:r>
          </w:p>
        </w:tc>
        <w:tc>
          <w:tcPr>
            <w:tcW w:w="795" w:type="pct"/>
            <w:shd w:val="clear" w:color="auto" w:fill="auto"/>
            <w:vAlign w:val="center"/>
          </w:tcPr>
          <w:p w14:paraId="03E71D1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68" w:type="pct"/>
            <w:vAlign w:val="center"/>
          </w:tcPr>
          <w:p w14:paraId="53273718">
            <w:pPr>
              <w:pStyle w:val="31"/>
              <w:bidi w:val="0"/>
              <w:jc w:val="center"/>
              <w:rPr>
                <w:rFonts w:hint="default"/>
                <w:lang w:val="en-US" w:eastAsia="zh-CN"/>
              </w:rPr>
            </w:pPr>
            <w:r>
              <w:rPr>
                <w:rFonts w:hint="eastAsia"/>
                <w:lang w:val="en-US" w:eastAsia="zh-CN"/>
              </w:rPr>
              <w:t>0.960</w:t>
            </w:r>
          </w:p>
        </w:tc>
        <w:tc>
          <w:tcPr>
            <w:tcW w:w="424" w:type="pct"/>
            <w:vAlign w:val="center"/>
          </w:tcPr>
          <w:p w14:paraId="7D878BCC">
            <w:pPr>
              <w:pStyle w:val="31"/>
              <w:bidi w:val="0"/>
              <w:jc w:val="center"/>
              <w:rPr>
                <w:rFonts w:hint="default"/>
                <w:lang w:val="en-US" w:eastAsia="zh-CN"/>
              </w:rPr>
            </w:pPr>
            <w:r>
              <w:rPr>
                <w:rFonts w:hint="eastAsia"/>
                <w:lang w:val="en-US" w:eastAsia="zh-CN"/>
              </w:rPr>
              <w:t>0.765</w:t>
            </w:r>
          </w:p>
        </w:tc>
        <w:tc>
          <w:tcPr>
            <w:tcW w:w="396" w:type="pct"/>
            <w:vAlign w:val="center"/>
          </w:tcPr>
          <w:p w14:paraId="02B81946">
            <w:pPr>
              <w:pStyle w:val="31"/>
              <w:bidi w:val="0"/>
              <w:jc w:val="center"/>
              <w:rPr>
                <w:rFonts w:hint="default"/>
                <w:lang w:val="en-US" w:eastAsia="zh-CN"/>
              </w:rPr>
            </w:pPr>
            <w:r>
              <w:rPr>
                <w:rFonts w:hint="eastAsia"/>
                <w:lang w:val="en-US" w:eastAsia="zh-CN"/>
              </w:rPr>
              <w:t>0.135</w:t>
            </w:r>
          </w:p>
        </w:tc>
        <w:tc>
          <w:tcPr>
            <w:tcW w:w="396" w:type="pct"/>
            <w:vAlign w:val="center"/>
          </w:tcPr>
          <w:p w14:paraId="3A25BF0C">
            <w:pPr>
              <w:pStyle w:val="31"/>
              <w:bidi w:val="0"/>
              <w:jc w:val="center"/>
              <w:rPr>
                <w:rFonts w:hint="default"/>
                <w:lang w:val="en-US" w:eastAsia="zh-CN"/>
              </w:rPr>
            </w:pPr>
            <w:r>
              <w:rPr>
                <w:rFonts w:hint="eastAsia"/>
                <w:lang w:val="en-US" w:eastAsia="zh-CN"/>
              </w:rPr>
              <w:t>5.400</w:t>
            </w:r>
          </w:p>
        </w:tc>
        <w:tc>
          <w:tcPr>
            <w:tcW w:w="516" w:type="pct"/>
            <w:vAlign w:val="center"/>
          </w:tcPr>
          <w:p w14:paraId="200BD54C">
            <w:pPr>
              <w:pStyle w:val="31"/>
              <w:bidi w:val="0"/>
              <w:jc w:val="center"/>
              <w:rPr>
                <w:rFonts w:hint="default"/>
                <w:lang w:val="en-US" w:eastAsia="zh-CN"/>
              </w:rPr>
            </w:pPr>
            <w:r>
              <w:rPr>
                <w:rFonts w:hint="eastAsia"/>
                <w:lang w:val="en-US" w:eastAsia="zh-CN"/>
              </w:rPr>
              <w:t>0.076</w:t>
            </w:r>
          </w:p>
        </w:tc>
      </w:tr>
      <w:tr w14:paraId="4CDE6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4AFC017D">
            <w:pPr>
              <w:pStyle w:val="31"/>
              <w:bidi w:val="0"/>
              <w:jc w:val="center"/>
              <w:rPr>
                <w:rFonts w:hint="default"/>
                <w:lang w:val="en-US" w:eastAsia="zh-CN"/>
              </w:rPr>
            </w:pPr>
          </w:p>
        </w:tc>
        <w:tc>
          <w:tcPr>
            <w:tcW w:w="889" w:type="pct"/>
            <w:shd w:val="clear" w:color="auto" w:fill="auto"/>
            <w:vAlign w:val="center"/>
          </w:tcPr>
          <w:p w14:paraId="6153D9B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产生浓度mg/L</w:t>
            </w:r>
          </w:p>
        </w:tc>
        <w:tc>
          <w:tcPr>
            <w:tcW w:w="541" w:type="pct"/>
            <w:vMerge w:val="continue"/>
            <w:vAlign w:val="center"/>
          </w:tcPr>
          <w:p w14:paraId="118E7C2A">
            <w:pPr>
              <w:pStyle w:val="31"/>
              <w:bidi w:val="0"/>
              <w:jc w:val="center"/>
              <w:rPr>
                <w:rFonts w:hint="default"/>
                <w:lang w:val="en-US" w:eastAsia="zh-CN"/>
              </w:rPr>
            </w:pPr>
          </w:p>
        </w:tc>
        <w:tc>
          <w:tcPr>
            <w:tcW w:w="795" w:type="pct"/>
            <w:shd w:val="clear" w:color="auto" w:fill="auto"/>
            <w:vAlign w:val="center"/>
          </w:tcPr>
          <w:p w14:paraId="7D67CD9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6~9</w:t>
            </w:r>
          </w:p>
        </w:tc>
        <w:tc>
          <w:tcPr>
            <w:tcW w:w="468" w:type="pct"/>
            <w:shd w:val="clear" w:color="auto" w:fill="auto"/>
            <w:vAlign w:val="center"/>
          </w:tcPr>
          <w:p w14:paraId="03CFA00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213.33</w:t>
            </w:r>
          </w:p>
        </w:tc>
        <w:tc>
          <w:tcPr>
            <w:tcW w:w="424" w:type="pct"/>
            <w:shd w:val="clear" w:color="auto" w:fill="auto"/>
            <w:vAlign w:val="center"/>
          </w:tcPr>
          <w:p w14:paraId="16E003D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170</w:t>
            </w:r>
          </w:p>
        </w:tc>
        <w:tc>
          <w:tcPr>
            <w:tcW w:w="396" w:type="pct"/>
            <w:shd w:val="clear" w:color="auto" w:fill="auto"/>
            <w:vAlign w:val="center"/>
          </w:tcPr>
          <w:p w14:paraId="7EFAFC8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30</w:t>
            </w:r>
          </w:p>
        </w:tc>
        <w:tc>
          <w:tcPr>
            <w:tcW w:w="396" w:type="pct"/>
            <w:shd w:val="clear" w:color="auto" w:fill="auto"/>
            <w:vAlign w:val="center"/>
          </w:tcPr>
          <w:p w14:paraId="1DA9F77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1200</w:t>
            </w:r>
          </w:p>
        </w:tc>
        <w:tc>
          <w:tcPr>
            <w:tcW w:w="516" w:type="pct"/>
            <w:shd w:val="clear" w:color="auto" w:fill="auto"/>
            <w:vAlign w:val="center"/>
          </w:tcPr>
          <w:p w14:paraId="55E0661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16.67</w:t>
            </w:r>
          </w:p>
        </w:tc>
      </w:tr>
      <w:tr w14:paraId="7E26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54FF6DD1">
            <w:pPr>
              <w:pStyle w:val="31"/>
              <w:bidi w:val="0"/>
              <w:jc w:val="center"/>
              <w:rPr>
                <w:rFonts w:hint="eastAsia"/>
                <w:lang w:val="en-US" w:eastAsia="zh-CN"/>
              </w:rPr>
            </w:pPr>
            <w:r>
              <w:rPr>
                <w:rFonts w:hint="eastAsia"/>
                <w:lang w:val="en-US" w:eastAsia="zh-CN"/>
              </w:rPr>
              <w:t>压舱</w:t>
            </w:r>
          </w:p>
          <w:p w14:paraId="616B886A">
            <w:pPr>
              <w:pStyle w:val="31"/>
              <w:bidi w:val="0"/>
              <w:jc w:val="center"/>
              <w:rPr>
                <w:rFonts w:hint="default"/>
                <w:lang w:val="en-US" w:eastAsia="zh-CN"/>
              </w:rPr>
            </w:pPr>
            <w:r>
              <w:rPr>
                <w:rFonts w:hint="eastAsia"/>
                <w:lang w:val="en-US" w:eastAsia="zh-CN"/>
              </w:rPr>
              <w:t>废水</w:t>
            </w:r>
          </w:p>
        </w:tc>
        <w:tc>
          <w:tcPr>
            <w:tcW w:w="889" w:type="pct"/>
            <w:shd w:val="clear" w:color="auto" w:fill="auto"/>
            <w:vAlign w:val="center"/>
          </w:tcPr>
          <w:p w14:paraId="7BA7834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产生量t/a</w:t>
            </w:r>
          </w:p>
        </w:tc>
        <w:tc>
          <w:tcPr>
            <w:tcW w:w="541" w:type="pct"/>
            <w:vMerge w:val="restart"/>
            <w:vAlign w:val="center"/>
          </w:tcPr>
          <w:p w14:paraId="4018698F">
            <w:pPr>
              <w:pStyle w:val="31"/>
              <w:bidi w:val="0"/>
              <w:jc w:val="center"/>
              <w:rPr>
                <w:rFonts w:hint="default"/>
                <w:lang w:val="en-US" w:eastAsia="zh-CN"/>
              </w:rPr>
            </w:pPr>
            <w:r>
              <w:rPr>
                <w:rFonts w:hint="eastAsia"/>
                <w:lang w:val="en-US" w:eastAsia="zh-CN"/>
              </w:rPr>
              <w:t>495</w:t>
            </w:r>
          </w:p>
        </w:tc>
        <w:tc>
          <w:tcPr>
            <w:tcW w:w="795" w:type="pct"/>
            <w:shd w:val="clear" w:color="auto" w:fill="auto"/>
            <w:vAlign w:val="center"/>
          </w:tcPr>
          <w:p w14:paraId="462989BF">
            <w:pPr>
              <w:pStyle w:val="31"/>
              <w:bidi w:val="0"/>
              <w:ind w:firstLine="0" w:firstLineChars="0"/>
              <w:jc w:val="center"/>
              <w:rPr>
                <w:rFonts w:hint="default"/>
                <w:lang w:val="en-US" w:eastAsia="zh-CN"/>
              </w:rPr>
            </w:pPr>
            <w:r>
              <w:rPr>
                <w:rFonts w:hint="eastAsia"/>
                <w:lang w:val="en-US" w:eastAsia="zh-CN"/>
              </w:rPr>
              <w:t>/</w:t>
            </w:r>
          </w:p>
        </w:tc>
        <w:tc>
          <w:tcPr>
            <w:tcW w:w="468" w:type="pct"/>
            <w:shd w:val="clear" w:color="auto" w:fill="auto"/>
            <w:vAlign w:val="center"/>
          </w:tcPr>
          <w:p w14:paraId="5177B887">
            <w:pPr>
              <w:pStyle w:val="31"/>
              <w:bidi w:val="0"/>
              <w:ind w:firstLine="0" w:firstLineChars="0"/>
              <w:jc w:val="center"/>
              <w:rPr>
                <w:rFonts w:hint="default"/>
                <w:lang w:val="en-US" w:eastAsia="zh-CN"/>
              </w:rPr>
            </w:pPr>
            <w:r>
              <w:rPr>
                <w:rFonts w:hint="eastAsia"/>
                <w:lang w:val="en-US" w:eastAsia="zh-CN"/>
              </w:rPr>
              <w:t>0.106</w:t>
            </w:r>
          </w:p>
        </w:tc>
        <w:tc>
          <w:tcPr>
            <w:tcW w:w="424" w:type="pct"/>
            <w:shd w:val="clear" w:color="auto" w:fill="auto"/>
            <w:vAlign w:val="center"/>
          </w:tcPr>
          <w:p w14:paraId="6E1153BF">
            <w:pPr>
              <w:pStyle w:val="31"/>
              <w:bidi w:val="0"/>
              <w:ind w:firstLine="0" w:firstLineChars="0"/>
              <w:jc w:val="center"/>
              <w:rPr>
                <w:rFonts w:hint="default"/>
                <w:lang w:val="en-US" w:eastAsia="zh-CN"/>
              </w:rPr>
            </w:pPr>
            <w:r>
              <w:rPr>
                <w:rFonts w:hint="eastAsia"/>
                <w:lang w:val="en-US" w:eastAsia="zh-CN"/>
              </w:rPr>
              <w:t>0.084</w:t>
            </w:r>
          </w:p>
        </w:tc>
        <w:tc>
          <w:tcPr>
            <w:tcW w:w="396" w:type="pct"/>
            <w:shd w:val="clear" w:color="auto" w:fill="auto"/>
            <w:vAlign w:val="center"/>
          </w:tcPr>
          <w:p w14:paraId="5B9B1E10">
            <w:pPr>
              <w:pStyle w:val="31"/>
              <w:bidi w:val="0"/>
              <w:ind w:firstLine="0" w:firstLineChars="0"/>
              <w:jc w:val="center"/>
              <w:rPr>
                <w:rFonts w:hint="default"/>
                <w:lang w:val="en-US" w:eastAsia="zh-CN"/>
              </w:rPr>
            </w:pPr>
            <w:r>
              <w:rPr>
                <w:rFonts w:hint="eastAsia"/>
                <w:lang w:val="en-US" w:eastAsia="zh-CN"/>
              </w:rPr>
              <w:t>0.015</w:t>
            </w:r>
          </w:p>
        </w:tc>
        <w:tc>
          <w:tcPr>
            <w:tcW w:w="396" w:type="pct"/>
            <w:shd w:val="clear" w:color="auto" w:fill="auto"/>
            <w:vAlign w:val="center"/>
          </w:tcPr>
          <w:p w14:paraId="0E617A8C">
            <w:pPr>
              <w:pStyle w:val="31"/>
              <w:bidi w:val="0"/>
              <w:ind w:firstLine="0" w:firstLineChars="0"/>
              <w:jc w:val="center"/>
              <w:rPr>
                <w:rFonts w:hint="default"/>
                <w:lang w:val="en-US" w:eastAsia="zh-CN"/>
              </w:rPr>
            </w:pPr>
            <w:r>
              <w:rPr>
                <w:rFonts w:hint="eastAsia"/>
                <w:lang w:val="en-US" w:eastAsia="zh-CN"/>
              </w:rPr>
              <w:t>0.594</w:t>
            </w:r>
          </w:p>
        </w:tc>
        <w:tc>
          <w:tcPr>
            <w:tcW w:w="516" w:type="pct"/>
            <w:shd w:val="clear" w:color="auto" w:fill="auto"/>
            <w:vAlign w:val="center"/>
          </w:tcPr>
          <w:p w14:paraId="3556A358">
            <w:pPr>
              <w:pStyle w:val="31"/>
              <w:bidi w:val="0"/>
              <w:ind w:firstLine="0" w:firstLineChars="0"/>
              <w:jc w:val="center"/>
              <w:rPr>
                <w:rFonts w:hint="default"/>
                <w:lang w:val="en-US" w:eastAsia="zh-CN"/>
              </w:rPr>
            </w:pPr>
            <w:r>
              <w:rPr>
                <w:rFonts w:hint="eastAsia"/>
                <w:lang w:val="en-US" w:eastAsia="zh-CN"/>
              </w:rPr>
              <w:t>0.008</w:t>
            </w:r>
          </w:p>
        </w:tc>
      </w:tr>
      <w:tr w14:paraId="5DDF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7423929E">
            <w:pPr>
              <w:pStyle w:val="31"/>
              <w:bidi w:val="0"/>
              <w:jc w:val="center"/>
              <w:rPr>
                <w:rFonts w:hint="default"/>
                <w:lang w:val="en-US" w:eastAsia="zh-CN"/>
              </w:rPr>
            </w:pPr>
          </w:p>
        </w:tc>
        <w:tc>
          <w:tcPr>
            <w:tcW w:w="889" w:type="pct"/>
            <w:shd w:val="clear" w:color="auto" w:fill="auto"/>
            <w:vAlign w:val="center"/>
          </w:tcPr>
          <w:p w14:paraId="29CEFDDE">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产生浓度mg/L</w:t>
            </w:r>
          </w:p>
        </w:tc>
        <w:tc>
          <w:tcPr>
            <w:tcW w:w="541" w:type="pct"/>
            <w:vMerge w:val="continue"/>
            <w:vAlign w:val="center"/>
          </w:tcPr>
          <w:p w14:paraId="6070730B">
            <w:pPr>
              <w:pStyle w:val="31"/>
              <w:bidi w:val="0"/>
              <w:jc w:val="center"/>
              <w:rPr>
                <w:rFonts w:hint="default"/>
                <w:lang w:val="en-US" w:eastAsia="zh-CN"/>
              </w:rPr>
            </w:pPr>
          </w:p>
        </w:tc>
        <w:tc>
          <w:tcPr>
            <w:tcW w:w="795" w:type="pct"/>
            <w:shd w:val="clear" w:color="auto" w:fill="auto"/>
            <w:vAlign w:val="center"/>
          </w:tcPr>
          <w:p w14:paraId="14078943">
            <w:pPr>
              <w:pStyle w:val="31"/>
              <w:bidi w:val="0"/>
              <w:ind w:firstLine="0" w:firstLineChars="0"/>
              <w:jc w:val="center"/>
              <w:rPr>
                <w:rFonts w:hint="default"/>
                <w:lang w:val="en-US" w:eastAsia="zh-CN"/>
              </w:rPr>
            </w:pPr>
            <w:r>
              <w:rPr>
                <w:rFonts w:hint="eastAsia"/>
                <w:lang w:val="en-US" w:eastAsia="zh-CN"/>
              </w:rPr>
              <w:t>6~9</w:t>
            </w:r>
          </w:p>
        </w:tc>
        <w:tc>
          <w:tcPr>
            <w:tcW w:w="468" w:type="pct"/>
            <w:shd w:val="clear" w:color="auto" w:fill="auto"/>
            <w:vAlign w:val="center"/>
          </w:tcPr>
          <w:p w14:paraId="00449C0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213.33</w:t>
            </w:r>
          </w:p>
        </w:tc>
        <w:tc>
          <w:tcPr>
            <w:tcW w:w="424" w:type="pct"/>
            <w:shd w:val="clear" w:color="auto" w:fill="auto"/>
            <w:vAlign w:val="center"/>
          </w:tcPr>
          <w:p w14:paraId="397D617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170</w:t>
            </w:r>
          </w:p>
        </w:tc>
        <w:tc>
          <w:tcPr>
            <w:tcW w:w="396" w:type="pct"/>
            <w:shd w:val="clear" w:color="auto" w:fill="auto"/>
            <w:vAlign w:val="center"/>
          </w:tcPr>
          <w:p w14:paraId="12C0F08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30</w:t>
            </w:r>
          </w:p>
        </w:tc>
        <w:tc>
          <w:tcPr>
            <w:tcW w:w="396" w:type="pct"/>
            <w:shd w:val="clear" w:color="auto" w:fill="auto"/>
            <w:vAlign w:val="center"/>
          </w:tcPr>
          <w:p w14:paraId="5E316CD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1200</w:t>
            </w:r>
          </w:p>
        </w:tc>
        <w:tc>
          <w:tcPr>
            <w:tcW w:w="516" w:type="pct"/>
            <w:shd w:val="clear" w:color="auto" w:fill="auto"/>
            <w:vAlign w:val="center"/>
          </w:tcPr>
          <w:p w14:paraId="1D87C6D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16.67</w:t>
            </w:r>
          </w:p>
        </w:tc>
      </w:tr>
      <w:tr w14:paraId="2960A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69626918">
            <w:pPr>
              <w:pStyle w:val="31"/>
              <w:bidi w:val="0"/>
              <w:jc w:val="center"/>
              <w:rPr>
                <w:rFonts w:hint="eastAsia"/>
                <w:lang w:val="en-US" w:eastAsia="zh-CN"/>
              </w:rPr>
            </w:pPr>
            <w:r>
              <w:rPr>
                <w:rFonts w:hint="eastAsia"/>
                <w:lang w:val="en-US" w:eastAsia="zh-CN"/>
              </w:rPr>
              <w:t>废水处理</w:t>
            </w:r>
          </w:p>
          <w:p w14:paraId="7F2FB026">
            <w:pPr>
              <w:pStyle w:val="31"/>
              <w:bidi w:val="0"/>
              <w:jc w:val="center"/>
              <w:rPr>
                <w:rFonts w:hint="default"/>
                <w:lang w:val="en-US" w:eastAsia="zh-CN"/>
              </w:rPr>
            </w:pPr>
            <w:r>
              <w:rPr>
                <w:rFonts w:hint="eastAsia"/>
                <w:lang w:val="en-US" w:eastAsia="zh-CN"/>
              </w:rPr>
              <w:t>站进水</w:t>
            </w:r>
          </w:p>
        </w:tc>
        <w:tc>
          <w:tcPr>
            <w:tcW w:w="889" w:type="pct"/>
            <w:shd w:val="clear" w:color="auto" w:fill="auto"/>
            <w:vAlign w:val="center"/>
          </w:tcPr>
          <w:p w14:paraId="45A3EC75">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产生量t/a</w:t>
            </w:r>
          </w:p>
        </w:tc>
        <w:tc>
          <w:tcPr>
            <w:tcW w:w="541" w:type="pct"/>
            <w:vMerge w:val="restart"/>
            <w:vAlign w:val="center"/>
          </w:tcPr>
          <w:p w14:paraId="68CBEB53">
            <w:pPr>
              <w:pStyle w:val="31"/>
              <w:bidi w:val="0"/>
              <w:jc w:val="center"/>
              <w:rPr>
                <w:rFonts w:hint="default"/>
                <w:lang w:val="en-US" w:eastAsia="zh-CN"/>
              </w:rPr>
            </w:pPr>
            <w:r>
              <w:rPr>
                <w:rFonts w:hint="eastAsia"/>
                <w:lang w:val="en-US" w:eastAsia="zh-CN"/>
              </w:rPr>
              <w:t>5498.2</w:t>
            </w:r>
          </w:p>
        </w:tc>
        <w:tc>
          <w:tcPr>
            <w:tcW w:w="795" w:type="pct"/>
            <w:shd w:val="clear" w:color="auto" w:fill="auto"/>
            <w:vAlign w:val="center"/>
          </w:tcPr>
          <w:p w14:paraId="1EE04B4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68" w:type="pct"/>
            <w:shd w:val="clear" w:color="auto" w:fill="auto"/>
            <w:vAlign w:val="center"/>
          </w:tcPr>
          <w:p w14:paraId="7789DD67">
            <w:pPr>
              <w:pStyle w:val="31"/>
              <w:bidi w:val="0"/>
              <w:ind w:firstLine="0" w:firstLineChars="0"/>
              <w:jc w:val="center"/>
              <w:rPr>
                <w:rFonts w:hint="default"/>
                <w:lang w:val="en-US" w:eastAsia="zh-CN"/>
              </w:rPr>
            </w:pPr>
            <w:r>
              <w:rPr>
                <w:rFonts w:hint="eastAsia"/>
                <w:lang w:val="en-US" w:eastAsia="zh-CN"/>
              </w:rPr>
              <w:t>1.173</w:t>
            </w:r>
          </w:p>
        </w:tc>
        <w:tc>
          <w:tcPr>
            <w:tcW w:w="424" w:type="pct"/>
            <w:shd w:val="clear" w:color="auto" w:fill="auto"/>
            <w:vAlign w:val="center"/>
          </w:tcPr>
          <w:p w14:paraId="499626BC">
            <w:pPr>
              <w:pStyle w:val="31"/>
              <w:bidi w:val="0"/>
              <w:ind w:firstLine="0" w:firstLineChars="0"/>
              <w:jc w:val="center"/>
              <w:rPr>
                <w:rFonts w:hint="default"/>
                <w:lang w:val="en-US" w:eastAsia="zh-CN"/>
              </w:rPr>
            </w:pPr>
            <w:r>
              <w:rPr>
                <w:rFonts w:hint="eastAsia"/>
                <w:lang w:val="en-US" w:eastAsia="zh-CN"/>
              </w:rPr>
              <w:t>0.935</w:t>
            </w:r>
          </w:p>
        </w:tc>
        <w:tc>
          <w:tcPr>
            <w:tcW w:w="396" w:type="pct"/>
            <w:shd w:val="clear" w:color="auto" w:fill="auto"/>
            <w:vAlign w:val="center"/>
          </w:tcPr>
          <w:p w14:paraId="0783F349">
            <w:pPr>
              <w:pStyle w:val="31"/>
              <w:bidi w:val="0"/>
              <w:ind w:firstLine="0" w:firstLineChars="0"/>
              <w:jc w:val="center"/>
              <w:rPr>
                <w:rFonts w:hint="default"/>
                <w:lang w:val="en-US" w:eastAsia="zh-CN"/>
              </w:rPr>
            </w:pPr>
            <w:r>
              <w:rPr>
                <w:rFonts w:hint="eastAsia"/>
                <w:lang w:val="en-US" w:eastAsia="zh-CN"/>
              </w:rPr>
              <w:t>0.165</w:t>
            </w:r>
          </w:p>
        </w:tc>
        <w:tc>
          <w:tcPr>
            <w:tcW w:w="396" w:type="pct"/>
            <w:shd w:val="clear" w:color="auto" w:fill="auto"/>
            <w:vAlign w:val="center"/>
          </w:tcPr>
          <w:p w14:paraId="6D1BCDCE">
            <w:pPr>
              <w:pStyle w:val="31"/>
              <w:bidi w:val="0"/>
              <w:ind w:firstLine="0" w:firstLineChars="0"/>
              <w:jc w:val="center"/>
              <w:rPr>
                <w:rFonts w:hint="default"/>
                <w:lang w:val="en-US" w:eastAsia="zh-CN"/>
              </w:rPr>
            </w:pPr>
            <w:r>
              <w:rPr>
                <w:rFonts w:hint="eastAsia"/>
                <w:lang w:val="en-US" w:eastAsia="zh-CN"/>
              </w:rPr>
              <w:t>6.598</w:t>
            </w:r>
          </w:p>
        </w:tc>
        <w:tc>
          <w:tcPr>
            <w:tcW w:w="516" w:type="pct"/>
            <w:shd w:val="clear" w:color="auto" w:fill="auto"/>
            <w:vAlign w:val="center"/>
          </w:tcPr>
          <w:p w14:paraId="598BDBB7">
            <w:pPr>
              <w:pStyle w:val="31"/>
              <w:bidi w:val="0"/>
              <w:ind w:firstLine="0" w:firstLineChars="0"/>
              <w:jc w:val="center"/>
              <w:rPr>
                <w:rFonts w:hint="default"/>
                <w:lang w:val="en-US" w:eastAsia="zh-CN"/>
              </w:rPr>
            </w:pPr>
            <w:r>
              <w:rPr>
                <w:rFonts w:hint="eastAsia"/>
                <w:lang w:val="en-US" w:eastAsia="zh-CN"/>
              </w:rPr>
              <w:t>0.093</w:t>
            </w:r>
          </w:p>
        </w:tc>
      </w:tr>
      <w:tr w14:paraId="55159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773BE088">
            <w:pPr>
              <w:pStyle w:val="31"/>
              <w:bidi w:val="0"/>
              <w:jc w:val="center"/>
              <w:rPr>
                <w:rFonts w:hint="default"/>
                <w:lang w:val="en-US" w:eastAsia="zh-CN"/>
              </w:rPr>
            </w:pPr>
          </w:p>
        </w:tc>
        <w:tc>
          <w:tcPr>
            <w:tcW w:w="889" w:type="pct"/>
            <w:shd w:val="clear" w:color="auto" w:fill="auto"/>
            <w:vAlign w:val="center"/>
          </w:tcPr>
          <w:p w14:paraId="5168515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产生浓度mg/L</w:t>
            </w:r>
          </w:p>
        </w:tc>
        <w:tc>
          <w:tcPr>
            <w:tcW w:w="541" w:type="pct"/>
            <w:vMerge w:val="continue"/>
            <w:vAlign w:val="center"/>
          </w:tcPr>
          <w:p w14:paraId="1253890E">
            <w:pPr>
              <w:pStyle w:val="31"/>
              <w:bidi w:val="0"/>
              <w:jc w:val="center"/>
              <w:rPr>
                <w:rFonts w:hint="default"/>
                <w:lang w:val="en-US" w:eastAsia="zh-CN"/>
              </w:rPr>
            </w:pPr>
          </w:p>
        </w:tc>
        <w:tc>
          <w:tcPr>
            <w:tcW w:w="795" w:type="pct"/>
            <w:shd w:val="clear" w:color="auto" w:fill="auto"/>
            <w:vAlign w:val="center"/>
          </w:tcPr>
          <w:p w14:paraId="12ACC8F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6~9</w:t>
            </w:r>
          </w:p>
        </w:tc>
        <w:tc>
          <w:tcPr>
            <w:tcW w:w="468" w:type="pct"/>
            <w:shd w:val="clear" w:color="auto" w:fill="auto"/>
            <w:vAlign w:val="center"/>
          </w:tcPr>
          <w:p w14:paraId="151C422B">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213.33</w:t>
            </w:r>
          </w:p>
        </w:tc>
        <w:tc>
          <w:tcPr>
            <w:tcW w:w="424" w:type="pct"/>
            <w:shd w:val="clear" w:color="auto" w:fill="auto"/>
            <w:vAlign w:val="center"/>
          </w:tcPr>
          <w:p w14:paraId="16AD98D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170</w:t>
            </w:r>
          </w:p>
        </w:tc>
        <w:tc>
          <w:tcPr>
            <w:tcW w:w="396" w:type="pct"/>
            <w:shd w:val="clear" w:color="auto" w:fill="auto"/>
            <w:vAlign w:val="center"/>
          </w:tcPr>
          <w:p w14:paraId="3D79EB5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30</w:t>
            </w:r>
          </w:p>
        </w:tc>
        <w:tc>
          <w:tcPr>
            <w:tcW w:w="396" w:type="pct"/>
            <w:shd w:val="clear" w:color="auto" w:fill="auto"/>
            <w:vAlign w:val="center"/>
          </w:tcPr>
          <w:p w14:paraId="729A5545">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1200</w:t>
            </w:r>
          </w:p>
        </w:tc>
        <w:tc>
          <w:tcPr>
            <w:tcW w:w="516" w:type="pct"/>
            <w:shd w:val="clear" w:color="auto" w:fill="auto"/>
            <w:vAlign w:val="center"/>
          </w:tcPr>
          <w:p w14:paraId="5A14B26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16.67</w:t>
            </w:r>
          </w:p>
        </w:tc>
      </w:tr>
      <w:tr w14:paraId="4A407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Align w:val="center"/>
          </w:tcPr>
          <w:p w14:paraId="721C4ABF">
            <w:pPr>
              <w:pStyle w:val="31"/>
              <w:bidi w:val="0"/>
              <w:ind w:firstLine="0" w:firstLineChars="0"/>
              <w:jc w:val="center"/>
              <w:rPr>
                <w:rFonts w:hint="default"/>
                <w:lang w:val="en-US" w:eastAsia="zh-CN"/>
              </w:rPr>
            </w:pPr>
            <w:r>
              <w:rPr>
                <w:rFonts w:hint="eastAsia"/>
                <w:lang w:val="en-US" w:eastAsia="zh-CN"/>
              </w:rPr>
              <w:t>废水处理工艺</w:t>
            </w:r>
          </w:p>
        </w:tc>
        <w:tc>
          <w:tcPr>
            <w:tcW w:w="3538" w:type="pct"/>
            <w:gridSpan w:val="7"/>
            <w:vAlign w:val="center"/>
          </w:tcPr>
          <w:p w14:paraId="61AA2F73">
            <w:pPr>
              <w:pStyle w:val="31"/>
              <w:bidi w:val="0"/>
              <w:ind w:firstLine="0" w:firstLineChars="0"/>
              <w:jc w:val="center"/>
              <w:rPr>
                <w:rFonts w:hint="default"/>
                <w:lang w:val="en-US" w:eastAsia="zh-CN"/>
              </w:rPr>
            </w:pPr>
            <w:r>
              <w:rPr>
                <w:rFonts w:hint="eastAsia"/>
                <w:lang w:val="en-US" w:eastAsia="zh-CN"/>
              </w:rPr>
              <w:t>调节池+气浮+隔油+AAO+混凝沉淀+斜板沉淀池+清水池</w:t>
            </w:r>
          </w:p>
        </w:tc>
      </w:tr>
      <w:tr w14:paraId="108E5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Align w:val="center"/>
          </w:tcPr>
          <w:p w14:paraId="2233AA76">
            <w:pPr>
              <w:pStyle w:val="31"/>
              <w:bidi w:val="0"/>
              <w:ind w:firstLine="0" w:firstLineChars="0"/>
              <w:jc w:val="center"/>
              <w:rPr>
                <w:rFonts w:hint="default"/>
                <w:lang w:val="en-US" w:eastAsia="zh-CN"/>
              </w:rPr>
            </w:pPr>
            <w:r>
              <w:rPr>
                <w:rFonts w:hint="eastAsia"/>
                <w:lang w:val="en-US" w:eastAsia="zh-CN"/>
              </w:rPr>
              <w:t>去除效率%</w:t>
            </w:r>
          </w:p>
        </w:tc>
        <w:tc>
          <w:tcPr>
            <w:tcW w:w="541" w:type="pct"/>
            <w:vAlign w:val="center"/>
          </w:tcPr>
          <w:p w14:paraId="5288E8E5">
            <w:pPr>
              <w:pStyle w:val="31"/>
              <w:bidi w:val="0"/>
              <w:jc w:val="center"/>
              <w:rPr>
                <w:rFonts w:hint="default"/>
                <w:lang w:val="en-US" w:eastAsia="zh-CN"/>
              </w:rPr>
            </w:pPr>
            <w:r>
              <w:rPr>
                <w:rFonts w:hint="eastAsia"/>
                <w:lang w:val="en-US" w:eastAsia="zh-CN"/>
              </w:rPr>
              <w:t>/</w:t>
            </w:r>
          </w:p>
        </w:tc>
        <w:tc>
          <w:tcPr>
            <w:tcW w:w="795" w:type="pct"/>
            <w:shd w:val="clear" w:color="auto" w:fill="auto"/>
            <w:vAlign w:val="center"/>
          </w:tcPr>
          <w:p w14:paraId="7FB665BC">
            <w:pPr>
              <w:pStyle w:val="31"/>
              <w:bidi w:val="0"/>
              <w:ind w:firstLine="0" w:firstLineChars="0"/>
              <w:jc w:val="center"/>
              <w:rPr>
                <w:rFonts w:hint="default"/>
                <w:lang w:val="en-US" w:eastAsia="zh-CN"/>
              </w:rPr>
            </w:pPr>
            <w:r>
              <w:rPr>
                <w:rFonts w:hint="eastAsia"/>
                <w:lang w:val="en-US" w:eastAsia="zh-CN"/>
              </w:rPr>
              <w:t>/</w:t>
            </w:r>
          </w:p>
        </w:tc>
        <w:tc>
          <w:tcPr>
            <w:tcW w:w="468" w:type="pct"/>
            <w:shd w:val="clear" w:color="auto" w:fill="auto"/>
            <w:vAlign w:val="center"/>
          </w:tcPr>
          <w:p w14:paraId="3D214B27">
            <w:pPr>
              <w:pStyle w:val="31"/>
              <w:bidi w:val="0"/>
              <w:ind w:firstLine="0" w:firstLineChars="0"/>
              <w:jc w:val="center"/>
              <w:rPr>
                <w:rFonts w:hint="default"/>
                <w:lang w:val="en-US" w:eastAsia="zh-CN"/>
              </w:rPr>
            </w:pPr>
            <w:r>
              <w:rPr>
                <w:rFonts w:hint="eastAsia"/>
                <w:lang w:val="en-US" w:eastAsia="zh-CN"/>
              </w:rPr>
              <w:t>90</w:t>
            </w:r>
          </w:p>
        </w:tc>
        <w:tc>
          <w:tcPr>
            <w:tcW w:w="424" w:type="pct"/>
            <w:shd w:val="clear" w:color="auto" w:fill="auto"/>
            <w:vAlign w:val="center"/>
          </w:tcPr>
          <w:p w14:paraId="009F3021">
            <w:pPr>
              <w:pStyle w:val="31"/>
              <w:bidi w:val="0"/>
              <w:ind w:firstLine="0" w:firstLineChars="0"/>
              <w:jc w:val="center"/>
              <w:rPr>
                <w:rFonts w:hint="default"/>
                <w:lang w:val="en-US" w:eastAsia="zh-CN"/>
              </w:rPr>
            </w:pPr>
            <w:r>
              <w:rPr>
                <w:rFonts w:hint="eastAsia"/>
                <w:lang w:val="en-US" w:eastAsia="zh-CN"/>
              </w:rPr>
              <w:t>90</w:t>
            </w:r>
          </w:p>
        </w:tc>
        <w:tc>
          <w:tcPr>
            <w:tcW w:w="396" w:type="pct"/>
            <w:shd w:val="clear" w:color="auto" w:fill="auto"/>
            <w:vAlign w:val="center"/>
          </w:tcPr>
          <w:p w14:paraId="7AD22ECD">
            <w:pPr>
              <w:pStyle w:val="31"/>
              <w:bidi w:val="0"/>
              <w:ind w:firstLine="0" w:firstLineChars="0"/>
              <w:jc w:val="center"/>
              <w:rPr>
                <w:rFonts w:hint="default"/>
                <w:lang w:val="en-US" w:eastAsia="zh-CN"/>
              </w:rPr>
            </w:pPr>
            <w:r>
              <w:rPr>
                <w:rFonts w:hint="eastAsia"/>
                <w:lang w:val="en-US" w:eastAsia="zh-CN"/>
              </w:rPr>
              <w:t>60</w:t>
            </w:r>
          </w:p>
        </w:tc>
        <w:tc>
          <w:tcPr>
            <w:tcW w:w="396" w:type="pct"/>
            <w:shd w:val="clear" w:color="auto" w:fill="auto"/>
            <w:vAlign w:val="center"/>
          </w:tcPr>
          <w:p w14:paraId="5181C2C6">
            <w:pPr>
              <w:pStyle w:val="31"/>
              <w:bidi w:val="0"/>
              <w:ind w:firstLine="0" w:firstLineChars="0"/>
              <w:jc w:val="center"/>
              <w:rPr>
                <w:rFonts w:hint="default"/>
                <w:lang w:val="en-US" w:eastAsia="zh-CN"/>
              </w:rPr>
            </w:pPr>
            <w:r>
              <w:rPr>
                <w:rFonts w:hint="eastAsia"/>
                <w:lang w:val="en-US" w:eastAsia="zh-CN"/>
              </w:rPr>
              <w:t>95</w:t>
            </w:r>
          </w:p>
        </w:tc>
        <w:tc>
          <w:tcPr>
            <w:tcW w:w="516" w:type="pct"/>
            <w:shd w:val="clear" w:color="auto" w:fill="auto"/>
            <w:vAlign w:val="center"/>
          </w:tcPr>
          <w:p w14:paraId="5DE851C4">
            <w:pPr>
              <w:pStyle w:val="31"/>
              <w:bidi w:val="0"/>
              <w:ind w:firstLine="0" w:firstLineChars="0"/>
              <w:jc w:val="center"/>
              <w:rPr>
                <w:rFonts w:hint="default"/>
                <w:lang w:val="en-US" w:eastAsia="zh-CN"/>
              </w:rPr>
            </w:pPr>
            <w:r>
              <w:rPr>
                <w:rFonts w:hint="eastAsia"/>
                <w:lang w:val="en-US" w:eastAsia="zh-CN"/>
              </w:rPr>
              <w:t>90</w:t>
            </w:r>
          </w:p>
        </w:tc>
      </w:tr>
      <w:tr w14:paraId="5DC9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Align w:val="center"/>
          </w:tcPr>
          <w:p w14:paraId="6DD9FC23">
            <w:pPr>
              <w:pStyle w:val="31"/>
              <w:bidi w:val="0"/>
              <w:ind w:firstLine="0" w:firstLineChars="0"/>
              <w:jc w:val="center"/>
              <w:rPr>
                <w:rFonts w:hint="default"/>
                <w:lang w:val="en-US" w:eastAsia="zh-CN"/>
              </w:rPr>
            </w:pPr>
            <w:r>
              <w:rPr>
                <w:rFonts w:hint="eastAsia"/>
                <w:lang w:val="en-US" w:eastAsia="zh-CN"/>
              </w:rPr>
              <w:t>排水去向</w:t>
            </w:r>
          </w:p>
        </w:tc>
        <w:tc>
          <w:tcPr>
            <w:tcW w:w="3538" w:type="pct"/>
            <w:gridSpan w:val="7"/>
            <w:vAlign w:val="center"/>
          </w:tcPr>
          <w:p w14:paraId="65383D88">
            <w:pPr>
              <w:pStyle w:val="31"/>
              <w:bidi w:val="0"/>
              <w:ind w:firstLine="0" w:firstLineChars="0"/>
              <w:jc w:val="center"/>
              <w:rPr>
                <w:rFonts w:hint="default"/>
                <w:vertAlign w:val="baseline"/>
                <w:lang w:val="en-US" w:eastAsia="zh-CN"/>
              </w:rPr>
            </w:pPr>
            <w:r>
              <w:rPr>
                <w:rFonts w:hint="eastAsia"/>
                <w:lang w:val="en-US" w:eastAsia="zh-CN"/>
              </w:rPr>
              <w:t>处理后的废水1329.67m</w:t>
            </w:r>
            <w:r>
              <w:rPr>
                <w:rFonts w:hint="eastAsia"/>
                <w:vertAlign w:val="superscript"/>
                <w:lang w:val="en-US" w:eastAsia="zh-CN"/>
              </w:rPr>
              <w:t>3</w:t>
            </w:r>
            <w:r>
              <w:rPr>
                <w:rFonts w:hint="eastAsia"/>
                <w:vertAlign w:val="baseline"/>
                <w:lang w:val="en-US" w:eastAsia="zh-CN"/>
              </w:rPr>
              <w:t>/a回用于生产，4168.53m</w:t>
            </w:r>
            <w:r>
              <w:rPr>
                <w:rFonts w:hint="eastAsia"/>
                <w:vertAlign w:val="superscript"/>
                <w:lang w:val="en-US" w:eastAsia="zh-CN"/>
              </w:rPr>
              <w:t>3</w:t>
            </w:r>
            <w:r>
              <w:rPr>
                <w:rFonts w:hint="eastAsia"/>
                <w:vertAlign w:val="baseline"/>
                <w:lang w:val="en-US" w:eastAsia="zh-CN"/>
              </w:rPr>
              <w:t>/a通过罐车运输至三樟镇污水处理厂处理</w:t>
            </w:r>
          </w:p>
        </w:tc>
      </w:tr>
      <w:tr w14:paraId="403EC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restart"/>
            <w:vAlign w:val="center"/>
          </w:tcPr>
          <w:p w14:paraId="2D1D0FF2">
            <w:pPr>
              <w:pStyle w:val="31"/>
              <w:bidi w:val="0"/>
              <w:jc w:val="center"/>
              <w:rPr>
                <w:rFonts w:hint="eastAsia"/>
                <w:lang w:val="en-US" w:eastAsia="zh-CN"/>
              </w:rPr>
            </w:pPr>
            <w:r>
              <w:rPr>
                <w:rFonts w:hint="eastAsia"/>
                <w:lang w:val="en-US" w:eastAsia="zh-CN"/>
              </w:rPr>
              <w:t>废水处理</w:t>
            </w:r>
          </w:p>
          <w:p w14:paraId="041047AC">
            <w:pPr>
              <w:pStyle w:val="31"/>
              <w:bidi w:val="0"/>
              <w:jc w:val="center"/>
              <w:rPr>
                <w:rFonts w:hint="default"/>
                <w:lang w:val="en-US" w:eastAsia="zh-CN"/>
              </w:rPr>
            </w:pPr>
            <w:r>
              <w:rPr>
                <w:rFonts w:hint="eastAsia"/>
                <w:lang w:val="en-US" w:eastAsia="zh-CN"/>
              </w:rPr>
              <w:t>站出水</w:t>
            </w:r>
          </w:p>
        </w:tc>
        <w:tc>
          <w:tcPr>
            <w:tcW w:w="889" w:type="pct"/>
            <w:shd w:val="clear" w:color="auto" w:fill="auto"/>
            <w:vAlign w:val="center"/>
          </w:tcPr>
          <w:p w14:paraId="3F643513">
            <w:pPr>
              <w:pStyle w:val="31"/>
              <w:bidi w:val="0"/>
              <w:ind w:firstLine="0" w:firstLineChars="0"/>
              <w:jc w:val="center"/>
              <w:rPr>
                <w:rFonts w:hint="default"/>
                <w:lang w:val="en-US" w:eastAsia="zh-CN"/>
              </w:rPr>
            </w:pPr>
            <w:r>
              <w:rPr>
                <w:rFonts w:hint="eastAsia"/>
                <w:lang w:val="en-US" w:eastAsia="zh-CN"/>
              </w:rPr>
              <w:t>排放量t/a</w:t>
            </w:r>
          </w:p>
        </w:tc>
        <w:tc>
          <w:tcPr>
            <w:tcW w:w="541" w:type="pct"/>
            <w:vMerge w:val="restart"/>
            <w:vAlign w:val="center"/>
          </w:tcPr>
          <w:p w14:paraId="1703123A">
            <w:pPr>
              <w:pStyle w:val="31"/>
              <w:bidi w:val="0"/>
              <w:jc w:val="center"/>
              <w:rPr>
                <w:rFonts w:hint="default"/>
                <w:lang w:val="en-US" w:eastAsia="zh-CN"/>
              </w:rPr>
            </w:pPr>
            <w:r>
              <w:rPr>
                <w:rFonts w:hint="eastAsia"/>
                <w:lang w:val="en-US" w:eastAsia="zh-CN"/>
              </w:rPr>
              <w:t>4168.53</w:t>
            </w:r>
          </w:p>
        </w:tc>
        <w:tc>
          <w:tcPr>
            <w:tcW w:w="795" w:type="pct"/>
            <w:shd w:val="clear" w:color="auto" w:fill="auto"/>
            <w:vAlign w:val="center"/>
          </w:tcPr>
          <w:p w14:paraId="73F877E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68" w:type="pct"/>
            <w:shd w:val="clear" w:color="auto" w:fill="auto"/>
            <w:vAlign w:val="center"/>
          </w:tcPr>
          <w:p w14:paraId="046939EA">
            <w:pPr>
              <w:pStyle w:val="31"/>
              <w:bidi w:val="0"/>
              <w:ind w:firstLine="0" w:firstLineChars="0"/>
              <w:jc w:val="center"/>
              <w:rPr>
                <w:rFonts w:hint="default"/>
                <w:lang w:val="en-US" w:eastAsia="zh-CN"/>
              </w:rPr>
            </w:pPr>
            <w:r>
              <w:rPr>
                <w:rFonts w:hint="eastAsia"/>
                <w:lang w:val="en-US" w:eastAsia="zh-CN"/>
              </w:rPr>
              <w:t>0.089</w:t>
            </w:r>
          </w:p>
        </w:tc>
        <w:tc>
          <w:tcPr>
            <w:tcW w:w="424" w:type="pct"/>
            <w:shd w:val="clear" w:color="auto" w:fill="auto"/>
            <w:vAlign w:val="center"/>
          </w:tcPr>
          <w:p w14:paraId="7BC5A6B5">
            <w:pPr>
              <w:pStyle w:val="31"/>
              <w:bidi w:val="0"/>
              <w:ind w:firstLine="0" w:firstLineChars="0"/>
              <w:jc w:val="center"/>
              <w:rPr>
                <w:rFonts w:hint="default"/>
                <w:lang w:val="en-US" w:eastAsia="zh-CN"/>
              </w:rPr>
            </w:pPr>
            <w:r>
              <w:rPr>
                <w:rFonts w:hint="eastAsia"/>
                <w:lang w:val="en-US" w:eastAsia="zh-CN"/>
              </w:rPr>
              <w:t>0.071</w:t>
            </w:r>
          </w:p>
        </w:tc>
        <w:tc>
          <w:tcPr>
            <w:tcW w:w="396" w:type="pct"/>
            <w:shd w:val="clear" w:color="auto" w:fill="auto"/>
            <w:vAlign w:val="center"/>
          </w:tcPr>
          <w:p w14:paraId="24B6E9E0">
            <w:pPr>
              <w:pStyle w:val="31"/>
              <w:bidi w:val="0"/>
              <w:ind w:firstLine="0" w:firstLineChars="0"/>
              <w:jc w:val="center"/>
              <w:rPr>
                <w:rFonts w:hint="default"/>
                <w:lang w:val="en-US" w:eastAsia="zh-CN"/>
              </w:rPr>
            </w:pPr>
            <w:r>
              <w:rPr>
                <w:rFonts w:hint="eastAsia"/>
                <w:lang w:val="en-US" w:eastAsia="zh-CN"/>
              </w:rPr>
              <w:t>0.050</w:t>
            </w:r>
          </w:p>
        </w:tc>
        <w:tc>
          <w:tcPr>
            <w:tcW w:w="396" w:type="pct"/>
            <w:shd w:val="clear" w:color="auto" w:fill="auto"/>
            <w:vAlign w:val="center"/>
          </w:tcPr>
          <w:p w14:paraId="2A874524">
            <w:pPr>
              <w:pStyle w:val="31"/>
              <w:bidi w:val="0"/>
              <w:ind w:firstLine="0" w:firstLineChars="0"/>
              <w:jc w:val="center"/>
              <w:rPr>
                <w:rFonts w:hint="default"/>
                <w:lang w:val="en-US" w:eastAsia="zh-CN"/>
              </w:rPr>
            </w:pPr>
            <w:r>
              <w:rPr>
                <w:rFonts w:hint="eastAsia"/>
                <w:lang w:val="en-US" w:eastAsia="zh-CN"/>
              </w:rPr>
              <w:t>0.250</w:t>
            </w:r>
          </w:p>
        </w:tc>
        <w:tc>
          <w:tcPr>
            <w:tcW w:w="516" w:type="pct"/>
            <w:shd w:val="clear" w:color="auto" w:fill="auto"/>
            <w:vAlign w:val="center"/>
          </w:tcPr>
          <w:p w14:paraId="710F0900">
            <w:pPr>
              <w:pStyle w:val="31"/>
              <w:bidi w:val="0"/>
              <w:ind w:firstLine="0" w:firstLineChars="0"/>
              <w:jc w:val="center"/>
              <w:rPr>
                <w:rFonts w:hint="default"/>
                <w:lang w:val="en-US" w:eastAsia="zh-CN"/>
              </w:rPr>
            </w:pPr>
            <w:r>
              <w:rPr>
                <w:rFonts w:hint="eastAsia"/>
                <w:lang w:val="en-US" w:eastAsia="zh-CN"/>
              </w:rPr>
              <w:t>0.007</w:t>
            </w:r>
          </w:p>
        </w:tc>
      </w:tr>
      <w:tr w14:paraId="6728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571" w:type="pct"/>
            <w:vMerge w:val="continue"/>
            <w:vAlign w:val="center"/>
          </w:tcPr>
          <w:p w14:paraId="78AB5D44">
            <w:pPr>
              <w:pStyle w:val="31"/>
              <w:bidi w:val="0"/>
              <w:jc w:val="center"/>
              <w:rPr>
                <w:rFonts w:hint="eastAsia"/>
                <w:lang w:val="en-US" w:eastAsia="zh-CN"/>
              </w:rPr>
            </w:pPr>
          </w:p>
        </w:tc>
        <w:tc>
          <w:tcPr>
            <w:tcW w:w="889" w:type="pct"/>
            <w:shd w:val="clear" w:color="auto" w:fill="auto"/>
            <w:vAlign w:val="center"/>
          </w:tcPr>
          <w:p w14:paraId="3959EA59">
            <w:pPr>
              <w:pStyle w:val="31"/>
              <w:bidi w:val="0"/>
              <w:ind w:firstLine="0" w:firstLineChars="0"/>
              <w:jc w:val="center"/>
              <w:rPr>
                <w:rFonts w:hint="default"/>
                <w:lang w:val="en-US" w:eastAsia="zh-CN"/>
              </w:rPr>
            </w:pPr>
            <w:r>
              <w:rPr>
                <w:rFonts w:hint="eastAsia"/>
                <w:lang w:val="en-US" w:eastAsia="zh-CN"/>
              </w:rPr>
              <w:t>排放浓度mg/L</w:t>
            </w:r>
          </w:p>
        </w:tc>
        <w:tc>
          <w:tcPr>
            <w:tcW w:w="541" w:type="pct"/>
            <w:vMerge w:val="continue"/>
            <w:vAlign w:val="center"/>
          </w:tcPr>
          <w:p w14:paraId="78E64E71">
            <w:pPr>
              <w:pStyle w:val="31"/>
              <w:bidi w:val="0"/>
              <w:jc w:val="center"/>
              <w:rPr>
                <w:rFonts w:hint="default"/>
                <w:lang w:val="en-US" w:eastAsia="zh-CN"/>
              </w:rPr>
            </w:pPr>
          </w:p>
        </w:tc>
        <w:tc>
          <w:tcPr>
            <w:tcW w:w="795" w:type="pct"/>
            <w:shd w:val="clear" w:color="auto" w:fill="auto"/>
            <w:vAlign w:val="center"/>
          </w:tcPr>
          <w:p w14:paraId="347A3D9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6~9</w:t>
            </w:r>
          </w:p>
        </w:tc>
        <w:tc>
          <w:tcPr>
            <w:tcW w:w="468" w:type="pct"/>
            <w:shd w:val="clear" w:color="auto" w:fill="auto"/>
            <w:vAlign w:val="center"/>
          </w:tcPr>
          <w:p w14:paraId="27E1EE57">
            <w:pPr>
              <w:pStyle w:val="31"/>
              <w:bidi w:val="0"/>
              <w:ind w:firstLine="0" w:firstLineChars="0"/>
              <w:jc w:val="center"/>
              <w:rPr>
                <w:rFonts w:hint="default"/>
                <w:lang w:val="en-US" w:eastAsia="zh-CN"/>
              </w:rPr>
            </w:pPr>
            <w:r>
              <w:rPr>
                <w:rFonts w:hint="eastAsia"/>
                <w:lang w:val="en-US" w:eastAsia="zh-CN"/>
              </w:rPr>
              <w:t>21.33</w:t>
            </w:r>
          </w:p>
        </w:tc>
        <w:tc>
          <w:tcPr>
            <w:tcW w:w="424" w:type="pct"/>
            <w:shd w:val="clear" w:color="auto" w:fill="auto"/>
            <w:vAlign w:val="center"/>
          </w:tcPr>
          <w:p w14:paraId="52036AB5">
            <w:pPr>
              <w:pStyle w:val="31"/>
              <w:bidi w:val="0"/>
              <w:ind w:firstLine="0" w:firstLineChars="0"/>
              <w:jc w:val="center"/>
              <w:rPr>
                <w:rFonts w:hint="default"/>
                <w:lang w:val="en-US" w:eastAsia="zh-CN"/>
              </w:rPr>
            </w:pPr>
            <w:r>
              <w:rPr>
                <w:rFonts w:hint="eastAsia"/>
                <w:lang w:val="en-US" w:eastAsia="zh-CN"/>
              </w:rPr>
              <w:t>17</w:t>
            </w:r>
          </w:p>
        </w:tc>
        <w:tc>
          <w:tcPr>
            <w:tcW w:w="396" w:type="pct"/>
            <w:shd w:val="clear" w:color="auto" w:fill="auto"/>
            <w:vAlign w:val="center"/>
          </w:tcPr>
          <w:p w14:paraId="19D83A84">
            <w:pPr>
              <w:pStyle w:val="31"/>
              <w:bidi w:val="0"/>
              <w:ind w:firstLine="0" w:firstLineChars="0"/>
              <w:jc w:val="center"/>
              <w:rPr>
                <w:rFonts w:hint="default"/>
                <w:lang w:val="en-US" w:eastAsia="zh-CN"/>
              </w:rPr>
            </w:pPr>
            <w:r>
              <w:rPr>
                <w:rFonts w:hint="eastAsia"/>
                <w:lang w:val="en-US" w:eastAsia="zh-CN"/>
              </w:rPr>
              <w:t>12</w:t>
            </w:r>
          </w:p>
        </w:tc>
        <w:tc>
          <w:tcPr>
            <w:tcW w:w="396" w:type="pct"/>
            <w:shd w:val="clear" w:color="auto" w:fill="auto"/>
            <w:vAlign w:val="center"/>
          </w:tcPr>
          <w:p w14:paraId="6A572D9C">
            <w:pPr>
              <w:pStyle w:val="31"/>
              <w:bidi w:val="0"/>
              <w:ind w:firstLine="0" w:firstLineChars="0"/>
              <w:jc w:val="center"/>
              <w:rPr>
                <w:rFonts w:hint="default"/>
                <w:lang w:val="en-US" w:eastAsia="zh-CN"/>
              </w:rPr>
            </w:pPr>
            <w:r>
              <w:rPr>
                <w:rFonts w:hint="eastAsia"/>
                <w:lang w:val="en-US" w:eastAsia="zh-CN"/>
              </w:rPr>
              <w:t>60</w:t>
            </w:r>
          </w:p>
        </w:tc>
        <w:tc>
          <w:tcPr>
            <w:tcW w:w="516" w:type="pct"/>
            <w:shd w:val="clear" w:color="auto" w:fill="auto"/>
            <w:vAlign w:val="center"/>
          </w:tcPr>
          <w:p w14:paraId="3DE2EF0E">
            <w:pPr>
              <w:pStyle w:val="31"/>
              <w:bidi w:val="0"/>
              <w:ind w:firstLine="0" w:firstLineChars="0"/>
              <w:jc w:val="center"/>
              <w:rPr>
                <w:rFonts w:hint="default"/>
                <w:lang w:val="en-US" w:eastAsia="zh-CN"/>
              </w:rPr>
            </w:pPr>
            <w:r>
              <w:rPr>
                <w:rFonts w:hint="eastAsia"/>
                <w:lang w:val="en-US" w:eastAsia="zh-CN"/>
              </w:rPr>
              <w:t>1.67</w:t>
            </w:r>
          </w:p>
        </w:tc>
      </w:tr>
      <w:tr w14:paraId="4B047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Align w:val="center"/>
          </w:tcPr>
          <w:p w14:paraId="580AFF49">
            <w:pPr>
              <w:pStyle w:val="31"/>
              <w:bidi w:val="0"/>
              <w:ind w:firstLine="0" w:firstLineChars="0"/>
              <w:jc w:val="center"/>
              <w:rPr>
                <w:rFonts w:hint="eastAsia"/>
                <w:lang w:val="en-US" w:eastAsia="zh-CN"/>
              </w:rPr>
            </w:pPr>
            <w:r>
              <w:rPr>
                <w:rFonts w:hint="eastAsia"/>
                <w:lang w:val="en-US" w:eastAsia="zh-CN"/>
              </w:rPr>
              <w:t>标准限值mg/L</w:t>
            </w:r>
          </w:p>
        </w:tc>
        <w:tc>
          <w:tcPr>
            <w:tcW w:w="541" w:type="pct"/>
            <w:vAlign w:val="center"/>
          </w:tcPr>
          <w:p w14:paraId="257DB917">
            <w:pPr>
              <w:pStyle w:val="31"/>
              <w:bidi w:val="0"/>
              <w:jc w:val="center"/>
              <w:rPr>
                <w:rFonts w:hint="default"/>
                <w:lang w:val="en-US" w:eastAsia="zh-CN"/>
              </w:rPr>
            </w:pPr>
            <w:r>
              <w:rPr>
                <w:rFonts w:hint="eastAsia"/>
                <w:lang w:val="en-US" w:eastAsia="zh-CN"/>
              </w:rPr>
              <w:t>/</w:t>
            </w:r>
          </w:p>
        </w:tc>
        <w:tc>
          <w:tcPr>
            <w:tcW w:w="795" w:type="pct"/>
            <w:shd w:val="clear" w:color="auto" w:fill="auto"/>
            <w:vAlign w:val="center"/>
          </w:tcPr>
          <w:p w14:paraId="4CAC245C">
            <w:pPr>
              <w:pStyle w:val="31"/>
              <w:bidi w:val="0"/>
              <w:ind w:firstLine="0" w:firstLineChars="0"/>
              <w:jc w:val="center"/>
              <w:rPr>
                <w:rFonts w:hint="default"/>
                <w:lang w:val="en-US" w:eastAsia="zh-CN"/>
              </w:rPr>
            </w:pPr>
            <w:r>
              <w:rPr>
                <w:rFonts w:hint="eastAsia"/>
                <w:lang w:val="en-US" w:eastAsia="zh-CN"/>
              </w:rPr>
              <w:t>6~9</w:t>
            </w:r>
          </w:p>
        </w:tc>
        <w:tc>
          <w:tcPr>
            <w:tcW w:w="468" w:type="pct"/>
            <w:shd w:val="clear" w:color="auto" w:fill="auto"/>
            <w:vAlign w:val="center"/>
          </w:tcPr>
          <w:p w14:paraId="738100B8">
            <w:pPr>
              <w:pStyle w:val="31"/>
              <w:bidi w:val="0"/>
              <w:ind w:firstLine="0" w:firstLineChars="0"/>
              <w:jc w:val="center"/>
              <w:rPr>
                <w:rFonts w:hint="default"/>
                <w:lang w:val="en-US" w:eastAsia="zh-CN"/>
              </w:rPr>
            </w:pPr>
            <w:r>
              <w:rPr>
                <w:rFonts w:hint="eastAsia"/>
                <w:lang w:val="en-US" w:eastAsia="zh-CN"/>
              </w:rPr>
              <w:t>100</w:t>
            </w:r>
          </w:p>
        </w:tc>
        <w:tc>
          <w:tcPr>
            <w:tcW w:w="424" w:type="pct"/>
            <w:shd w:val="clear" w:color="auto" w:fill="auto"/>
            <w:vAlign w:val="center"/>
          </w:tcPr>
          <w:p w14:paraId="77B073EE">
            <w:pPr>
              <w:pStyle w:val="31"/>
              <w:bidi w:val="0"/>
              <w:ind w:firstLine="0" w:firstLineChars="0"/>
              <w:jc w:val="center"/>
              <w:rPr>
                <w:rFonts w:hint="default"/>
                <w:lang w:val="en-US" w:eastAsia="zh-CN"/>
              </w:rPr>
            </w:pPr>
            <w:r>
              <w:rPr>
                <w:rFonts w:hint="eastAsia"/>
                <w:lang w:val="en-US" w:eastAsia="zh-CN"/>
              </w:rPr>
              <w:t>20</w:t>
            </w:r>
          </w:p>
        </w:tc>
        <w:tc>
          <w:tcPr>
            <w:tcW w:w="396" w:type="pct"/>
            <w:shd w:val="clear" w:color="auto" w:fill="auto"/>
            <w:vAlign w:val="center"/>
          </w:tcPr>
          <w:p w14:paraId="25535781">
            <w:pPr>
              <w:pStyle w:val="31"/>
              <w:bidi w:val="0"/>
              <w:ind w:firstLine="0" w:firstLineChars="0"/>
              <w:jc w:val="center"/>
              <w:rPr>
                <w:rFonts w:hint="default"/>
                <w:lang w:val="en-US" w:eastAsia="zh-CN"/>
              </w:rPr>
            </w:pPr>
            <w:r>
              <w:rPr>
                <w:rFonts w:hint="eastAsia"/>
                <w:lang w:val="en-US" w:eastAsia="zh-CN"/>
              </w:rPr>
              <w:t>15</w:t>
            </w:r>
          </w:p>
        </w:tc>
        <w:tc>
          <w:tcPr>
            <w:tcW w:w="396" w:type="pct"/>
            <w:shd w:val="clear" w:color="auto" w:fill="auto"/>
            <w:vAlign w:val="center"/>
          </w:tcPr>
          <w:p w14:paraId="2D152EF1">
            <w:pPr>
              <w:pStyle w:val="31"/>
              <w:bidi w:val="0"/>
              <w:ind w:firstLine="0" w:firstLineChars="0"/>
              <w:jc w:val="center"/>
              <w:rPr>
                <w:rFonts w:hint="default"/>
                <w:lang w:val="en-US" w:eastAsia="zh-CN"/>
              </w:rPr>
            </w:pPr>
            <w:r>
              <w:rPr>
                <w:rFonts w:hint="eastAsia"/>
                <w:lang w:val="en-US" w:eastAsia="zh-CN"/>
              </w:rPr>
              <w:t>70</w:t>
            </w:r>
          </w:p>
        </w:tc>
        <w:tc>
          <w:tcPr>
            <w:tcW w:w="516" w:type="pct"/>
            <w:shd w:val="clear" w:color="auto" w:fill="auto"/>
            <w:vAlign w:val="center"/>
          </w:tcPr>
          <w:p w14:paraId="16CD6922">
            <w:pPr>
              <w:pStyle w:val="31"/>
              <w:bidi w:val="0"/>
              <w:ind w:firstLine="0" w:firstLineChars="0"/>
              <w:jc w:val="center"/>
              <w:rPr>
                <w:rFonts w:hint="default"/>
                <w:lang w:val="en-US" w:eastAsia="zh-CN"/>
              </w:rPr>
            </w:pPr>
            <w:r>
              <w:rPr>
                <w:rFonts w:hint="eastAsia"/>
                <w:lang w:val="en-US" w:eastAsia="zh-CN"/>
              </w:rPr>
              <w:t>5</w:t>
            </w:r>
          </w:p>
        </w:tc>
      </w:tr>
      <w:tr w14:paraId="2CB35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c>
          <w:tcPr>
            <w:tcW w:w="1461" w:type="pct"/>
            <w:gridSpan w:val="2"/>
            <w:vAlign w:val="center"/>
          </w:tcPr>
          <w:p w14:paraId="546FA24E">
            <w:pPr>
              <w:pStyle w:val="31"/>
              <w:bidi w:val="0"/>
              <w:ind w:firstLine="0" w:firstLineChars="0"/>
              <w:jc w:val="center"/>
              <w:rPr>
                <w:rFonts w:hint="default"/>
                <w:lang w:val="en-US" w:eastAsia="zh-CN"/>
              </w:rPr>
            </w:pPr>
            <w:r>
              <w:rPr>
                <w:rFonts w:hint="eastAsia"/>
                <w:lang w:val="en-US" w:eastAsia="zh-CN"/>
              </w:rPr>
              <w:t>达标情况</w:t>
            </w:r>
          </w:p>
        </w:tc>
        <w:tc>
          <w:tcPr>
            <w:tcW w:w="541" w:type="pct"/>
            <w:vAlign w:val="center"/>
          </w:tcPr>
          <w:p w14:paraId="5F96D8BB">
            <w:pPr>
              <w:pStyle w:val="31"/>
              <w:bidi w:val="0"/>
              <w:jc w:val="center"/>
              <w:rPr>
                <w:rFonts w:hint="default"/>
                <w:lang w:val="en-US" w:eastAsia="zh-CN"/>
              </w:rPr>
            </w:pPr>
            <w:r>
              <w:rPr>
                <w:rFonts w:hint="eastAsia"/>
                <w:lang w:val="en-US" w:eastAsia="zh-CN"/>
              </w:rPr>
              <w:t>/</w:t>
            </w:r>
          </w:p>
        </w:tc>
        <w:tc>
          <w:tcPr>
            <w:tcW w:w="795" w:type="pct"/>
            <w:shd w:val="clear" w:color="auto" w:fill="auto"/>
            <w:vAlign w:val="center"/>
          </w:tcPr>
          <w:p w14:paraId="264D3416">
            <w:pPr>
              <w:pStyle w:val="31"/>
              <w:bidi w:val="0"/>
              <w:ind w:firstLine="0" w:firstLineChars="0"/>
              <w:jc w:val="center"/>
              <w:rPr>
                <w:rFonts w:hint="default"/>
                <w:lang w:val="en-US" w:eastAsia="zh-CN"/>
              </w:rPr>
            </w:pPr>
            <w:r>
              <w:rPr>
                <w:rFonts w:hint="eastAsia"/>
                <w:lang w:val="en-US" w:eastAsia="zh-CN"/>
              </w:rPr>
              <w:t>达标</w:t>
            </w:r>
          </w:p>
        </w:tc>
        <w:tc>
          <w:tcPr>
            <w:tcW w:w="468" w:type="pct"/>
            <w:shd w:val="clear" w:color="auto" w:fill="auto"/>
            <w:vAlign w:val="center"/>
          </w:tcPr>
          <w:p w14:paraId="7A302DFB">
            <w:pPr>
              <w:pStyle w:val="31"/>
              <w:bidi w:val="0"/>
              <w:ind w:firstLine="0" w:firstLineChars="0"/>
              <w:jc w:val="center"/>
              <w:rPr>
                <w:rFonts w:hint="eastAsia"/>
                <w:lang w:val="en-US" w:eastAsia="zh-CN"/>
              </w:rPr>
            </w:pPr>
            <w:r>
              <w:rPr>
                <w:rFonts w:hint="eastAsia"/>
                <w:lang w:val="en-US" w:eastAsia="zh-CN"/>
              </w:rPr>
              <w:t>达标</w:t>
            </w:r>
          </w:p>
        </w:tc>
        <w:tc>
          <w:tcPr>
            <w:tcW w:w="424" w:type="pct"/>
            <w:shd w:val="clear" w:color="auto" w:fill="auto"/>
            <w:vAlign w:val="center"/>
          </w:tcPr>
          <w:p w14:paraId="776CCA57">
            <w:pPr>
              <w:pStyle w:val="31"/>
              <w:bidi w:val="0"/>
              <w:ind w:firstLine="0" w:firstLineChars="0"/>
              <w:jc w:val="center"/>
              <w:rPr>
                <w:rFonts w:hint="eastAsia"/>
                <w:lang w:val="en-US" w:eastAsia="zh-CN"/>
              </w:rPr>
            </w:pPr>
            <w:r>
              <w:rPr>
                <w:rFonts w:hint="eastAsia"/>
                <w:lang w:val="en-US" w:eastAsia="zh-CN"/>
              </w:rPr>
              <w:t>达标</w:t>
            </w:r>
          </w:p>
        </w:tc>
        <w:tc>
          <w:tcPr>
            <w:tcW w:w="396" w:type="pct"/>
            <w:shd w:val="clear" w:color="auto" w:fill="auto"/>
            <w:vAlign w:val="center"/>
          </w:tcPr>
          <w:p w14:paraId="7B801DD7">
            <w:pPr>
              <w:pStyle w:val="31"/>
              <w:bidi w:val="0"/>
              <w:ind w:firstLine="0" w:firstLineChars="0"/>
              <w:jc w:val="center"/>
              <w:rPr>
                <w:rFonts w:hint="eastAsia"/>
                <w:lang w:val="en-US" w:eastAsia="zh-CN"/>
              </w:rPr>
            </w:pPr>
            <w:r>
              <w:rPr>
                <w:rFonts w:hint="eastAsia"/>
                <w:lang w:val="en-US" w:eastAsia="zh-CN"/>
              </w:rPr>
              <w:t>达标</w:t>
            </w:r>
          </w:p>
        </w:tc>
        <w:tc>
          <w:tcPr>
            <w:tcW w:w="396" w:type="pct"/>
            <w:shd w:val="clear" w:color="auto" w:fill="auto"/>
            <w:vAlign w:val="center"/>
          </w:tcPr>
          <w:p w14:paraId="637572C9">
            <w:pPr>
              <w:pStyle w:val="31"/>
              <w:bidi w:val="0"/>
              <w:ind w:firstLine="0" w:firstLineChars="0"/>
              <w:jc w:val="center"/>
              <w:rPr>
                <w:rFonts w:hint="eastAsia"/>
                <w:lang w:val="en-US" w:eastAsia="zh-CN"/>
              </w:rPr>
            </w:pPr>
            <w:r>
              <w:rPr>
                <w:rFonts w:hint="eastAsia"/>
                <w:lang w:val="en-US" w:eastAsia="zh-CN"/>
              </w:rPr>
              <w:t>达标</w:t>
            </w:r>
          </w:p>
        </w:tc>
        <w:tc>
          <w:tcPr>
            <w:tcW w:w="516" w:type="pct"/>
            <w:shd w:val="clear" w:color="auto" w:fill="auto"/>
            <w:vAlign w:val="center"/>
          </w:tcPr>
          <w:p w14:paraId="148C0637">
            <w:pPr>
              <w:pStyle w:val="31"/>
              <w:bidi w:val="0"/>
              <w:ind w:firstLine="0" w:firstLineChars="0"/>
              <w:jc w:val="center"/>
              <w:rPr>
                <w:rFonts w:hint="eastAsia"/>
                <w:lang w:val="en-US" w:eastAsia="zh-CN"/>
              </w:rPr>
            </w:pPr>
            <w:r>
              <w:rPr>
                <w:rFonts w:hint="eastAsia"/>
                <w:lang w:val="en-US" w:eastAsia="zh-CN"/>
              </w:rPr>
              <w:t>达标</w:t>
            </w:r>
          </w:p>
        </w:tc>
      </w:tr>
    </w:tbl>
    <w:p w14:paraId="3B6803FC">
      <w:pPr>
        <w:pStyle w:val="21"/>
        <w:rPr>
          <w:rFonts w:hint="default"/>
          <w:vertAlign w:val="baseline"/>
          <w:lang w:val="en-US" w:eastAsia="zh-CN"/>
        </w:rPr>
      </w:pPr>
      <w:r>
        <w:rPr>
          <w:rFonts w:hint="eastAsia"/>
          <w:lang w:val="en-US" w:eastAsia="zh-CN"/>
        </w:rPr>
        <w:t>根据上表分析，项目生产废水经处理后能够满足《污水综合排放标准》（GB8978-1996）中一级标准，处理达标后1329.67m</w:t>
      </w:r>
      <w:r>
        <w:rPr>
          <w:rFonts w:hint="eastAsia"/>
          <w:vertAlign w:val="superscript"/>
          <w:lang w:val="en-US" w:eastAsia="zh-CN"/>
        </w:rPr>
        <w:t>3</w:t>
      </w:r>
      <w:r>
        <w:rPr>
          <w:rFonts w:hint="eastAsia"/>
          <w:vertAlign w:val="baseline"/>
          <w:lang w:val="en-US" w:eastAsia="zh-CN"/>
        </w:rPr>
        <w:t>/a回用于生产，4168.53m</w:t>
      </w:r>
      <w:r>
        <w:rPr>
          <w:rFonts w:hint="eastAsia"/>
          <w:vertAlign w:val="superscript"/>
          <w:lang w:val="en-US" w:eastAsia="zh-CN"/>
        </w:rPr>
        <w:t>3</w:t>
      </w:r>
      <w:r>
        <w:rPr>
          <w:rFonts w:hint="eastAsia"/>
          <w:vertAlign w:val="baseline"/>
          <w:lang w:val="en-US" w:eastAsia="zh-CN"/>
        </w:rPr>
        <w:t>/a（平均每日排放量为20.84m</w:t>
      </w:r>
      <w:r>
        <w:rPr>
          <w:rFonts w:hint="eastAsia"/>
          <w:vertAlign w:val="superscript"/>
          <w:lang w:val="en-US" w:eastAsia="zh-CN"/>
        </w:rPr>
        <w:t>3</w:t>
      </w:r>
      <w:r>
        <w:rPr>
          <w:rFonts w:hint="eastAsia"/>
          <w:vertAlign w:val="baseline"/>
          <w:lang w:val="en-US" w:eastAsia="zh-CN"/>
        </w:rPr>
        <w:t>/d）通过罐车运输至三樟镇污水处理厂处理</w:t>
      </w:r>
      <w:r>
        <w:rPr>
          <w:rFonts w:hint="default" w:ascii="Times New Roman" w:hAnsi="Times New Roman" w:cs="Times New Roman"/>
          <w:vertAlign w:val="baseline"/>
          <w:lang w:val="en-US" w:eastAsia="zh-CN"/>
        </w:rPr>
        <w:t>。</w:t>
      </w:r>
    </w:p>
    <w:p w14:paraId="7688B9AD">
      <w:pPr>
        <w:pStyle w:val="33"/>
      </w:pPr>
      <w:bookmarkStart w:id="116" w:name="_Toc16444"/>
      <w:r>
        <w:rPr>
          <w:rFonts w:hint="eastAsia"/>
        </w:rPr>
        <w:t>3.</w:t>
      </w:r>
      <w:r>
        <w:rPr>
          <w:rFonts w:hint="eastAsia"/>
          <w:lang w:val="en-US" w:eastAsia="zh-CN"/>
        </w:rPr>
        <w:t>5</w:t>
      </w:r>
      <w:r>
        <w:rPr>
          <w:rFonts w:hint="eastAsia"/>
        </w:rPr>
        <w:t>.3噪声</w:t>
      </w:r>
      <w:bookmarkEnd w:id="116"/>
    </w:p>
    <w:p w14:paraId="33C3713A">
      <w:pPr>
        <w:pStyle w:val="21"/>
        <w:ind w:firstLine="480"/>
      </w:pPr>
      <w:r>
        <w:rPr>
          <w:rFonts w:hint="eastAsia"/>
        </w:rPr>
        <w:t>本项目运营期噪声主要包括绞盘机、空压机、氧割机、热切割枪、手提等离子切割机、手提式切割机、移动式工业烟尘处理器、门式行吊、起重设备等。</w:t>
      </w:r>
    </w:p>
    <w:p w14:paraId="58159851">
      <w:pPr>
        <w:pStyle w:val="21"/>
        <w:ind w:firstLine="480"/>
      </w:pPr>
      <w:r>
        <w:rPr>
          <w:rFonts w:hint="eastAsia"/>
        </w:rPr>
        <w:t>其中绞盘机、空压机为固定设备，其坐标及噪声源强如下：</w:t>
      </w:r>
    </w:p>
    <w:p w14:paraId="4D59F09A">
      <w:pPr>
        <w:pStyle w:val="23"/>
      </w:pPr>
      <w:r>
        <w:rPr>
          <w:rFonts w:hint="eastAsia"/>
        </w:rPr>
        <w:t>表3.</w:t>
      </w:r>
      <w:r>
        <w:rPr>
          <w:rFonts w:hint="eastAsia"/>
          <w:lang w:val="en-US" w:eastAsia="zh-CN"/>
        </w:rPr>
        <w:t>5-3</w:t>
      </w:r>
      <w:r>
        <w:rPr>
          <w:rFonts w:hint="eastAsia"/>
        </w:rPr>
        <w:t xml:space="preserve">  固定设备坐标及噪声源强一览表</w:t>
      </w:r>
    </w:p>
    <w:tbl>
      <w:tblPr>
        <w:tblStyle w:val="1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347"/>
        <w:gridCol w:w="1066"/>
        <w:gridCol w:w="1066"/>
        <w:gridCol w:w="1081"/>
        <w:gridCol w:w="1064"/>
        <w:gridCol w:w="1064"/>
        <w:gridCol w:w="1062"/>
      </w:tblGrid>
      <w:tr w14:paraId="233B4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49" w:type="pct"/>
            <w:vMerge w:val="restart"/>
            <w:vAlign w:val="center"/>
          </w:tcPr>
          <w:p w14:paraId="7FA0C32E">
            <w:pPr>
              <w:pStyle w:val="31"/>
              <w:rPr>
                <w:rFonts w:cs="Times New Roman"/>
                <w:kern w:val="0"/>
              </w:rPr>
            </w:pPr>
            <w:r>
              <w:rPr>
                <w:rFonts w:cs="Times New Roman"/>
                <w:kern w:val="0"/>
              </w:rPr>
              <w:t>序号</w:t>
            </w:r>
          </w:p>
        </w:tc>
        <w:tc>
          <w:tcPr>
            <w:tcW w:w="791" w:type="pct"/>
            <w:vMerge w:val="restart"/>
            <w:vAlign w:val="center"/>
          </w:tcPr>
          <w:p w14:paraId="556CCA86">
            <w:pPr>
              <w:pStyle w:val="31"/>
              <w:rPr>
                <w:rFonts w:cs="Times New Roman"/>
                <w:kern w:val="0"/>
              </w:rPr>
            </w:pPr>
            <w:r>
              <w:rPr>
                <w:rFonts w:cs="Times New Roman"/>
                <w:kern w:val="0"/>
              </w:rPr>
              <w:t>声源名称</w:t>
            </w:r>
          </w:p>
        </w:tc>
        <w:tc>
          <w:tcPr>
            <w:tcW w:w="1886" w:type="pct"/>
            <w:gridSpan w:val="3"/>
            <w:vAlign w:val="center"/>
          </w:tcPr>
          <w:p w14:paraId="49A2589C">
            <w:pPr>
              <w:pStyle w:val="31"/>
              <w:rPr>
                <w:rFonts w:cs="Times New Roman"/>
                <w:kern w:val="0"/>
              </w:rPr>
            </w:pPr>
            <w:r>
              <w:rPr>
                <w:rFonts w:cs="Times New Roman"/>
                <w:kern w:val="0"/>
              </w:rPr>
              <w:t>空间相对位置/m</w:t>
            </w:r>
          </w:p>
        </w:tc>
        <w:tc>
          <w:tcPr>
            <w:tcW w:w="625" w:type="pct"/>
            <w:vAlign w:val="center"/>
          </w:tcPr>
          <w:p w14:paraId="742E4205">
            <w:pPr>
              <w:pStyle w:val="31"/>
              <w:rPr>
                <w:rFonts w:cs="Times New Roman"/>
                <w:kern w:val="0"/>
              </w:rPr>
            </w:pPr>
            <w:r>
              <w:rPr>
                <w:rFonts w:cs="Times New Roman"/>
                <w:kern w:val="0"/>
              </w:rPr>
              <w:t>声源源强</w:t>
            </w:r>
          </w:p>
        </w:tc>
        <w:tc>
          <w:tcPr>
            <w:tcW w:w="625" w:type="pct"/>
            <w:vMerge w:val="restart"/>
            <w:vAlign w:val="center"/>
          </w:tcPr>
          <w:p w14:paraId="2DA7A27E">
            <w:pPr>
              <w:pStyle w:val="31"/>
              <w:rPr>
                <w:rFonts w:cs="Times New Roman"/>
                <w:kern w:val="0"/>
              </w:rPr>
            </w:pPr>
            <w:r>
              <w:rPr>
                <w:rFonts w:cs="Times New Roman"/>
                <w:kern w:val="0"/>
              </w:rPr>
              <w:t>声源控制措施</w:t>
            </w:r>
          </w:p>
        </w:tc>
        <w:tc>
          <w:tcPr>
            <w:tcW w:w="625" w:type="pct"/>
            <w:vMerge w:val="restart"/>
            <w:vAlign w:val="center"/>
          </w:tcPr>
          <w:p w14:paraId="13118C2D">
            <w:pPr>
              <w:pStyle w:val="31"/>
              <w:rPr>
                <w:rFonts w:cs="Times New Roman"/>
                <w:kern w:val="0"/>
              </w:rPr>
            </w:pPr>
            <w:r>
              <w:rPr>
                <w:rFonts w:cs="Times New Roman"/>
                <w:kern w:val="0"/>
              </w:rPr>
              <w:t>运行时段</w:t>
            </w:r>
          </w:p>
        </w:tc>
      </w:tr>
      <w:tr w14:paraId="6D362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Merge w:val="continue"/>
            <w:vAlign w:val="center"/>
          </w:tcPr>
          <w:p w14:paraId="3492CFEC">
            <w:pPr>
              <w:pStyle w:val="31"/>
              <w:rPr>
                <w:rFonts w:cs="Times New Roman"/>
                <w:kern w:val="0"/>
              </w:rPr>
            </w:pPr>
          </w:p>
        </w:tc>
        <w:tc>
          <w:tcPr>
            <w:tcW w:w="791" w:type="pct"/>
            <w:vMerge w:val="continue"/>
            <w:vAlign w:val="center"/>
          </w:tcPr>
          <w:p w14:paraId="7F3F561D">
            <w:pPr>
              <w:pStyle w:val="31"/>
              <w:rPr>
                <w:rFonts w:cs="Times New Roman"/>
                <w:kern w:val="0"/>
              </w:rPr>
            </w:pPr>
          </w:p>
        </w:tc>
        <w:tc>
          <w:tcPr>
            <w:tcW w:w="626" w:type="pct"/>
            <w:vAlign w:val="center"/>
          </w:tcPr>
          <w:p w14:paraId="3BD79E61">
            <w:pPr>
              <w:pStyle w:val="31"/>
              <w:rPr>
                <w:rFonts w:cs="Times New Roman"/>
                <w:spacing w:val="-6"/>
                <w:kern w:val="24"/>
              </w:rPr>
            </w:pPr>
            <w:r>
              <w:rPr>
                <w:rFonts w:cs="Times New Roman"/>
                <w:spacing w:val="-6"/>
                <w:kern w:val="0"/>
              </w:rPr>
              <w:t>X</w:t>
            </w:r>
          </w:p>
        </w:tc>
        <w:tc>
          <w:tcPr>
            <w:tcW w:w="626" w:type="pct"/>
            <w:vAlign w:val="center"/>
          </w:tcPr>
          <w:p w14:paraId="59E3D537">
            <w:pPr>
              <w:pStyle w:val="31"/>
              <w:rPr>
                <w:rFonts w:cs="Times New Roman"/>
                <w:spacing w:val="-6"/>
                <w:kern w:val="24"/>
              </w:rPr>
            </w:pPr>
            <w:r>
              <w:rPr>
                <w:rFonts w:cs="Times New Roman"/>
                <w:spacing w:val="-6"/>
                <w:kern w:val="0"/>
              </w:rPr>
              <w:t>Y</w:t>
            </w:r>
          </w:p>
        </w:tc>
        <w:tc>
          <w:tcPr>
            <w:tcW w:w="635" w:type="pct"/>
            <w:vAlign w:val="center"/>
          </w:tcPr>
          <w:p w14:paraId="147780FD">
            <w:pPr>
              <w:pStyle w:val="31"/>
              <w:rPr>
                <w:rFonts w:cs="Times New Roman"/>
                <w:spacing w:val="-6"/>
                <w:kern w:val="24"/>
              </w:rPr>
            </w:pPr>
            <w:r>
              <w:rPr>
                <w:rFonts w:cs="Times New Roman"/>
                <w:spacing w:val="-6"/>
                <w:kern w:val="0"/>
              </w:rPr>
              <w:t>Z</w:t>
            </w:r>
          </w:p>
        </w:tc>
        <w:tc>
          <w:tcPr>
            <w:tcW w:w="625" w:type="pct"/>
            <w:vAlign w:val="center"/>
          </w:tcPr>
          <w:p w14:paraId="479C33DD">
            <w:pPr>
              <w:pStyle w:val="31"/>
              <w:rPr>
                <w:rFonts w:cs="Times New Roman"/>
                <w:kern w:val="0"/>
              </w:rPr>
            </w:pPr>
            <w:r>
              <w:rPr>
                <w:rFonts w:cs="Times New Roman"/>
                <w:spacing w:val="-6"/>
                <w:kern w:val="0"/>
              </w:rPr>
              <w:t>声压级/距声源距离dB（A）/m</w:t>
            </w:r>
          </w:p>
        </w:tc>
        <w:tc>
          <w:tcPr>
            <w:tcW w:w="625" w:type="pct"/>
            <w:vMerge w:val="continue"/>
            <w:vAlign w:val="center"/>
          </w:tcPr>
          <w:p w14:paraId="4E7E89D7">
            <w:pPr>
              <w:pStyle w:val="31"/>
              <w:rPr>
                <w:rFonts w:cs="Times New Roman"/>
                <w:kern w:val="0"/>
              </w:rPr>
            </w:pPr>
          </w:p>
        </w:tc>
        <w:tc>
          <w:tcPr>
            <w:tcW w:w="625" w:type="pct"/>
            <w:vMerge w:val="continue"/>
            <w:vAlign w:val="center"/>
          </w:tcPr>
          <w:p w14:paraId="677ACDCD">
            <w:pPr>
              <w:pStyle w:val="31"/>
              <w:rPr>
                <w:rFonts w:cs="Times New Roman"/>
                <w:kern w:val="0"/>
              </w:rPr>
            </w:pPr>
          </w:p>
        </w:tc>
      </w:tr>
      <w:tr w14:paraId="109AD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50F78438">
            <w:pPr>
              <w:pStyle w:val="31"/>
              <w:rPr>
                <w:rFonts w:cs="Times New Roman"/>
                <w:kern w:val="0"/>
              </w:rPr>
            </w:pPr>
            <w:r>
              <w:rPr>
                <w:rFonts w:cs="Times New Roman"/>
                <w:kern w:val="0"/>
              </w:rPr>
              <w:t>1</w:t>
            </w:r>
          </w:p>
        </w:tc>
        <w:tc>
          <w:tcPr>
            <w:tcW w:w="791" w:type="pct"/>
            <w:vAlign w:val="center"/>
          </w:tcPr>
          <w:p w14:paraId="429845AA">
            <w:pPr>
              <w:pStyle w:val="31"/>
              <w:rPr>
                <w:rFonts w:cs="Times New Roman"/>
                <w:kern w:val="0"/>
              </w:rPr>
            </w:pPr>
            <w:r>
              <w:rPr>
                <w:rFonts w:hint="eastAsia" w:cs="Times New Roman"/>
                <w:kern w:val="0"/>
              </w:rPr>
              <w:t>1#绞盘机</w:t>
            </w:r>
          </w:p>
        </w:tc>
        <w:tc>
          <w:tcPr>
            <w:tcW w:w="626" w:type="pct"/>
            <w:vAlign w:val="center"/>
          </w:tcPr>
          <w:p w14:paraId="66B5651F">
            <w:pPr>
              <w:pStyle w:val="31"/>
              <w:rPr>
                <w:rFonts w:cs="Times New Roman"/>
                <w:kern w:val="0"/>
              </w:rPr>
            </w:pPr>
            <w:r>
              <w:rPr>
                <w:rFonts w:cs="Times New Roman"/>
                <w:kern w:val="0"/>
              </w:rPr>
              <w:t>-14.93</w:t>
            </w:r>
          </w:p>
        </w:tc>
        <w:tc>
          <w:tcPr>
            <w:tcW w:w="626" w:type="pct"/>
            <w:vAlign w:val="center"/>
          </w:tcPr>
          <w:p w14:paraId="57F53259">
            <w:pPr>
              <w:pStyle w:val="31"/>
              <w:rPr>
                <w:rFonts w:cs="Times New Roman"/>
                <w:kern w:val="0"/>
              </w:rPr>
            </w:pPr>
            <w:r>
              <w:rPr>
                <w:rFonts w:cs="Times New Roman"/>
                <w:kern w:val="0"/>
              </w:rPr>
              <w:t>-15.96</w:t>
            </w:r>
          </w:p>
        </w:tc>
        <w:tc>
          <w:tcPr>
            <w:tcW w:w="635" w:type="pct"/>
            <w:vAlign w:val="center"/>
          </w:tcPr>
          <w:p w14:paraId="7499633C">
            <w:pPr>
              <w:pStyle w:val="31"/>
              <w:rPr>
                <w:rFonts w:cs="Times New Roman"/>
                <w:kern w:val="0"/>
              </w:rPr>
            </w:pPr>
            <w:r>
              <w:rPr>
                <w:rFonts w:cs="Times New Roman"/>
                <w:kern w:val="0"/>
              </w:rPr>
              <w:t>1</w:t>
            </w:r>
          </w:p>
        </w:tc>
        <w:tc>
          <w:tcPr>
            <w:tcW w:w="625" w:type="pct"/>
            <w:vAlign w:val="center"/>
          </w:tcPr>
          <w:p w14:paraId="3B80EC02">
            <w:pPr>
              <w:pStyle w:val="31"/>
              <w:rPr>
                <w:rFonts w:cs="Times New Roman"/>
                <w:kern w:val="0"/>
              </w:rPr>
            </w:pPr>
            <w:r>
              <w:rPr>
                <w:rFonts w:cs="Times New Roman"/>
                <w:kern w:val="0"/>
              </w:rPr>
              <w:t>75/1</w:t>
            </w:r>
          </w:p>
        </w:tc>
        <w:tc>
          <w:tcPr>
            <w:tcW w:w="625" w:type="pct"/>
            <w:vMerge w:val="restart"/>
            <w:vAlign w:val="center"/>
          </w:tcPr>
          <w:p w14:paraId="5BEAE244">
            <w:pPr>
              <w:pStyle w:val="31"/>
              <w:rPr>
                <w:rFonts w:cs="Times New Roman"/>
                <w:kern w:val="0"/>
              </w:rPr>
            </w:pPr>
            <w:r>
              <w:rPr>
                <w:rFonts w:cs="Times New Roman"/>
                <w:spacing w:val="-6"/>
                <w:kern w:val="0"/>
                <w:lang w:bidi="ar"/>
              </w:rPr>
              <w:t>低噪声设备、减震、消声</w:t>
            </w:r>
          </w:p>
        </w:tc>
        <w:tc>
          <w:tcPr>
            <w:tcW w:w="625" w:type="pct"/>
            <w:vAlign w:val="center"/>
          </w:tcPr>
          <w:p w14:paraId="5CF726DD">
            <w:pPr>
              <w:pStyle w:val="31"/>
              <w:rPr>
                <w:rFonts w:hint="default" w:eastAsia="宋体" w:cs="Times New Roman"/>
                <w:kern w:val="0"/>
                <w:lang w:val="en-US" w:eastAsia="zh-CN"/>
              </w:rPr>
            </w:pPr>
            <w:r>
              <w:rPr>
                <w:rFonts w:hint="eastAsia" w:cs="Times New Roman"/>
                <w:kern w:val="0"/>
                <w:lang w:val="en-US" w:eastAsia="zh-CN"/>
              </w:rPr>
              <w:t>昼间</w:t>
            </w:r>
          </w:p>
        </w:tc>
      </w:tr>
      <w:tr w14:paraId="64710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1F16AFA0">
            <w:pPr>
              <w:pStyle w:val="31"/>
              <w:rPr>
                <w:rFonts w:cs="Times New Roman"/>
                <w:kern w:val="0"/>
              </w:rPr>
            </w:pPr>
            <w:r>
              <w:rPr>
                <w:rFonts w:cs="Times New Roman"/>
                <w:kern w:val="0"/>
              </w:rPr>
              <w:t>2</w:t>
            </w:r>
          </w:p>
        </w:tc>
        <w:tc>
          <w:tcPr>
            <w:tcW w:w="791" w:type="pct"/>
            <w:vAlign w:val="center"/>
          </w:tcPr>
          <w:p w14:paraId="445C409A">
            <w:pPr>
              <w:pStyle w:val="31"/>
              <w:rPr>
                <w:rFonts w:cs="Times New Roman"/>
                <w:kern w:val="0"/>
              </w:rPr>
            </w:pPr>
            <w:r>
              <w:rPr>
                <w:rFonts w:hint="eastAsia" w:cs="Times New Roman"/>
                <w:kern w:val="0"/>
              </w:rPr>
              <w:t>2#绞盘机</w:t>
            </w:r>
          </w:p>
        </w:tc>
        <w:tc>
          <w:tcPr>
            <w:tcW w:w="626" w:type="pct"/>
            <w:vAlign w:val="center"/>
          </w:tcPr>
          <w:p w14:paraId="2227259F">
            <w:pPr>
              <w:pStyle w:val="31"/>
              <w:rPr>
                <w:rFonts w:cs="Times New Roman"/>
                <w:kern w:val="0"/>
              </w:rPr>
            </w:pPr>
            <w:r>
              <w:rPr>
                <w:rFonts w:cs="Times New Roman"/>
                <w:kern w:val="0"/>
              </w:rPr>
              <w:t>-31.42</w:t>
            </w:r>
          </w:p>
        </w:tc>
        <w:tc>
          <w:tcPr>
            <w:tcW w:w="626" w:type="pct"/>
            <w:vAlign w:val="center"/>
          </w:tcPr>
          <w:p w14:paraId="52DAF7C9">
            <w:pPr>
              <w:pStyle w:val="31"/>
              <w:rPr>
                <w:rFonts w:cs="Times New Roman"/>
                <w:kern w:val="0"/>
              </w:rPr>
            </w:pPr>
            <w:r>
              <w:rPr>
                <w:rFonts w:cs="Times New Roman"/>
                <w:kern w:val="0"/>
              </w:rPr>
              <w:t>-7.35</w:t>
            </w:r>
          </w:p>
        </w:tc>
        <w:tc>
          <w:tcPr>
            <w:tcW w:w="635" w:type="pct"/>
            <w:vAlign w:val="center"/>
          </w:tcPr>
          <w:p w14:paraId="3560CE9C">
            <w:pPr>
              <w:pStyle w:val="31"/>
              <w:rPr>
                <w:rFonts w:cs="Times New Roman"/>
                <w:kern w:val="0"/>
              </w:rPr>
            </w:pPr>
            <w:r>
              <w:rPr>
                <w:rFonts w:cs="Times New Roman"/>
                <w:kern w:val="0"/>
              </w:rPr>
              <w:t>1</w:t>
            </w:r>
          </w:p>
        </w:tc>
        <w:tc>
          <w:tcPr>
            <w:tcW w:w="625" w:type="pct"/>
            <w:vAlign w:val="center"/>
          </w:tcPr>
          <w:p w14:paraId="5DE3026C">
            <w:pPr>
              <w:pStyle w:val="31"/>
              <w:rPr>
                <w:rFonts w:cs="Times New Roman"/>
                <w:kern w:val="0"/>
              </w:rPr>
            </w:pPr>
            <w:r>
              <w:rPr>
                <w:rFonts w:cs="Times New Roman"/>
                <w:kern w:val="0"/>
              </w:rPr>
              <w:t>75/1</w:t>
            </w:r>
          </w:p>
        </w:tc>
        <w:tc>
          <w:tcPr>
            <w:tcW w:w="625" w:type="pct"/>
            <w:vMerge w:val="continue"/>
            <w:vAlign w:val="center"/>
          </w:tcPr>
          <w:p w14:paraId="68E0DB93">
            <w:pPr>
              <w:pStyle w:val="31"/>
              <w:rPr>
                <w:rFonts w:cs="Times New Roman"/>
                <w:kern w:val="0"/>
              </w:rPr>
            </w:pPr>
          </w:p>
        </w:tc>
        <w:tc>
          <w:tcPr>
            <w:tcW w:w="625" w:type="pct"/>
            <w:vAlign w:val="center"/>
          </w:tcPr>
          <w:p w14:paraId="1554774A">
            <w:pPr>
              <w:pStyle w:val="31"/>
              <w:bidi w:val="0"/>
            </w:pPr>
            <w:r>
              <w:rPr>
                <w:rFonts w:hint="eastAsia"/>
                <w:lang w:val="en-US" w:eastAsia="zh-CN"/>
              </w:rPr>
              <w:t>昼间</w:t>
            </w:r>
          </w:p>
        </w:tc>
      </w:tr>
      <w:tr w14:paraId="1E7A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5E1B5546">
            <w:pPr>
              <w:pStyle w:val="31"/>
              <w:rPr>
                <w:rFonts w:cs="Times New Roman"/>
                <w:kern w:val="0"/>
              </w:rPr>
            </w:pPr>
            <w:r>
              <w:rPr>
                <w:rFonts w:cs="Times New Roman"/>
                <w:kern w:val="0"/>
              </w:rPr>
              <w:t>3</w:t>
            </w:r>
          </w:p>
        </w:tc>
        <w:tc>
          <w:tcPr>
            <w:tcW w:w="791" w:type="pct"/>
            <w:vAlign w:val="center"/>
          </w:tcPr>
          <w:p w14:paraId="59A34FDF">
            <w:pPr>
              <w:pStyle w:val="31"/>
              <w:rPr>
                <w:rFonts w:cs="Times New Roman"/>
                <w:kern w:val="0"/>
              </w:rPr>
            </w:pPr>
            <w:r>
              <w:rPr>
                <w:rFonts w:hint="eastAsia" w:cs="Times New Roman"/>
                <w:kern w:val="0"/>
              </w:rPr>
              <w:t>3#绞盘机</w:t>
            </w:r>
          </w:p>
        </w:tc>
        <w:tc>
          <w:tcPr>
            <w:tcW w:w="626" w:type="pct"/>
            <w:vAlign w:val="center"/>
          </w:tcPr>
          <w:p w14:paraId="693BF800">
            <w:pPr>
              <w:pStyle w:val="31"/>
              <w:rPr>
                <w:rFonts w:cs="Times New Roman"/>
                <w:kern w:val="0"/>
              </w:rPr>
            </w:pPr>
            <w:r>
              <w:rPr>
                <w:rFonts w:cs="Times New Roman"/>
                <w:kern w:val="0"/>
              </w:rPr>
              <w:t>-2.19</w:t>
            </w:r>
          </w:p>
        </w:tc>
        <w:tc>
          <w:tcPr>
            <w:tcW w:w="626" w:type="pct"/>
            <w:vAlign w:val="center"/>
          </w:tcPr>
          <w:p w14:paraId="3CA5F79C">
            <w:pPr>
              <w:pStyle w:val="31"/>
              <w:rPr>
                <w:rFonts w:cs="Times New Roman"/>
                <w:kern w:val="0"/>
              </w:rPr>
            </w:pPr>
            <w:r>
              <w:rPr>
                <w:rFonts w:cs="Times New Roman"/>
                <w:kern w:val="0"/>
              </w:rPr>
              <w:t>4.27</w:t>
            </w:r>
          </w:p>
        </w:tc>
        <w:tc>
          <w:tcPr>
            <w:tcW w:w="635" w:type="pct"/>
            <w:vAlign w:val="center"/>
          </w:tcPr>
          <w:p w14:paraId="4618ECD2">
            <w:pPr>
              <w:pStyle w:val="31"/>
              <w:rPr>
                <w:rFonts w:cs="Times New Roman"/>
                <w:kern w:val="0"/>
              </w:rPr>
            </w:pPr>
            <w:r>
              <w:rPr>
                <w:rFonts w:cs="Times New Roman"/>
                <w:kern w:val="0"/>
              </w:rPr>
              <w:t>1</w:t>
            </w:r>
          </w:p>
        </w:tc>
        <w:tc>
          <w:tcPr>
            <w:tcW w:w="625" w:type="pct"/>
            <w:vAlign w:val="center"/>
          </w:tcPr>
          <w:p w14:paraId="45420343">
            <w:pPr>
              <w:pStyle w:val="31"/>
              <w:rPr>
                <w:rFonts w:cs="Times New Roman"/>
                <w:kern w:val="0"/>
              </w:rPr>
            </w:pPr>
            <w:r>
              <w:rPr>
                <w:rFonts w:cs="Times New Roman"/>
                <w:kern w:val="0"/>
              </w:rPr>
              <w:t>75/1</w:t>
            </w:r>
          </w:p>
        </w:tc>
        <w:tc>
          <w:tcPr>
            <w:tcW w:w="625" w:type="pct"/>
            <w:vMerge w:val="continue"/>
            <w:vAlign w:val="center"/>
          </w:tcPr>
          <w:p w14:paraId="10840C6A">
            <w:pPr>
              <w:pStyle w:val="31"/>
              <w:rPr>
                <w:rFonts w:cs="Times New Roman"/>
                <w:kern w:val="0"/>
              </w:rPr>
            </w:pPr>
          </w:p>
        </w:tc>
        <w:tc>
          <w:tcPr>
            <w:tcW w:w="625" w:type="pct"/>
            <w:vAlign w:val="center"/>
          </w:tcPr>
          <w:p w14:paraId="34DD07A4">
            <w:pPr>
              <w:pStyle w:val="31"/>
              <w:bidi w:val="0"/>
            </w:pPr>
            <w:r>
              <w:rPr>
                <w:rFonts w:hint="eastAsia"/>
                <w:lang w:val="en-US" w:eastAsia="zh-CN"/>
              </w:rPr>
              <w:t>昼间</w:t>
            </w:r>
          </w:p>
        </w:tc>
      </w:tr>
      <w:tr w14:paraId="578C3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6A772222">
            <w:pPr>
              <w:pStyle w:val="31"/>
              <w:rPr>
                <w:rFonts w:cs="Times New Roman"/>
                <w:kern w:val="0"/>
              </w:rPr>
            </w:pPr>
            <w:r>
              <w:rPr>
                <w:rFonts w:cs="Times New Roman"/>
                <w:kern w:val="0"/>
              </w:rPr>
              <w:t>4</w:t>
            </w:r>
          </w:p>
        </w:tc>
        <w:tc>
          <w:tcPr>
            <w:tcW w:w="791" w:type="pct"/>
            <w:vAlign w:val="center"/>
          </w:tcPr>
          <w:p w14:paraId="7765601E">
            <w:pPr>
              <w:pStyle w:val="31"/>
              <w:rPr>
                <w:rFonts w:cs="Times New Roman"/>
                <w:kern w:val="0"/>
              </w:rPr>
            </w:pPr>
            <w:r>
              <w:rPr>
                <w:rFonts w:hint="eastAsia" w:cs="Times New Roman"/>
                <w:kern w:val="0"/>
              </w:rPr>
              <w:t>4#绞盘机</w:t>
            </w:r>
          </w:p>
        </w:tc>
        <w:tc>
          <w:tcPr>
            <w:tcW w:w="626" w:type="pct"/>
            <w:vAlign w:val="center"/>
          </w:tcPr>
          <w:p w14:paraId="07256313">
            <w:pPr>
              <w:pStyle w:val="31"/>
              <w:rPr>
                <w:rFonts w:cs="Times New Roman"/>
                <w:kern w:val="0"/>
              </w:rPr>
            </w:pPr>
            <w:r>
              <w:rPr>
                <w:rFonts w:cs="Times New Roman"/>
                <w:kern w:val="0"/>
              </w:rPr>
              <w:t>61.13</w:t>
            </w:r>
          </w:p>
        </w:tc>
        <w:tc>
          <w:tcPr>
            <w:tcW w:w="626" w:type="pct"/>
            <w:vAlign w:val="center"/>
          </w:tcPr>
          <w:p w14:paraId="40569343">
            <w:pPr>
              <w:pStyle w:val="31"/>
              <w:rPr>
                <w:rFonts w:cs="Times New Roman"/>
                <w:kern w:val="0"/>
              </w:rPr>
            </w:pPr>
            <w:r>
              <w:rPr>
                <w:rFonts w:cs="Times New Roman"/>
                <w:kern w:val="0"/>
              </w:rPr>
              <w:t>41.74</w:t>
            </w:r>
          </w:p>
        </w:tc>
        <w:tc>
          <w:tcPr>
            <w:tcW w:w="635" w:type="pct"/>
            <w:vAlign w:val="center"/>
          </w:tcPr>
          <w:p w14:paraId="545C567E">
            <w:pPr>
              <w:pStyle w:val="31"/>
              <w:rPr>
                <w:rFonts w:cs="Times New Roman"/>
                <w:kern w:val="0"/>
              </w:rPr>
            </w:pPr>
            <w:r>
              <w:rPr>
                <w:rFonts w:cs="Times New Roman"/>
                <w:kern w:val="0"/>
              </w:rPr>
              <w:t>1</w:t>
            </w:r>
          </w:p>
        </w:tc>
        <w:tc>
          <w:tcPr>
            <w:tcW w:w="625" w:type="pct"/>
            <w:vAlign w:val="center"/>
          </w:tcPr>
          <w:p w14:paraId="756F01DA">
            <w:pPr>
              <w:pStyle w:val="31"/>
              <w:rPr>
                <w:rFonts w:cs="Times New Roman"/>
                <w:kern w:val="0"/>
              </w:rPr>
            </w:pPr>
            <w:r>
              <w:rPr>
                <w:rFonts w:cs="Times New Roman"/>
                <w:kern w:val="0"/>
              </w:rPr>
              <w:t>75/1</w:t>
            </w:r>
          </w:p>
        </w:tc>
        <w:tc>
          <w:tcPr>
            <w:tcW w:w="625" w:type="pct"/>
            <w:vMerge w:val="continue"/>
            <w:vAlign w:val="center"/>
          </w:tcPr>
          <w:p w14:paraId="3EA6FF7B">
            <w:pPr>
              <w:pStyle w:val="31"/>
              <w:rPr>
                <w:rFonts w:cs="Times New Roman"/>
                <w:kern w:val="0"/>
              </w:rPr>
            </w:pPr>
          </w:p>
        </w:tc>
        <w:tc>
          <w:tcPr>
            <w:tcW w:w="625" w:type="pct"/>
            <w:vAlign w:val="center"/>
          </w:tcPr>
          <w:p w14:paraId="27A3F21E">
            <w:pPr>
              <w:pStyle w:val="31"/>
              <w:bidi w:val="0"/>
            </w:pPr>
            <w:r>
              <w:rPr>
                <w:rFonts w:hint="eastAsia"/>
                <w:lang w:val="en-US" w:eastAsia="zh-CN"/>
              </w:rPr>
              <w:t>昼间</w:t>
            </w:r>
          </w:p>
        </w:tc>
      </w:tr>
      <w:tr w14:paraId="6333A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3998CD77">
            <w:pPr>
              <w:pStyle w:val="31"/>
              <w:rPr>
                <w:rFonts w:cs="Times New Roman"/>
                <w:kern w:val="0"/>
              </w:rPr>
            </w:pPr>
            <w:r>
              <w:rPr>
                <w:rFonts w:cs="Times New Roman"/>
                <w:kern w:val="0"/>
              </w:rPr>
              <w:t>5</w:t>
            </w:r>
          </w:p>
        </w:tc>
        <w:tc>
          <w:tcPr>
            <w:tcW w:w="791" w:type="pct"/>
            <w:vAlign w:val="center"/>
          </w:tcPr>
          <w:p w14:paraId="360F1710">
            <w:pPr>
              <w:pStyle w:val="31"/>
              <w:rPr>
                <w:rFonts w:cs="Times New Roman"/>
                <w:kern w:val="0"/>
              </w:rPr>
            </w:pPr>
            <w:r>
              <w:rPr>
                <w:rFonts w:hint="eastAsia" w:cs="Times New Roman"/>
                <w:kern w:val="0"/>
              </w:rPr>
              <w:t>5#绞盘机</w:t>
            </w:r>
          </w:p>
        </w:tc>
        <w:tc>
          <w:tcPr>
            <w:tcW w:w="626" w:type="pct"/>
            <w:vAlign w:val="center"/>
          </w:tcPr>
          <w:p w14:paraId="7BF48991">
            <w:pPr>
              <w:pStyle w:val="31"/>
              <w:rPr>
                <w:rFonts w:cs="Times New Roman"/>
                <w:kern w:val="0"/>
              </w:rPr>
            </w:pPr>
            <w:r>
              <w:rPr>
                <w:rFonts w:cs="Times New Roman"/>
                <w:kern w:val="0"/>
              </w:rPr>
              <w:t>35.65</w:t>
            </w:r>
          </w:p>
        </w:tc>
        <w:tc>
          <w:tcPr>
            <w:tcW w:w="626" w:type="pct"/>
            <w:vAlign w:val="center"/>
          </w:tcPr>
          <w:p w14:paraId="6F4E67D3">
            <w:pPr>
              <w:pStyle w:val="31"/>
              <w:rPr>
                <w:rFonts w:cs="Times New Roman"/>
                <w:kern w:val="0"/>
              </w:rPr>
            </w:pPr>
            <w:r>
              <w:rPr>
                <w:rFonts w:cs="Times New Roman"/>
                <w:kern w:val="0"/>
              </w:rPr>
              <w:t>15.51</w:t>
            </w:r>
          </w:p>
        </w:tc>
        <w:tc>
          <w:tcPr>
            <w:tcW w:w="635" w:type="pct"/>
            <w:vAlign w:val="center"/>
          </w:tcPr>
          <w:p w14:paraId="2DF1F613">
            <w:pPr>
              <w:pStyle w:val="31"/>
              <w:rPr>
                <w:rFonts w:cs="Times New Roman"/>
                <w:kern w:val="0"/>
              </w:rPr>
            </w:pPr>
            <w:r>
              <w:rPr>
                <w:rFonts w:cs="Times New Roman"/>
                <w:kern w:val="0"/>
              </w:rPr>
              <w:t>1</w:t>
            </w:r>
          </w:p>
        </w:tc>
        <w:tc>
          <w:tcPr>
            <w:tcW w:w="625" w:type="pct"/>
            <w:vAlign w:val="center"/>
          </w:tcPr>
          <w:p w14:paraId="367A0A73">
            <w:pPr>
              <w:pStyle w:val="31"/>
              <w:rPr>
                <w:rFonts w:cs="Times New Roman"/>
                <w:kern w:val="0"/>
              </w:rPr>
            </w:pPr>
            <w:r>
              <w:rPr>
                <w:rFonts w:hint="eastAsia" w:cs="Times New Roman"/>
                <w:kern w:val="0"/>
              </w:rPr>
              <w:t>75</w:t>
            </w:r>
            <w:r>
              <w:rPr>
                <w:rFonts w:cs="Times New Roman"/>
                <w:kern w:val="0"/>
              </w:rPr>
              <w:t>/1</w:t>
            </w:r>
          </w:p>
        </w:tc>
        <w:tc>
          <w:tcPr>
            <w:tcW w:w="625" w:type="pct"/>
            <w:vMerge w:val="continue"/>
            <w:vAlign w:val="center"/>
          </w:tcPr>
          <w:p w14:paraId="02EFA590">
            <w:pPr>
              <w:pStyle w:val="31"/>
              <w:rPr>
                <w:rFonts w:cs="Times New Roman"/>
                <w:kern w:val="0"/>
              </w:rPr>
            </w:pPr>
          </w:p>
        </w:tc>
        <w:tc>
          <w:tcPr>
            <w:tcW w:w="625" w:type="pct"/>
            <w:vAlign w:val="center"/>
          </w:tcPr>
          <w:p w14:paraId="3EAF393D">
            <w:pPr>
              <w:pStyle w:val="31"/>
              <w:bidi w:val="0"/>
            </w:pPr>
            <w:r>
              <w:rPr>
                <w:rFonts w:hint="eastAsia"/>
                <w:lang w:val="en-US" w:eastAsia="zh-CN"/>
              </w:rPr>
              <w:t>昼间</w:t>
            </w:r>
          </w:p>
        </w:tc>
      </w:tr>
      <w:tr w14:paraId="143B6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 w:type="pct"/>
            <w:vAlign w:val="center"/>
          </w:tcPr>
          <w:p w14:paraId="50B1D7D2">
            <w:pPr>
              <w:pStyle w:val="31"/>
              <w:rPr>
                <w:rFonts w:cs="Times New Roman"/>
                <w:kern w:val="0"/>
              </w:rPr>
            </w:pPr>
            <w:r>
              <w:rPr>
                <w:rFonts w:cs="Times New Roman"/>
                <w:kern w:val="0"/>
              </w:rPr>
              <w:t>6</w:t>
            </w:r>
          </w:p>
        </w:tc>
        <w:tc>
          <w:tcPr>
            <w:tcW w:w="791" w:type="pct"/>
            <w:vAlign w:val="center"/>
          </w:tcPr>
          <w:p w14:paraId="51B1810F">
            <w:pPr>
              <w:pStyle w:val="31"/>
              <w:rPr>
                <w:rFonts w:cs="Times New Roman"/>
                <w:kern w:val="0"/>
              </w:rPr>
            </w:pPr>
            <w:r>
              <w:rPr>
                <w:rFonts w:hint="eastAsia" w:cs="Times New Roman"/>
                <w:kern w:val="0"/>
              </w:rPr>
              <w:t>空压机</w:t>
            </w:r>
          </w:p>
        </w:tc>
        <w:tc>
          <w:tcPr>
            <w:tcW w:w="626" w:type="pct"/>
            <w:vAlign w:val="center"/>
          </w:tcPr>
          <w:p w14:paraId="21B0FA43">
            <w:pPr>
              <w:pStyle w:val="31"/>
              <w:rPr>
                <w:rFonts w:cs="Times New Roman"/>
                <w:kern w:val="0"/>
              </w:rPr>
            </w:pPr>
            <w:r>
              <w:rPr>
                <w:rFonts w:cs="Times New Roman"/>
                <w:kern w:val="0"/>
              </w:rPr>
              <w:t>-18.68</w:t>
            </w:r>
          </w:p>
        </w:tc>
        <w:tc>
          <w:tcPr>
            <w:tcW w:w="626" w:type="pct"/>
            <w:vAlign w:val="center"/>
          </w:tcPr>
          <w:p w14:paraId="1D7D9FB4">
            <w:pPr>
              <w:pStyle w:val="31"/>
              <w:rPr>
                <w:rFonts w:cs="Times New Roman"/>
                <w:kern w:val="0"/>
              </w:rPr>
            </w:pPr>
            <w:r>
              <w:rPr>
                <w:rFonts w:cs="Times New Roman"/>
                <w:kern w:val="0"/>
              </w:rPr>
              <w:t>31.62</w:t>
            </w:r>
          </w:p>
        </w:tc>
        <w:tc>
          <w:tcPr>
            <w:tcW w:w="635" w:type="pct"/>
            <w:vAlign w:val="center"/>
          </w:tcPr>
          <w:p w14:paraId="77647B2D">
            <w:pPr>
              <w:pStyle w:val="31"/>
              <w:rPr>
                <w:rFonts w:cs="Times New Roman"/>
                <w:kern w:val="0"/>
              </w:rPr>
            </w:pPr>
            <w:r>
              <w:rPr>
                <w:rFonts w:cs="Times New Roman"/>
                <w:kern w:val="0"/>
              </w:rPr>
              <w:t>1</w:t>
            </w:r>
          </w:p>
        </w:tc>
        <w:tc>
          <w:tcPr>
            <w:tcW w:w="625" w:type="pct"/>
            <w:vAlign w:val="center"/>
          </w:tcPr>
          <w:p w14:paraId="64D675CA">
            <w:pPr>
              <w:pStyle w:val="31"/>
              <w:rPr>
                <w:rFonts w:cs="Times New Roman"/>
                <w:kern w:val="0"/>
              </w:rPr>
            </w:pPr>
            <w:r>
              <w:rPr>
                <w:rFonts w:hint="eastAsia" w:cs="Times New Roman"/>
                <w:kern w:val="0"/>
              </w:rPr>
              <w:t>8</w:t>
            </w:r>
            <w:r>
              <w:rPr>
                <w:rFonts w:cs="Times New Roman"/>
                <w:kern w:val="0"/>
              </w:rPr>
              <w:t>5/1</w:t>
            </w:r>
          </w:p>
        </w:tc>
        <w:tc>
          <w:tcPr>
            <w:tcW w:w="625" w:type="pct"/>
            <w:vMerge w:val="continue"/>
            <w:vAlign w:val="center"/>
          </w:tcPr>
          <w:p w14:paraId="1271BDBF">
            <w:pPr>
              <w:pStyle w:val="31"/>
              <w:rPr>
                <w:rFonts w:cs="Times New Roman"/>
                <w:kern w:val="0"/>
              </w:rPr>
            </w:pPr>
          </w:p>
        </w:tc>
        <w:tc>
          <w:tcPr>
            <w:tcW w:w="625" w:type="pct"/>
            <w:vAlign w:val="center"/>
          </w:tcPr>
          <w:p w14:paraId="3089096D">
            <w:pPr>
              <w:pStyle w:val="31"/>
              <w:bidi w:val="0"/>
            </w:pPr>
            <w:r>
              <w:rPr>
                <w:rFonts w:hint="eastAsia"/>
                <w:lang w:val="en-US" w:eastAsia="zh-CN"/>
              </w:rPr>
              <w:t>昼间</w:t>
            </w:r>
          </w:p>
        </w:tc>
      </w:tr>
    </w:tbl>
    <w:p w14:paraId="7CCC29DB">
      <w:pPr>
        <w:pStyle w:val="21"/>
        <w:ind w:firstLine="480"/>
      </w:pPr>
      <w:r>
        <w:rPr>
          <w:rFonts w:hint="eastAsia"/>
        </w:rPr>
        <w:t>氧割机、热切割枪、手提等离子切割机、手提式切割机、门式行吊、起重设备等均为移动设备，其噪声源强如下：</w:t>
      </w:r>
    </w:p>
    <w:p w14:paraId="3CA4D1F1">
      <w:pPr>
        <w:pStyle w:val="23"/>
      </w:pPr>
      <w:r>
        <w:rPr>
          <w:rFonts w:hint="eastAsia"/>
        </w:rPr>
        <w:t>表3.</w:t>
      </w:r>
      <w:r>
        <w:rPr>
          <w:rFonts w:hint="eastAsia"/>
          <w:lang w:val="en-US" w:eastAsia="zh-CN"/>
        </w:rPr>
        <w:t>5-4</w:t>
      </w:r>
      <w:r>
        <w:rPr>
          <w:rFonts w:hint="eastAsia"/>
        </w:rPr>
        <w:t xml:space="preserve">  移动设备噪声源强一览表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2569"/>
        <w:gridCol w:w="1715"/>
        <w:gridCol w:w="1945"/>
        <w:gridCol w:w="1430"/>
      </w:tblGrid>
      <w:tr w14:paraId="491A3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2F83BFDD">
            <w:pPr>
              <w:pStyle w:val="31"/>
              <w:rPr>
                <w:rFonts w:cs="Times New Roman"/>
                <w:kern w:val="0"/>
              </w:rPr>
            </w:pPr>
            <w:r>
              <w:rPr>
                <w:rFonts w:hint="eastAsia" w:cs="Times New Roman"/>
                <w:kern w:val="0"/>
              </w:rPr>
              <w:t>序号</w:t>
            </w:r>
          </w:p>
        </w:tc>
        <w:tc>
          <w:tcPr>
            <w:tcW w:w="1507" w:type="pct"/>
          </w:tcPr>
          <w:p w14:paraId="6C644ADD">
            <w:pPr>
              <w:pStyle w:val="31"/>
              <w:rPr>
                <w:rFonts w:cs="Times New Roman"/>
                <w:kern w:val="0"/>
              </w:rPr>
            </w:pPr>
            <w:r>
              <w:rPr>
                <w:rFonts w:hint="eastAsia" w:cs="Times New Roman"/>
                <w:kern w:val="0"/>
              </w:rPr>
              <w:t>设备名称</w:t>
            </w:r>
          </w:p>
        </w:tc>
        <w:tc>
          <w:tcPr>
            <w:tcW w:w="1006" w:type="pct"/>
          </w:tcPr>
          <w:p w14:paraId="5E98FF5D">
            <w:pPr>
              <w:pStyle w:val="31"/>
              <w:rPr>
                <w:rFonts w:cs="Times New Roman"/>
                <w:kern w:val="0"/>
              </w:rPr>
            </w:pPr>
            <w:r>
              <w:rPr>
                <w:rFonts w:hint="eastAsia" w:cs="Times New Roman"/>
                <w:kern w:val="0"/>
              </w:rPr>
              <w:t>数量（台）</w:t>
            </w:r>
          </w:p>
        </w:tc>
        <w:tc>
          <w:tcPr>
            <w:tcW w:w="1141" w:type="pct"/>
          </w:tcPr>
          <w:p w14:paraId="2E896F06">
            <w:pPr>
              <w:pStyle w:val="31"/>
              <w:rPr>
                <w:rFonts w:cs="Times New Roman"/>
                <w:kern w:val="0"/>
              </w:rPr>
            </w:pPr>
            <w:r>
              <w:rPr>
                <w:rFonts w:hint="eastAsia" w:cs="Times New Roman"/>
                <w:kern w:val="0"/>
              </w:rPr>
              <w:t>声压级dB(A)</w:t>
            </w:r>
          </w:p>
        </w:tc>
        <w:tc>
          <w:tcPr>
            <w:tcW w:w="839" w:type="pct"/>
          </w:tcPr>
          <w:p w14:paraId="697503A8">
            <w:pPr>
              <w:pStyle w:val="31"/>
              <w:rPr>
                <w:rFonts w:cs="Times New Roman"/>
                <w:kern w:val="0"/>
              </w:rPr>
            </w:pPr>
            <w:r>
              <w:rPr>
                <w:rFonts w:hint="eastAsia" w:cs="Times New Roman"/>
                <w:kern w:val="0"/>
              </w:rPr>
              <w:t>声源特性</w:t>
            </w:r>
          </w:p>
        </w:tc>
      </w:tr>
      <w:tr w14:paraId="555B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0D236138">
            <w:pPr>
              <w:pStyle w:val="31"/>
              <w:rPr>
                <w:rFonts w:cs="Times New Roman"/>
                <w:kern w:val="0"/>
              </w:rPr>
            </w:pPr>
            <w:r>
              <w:rPr>
                <w:rFonts w:hint="eastAsia" w:cs="Times New Roman"/>
                <w:kern w:val="0"/>
              </w:rPr>
              <w:t>1</w:t>
            </w:r>
          </w:p>
        </w:tc>
        <w:tc>
          <w:tcPr>
            <w:tcW w:w="1507" w:type="pct"/>
          </w:tcPr>
          <w:p w14:paraId="21554922">
            <w:pPr>
              <w:pStyle w:val="31"/>
              <w:rPr>
                <w:rFonts w:cs="Times New Roman"/>
                <w:kern w:val="0"/>
              </w:rPr>
            </w:pPr>
            <w:r>
              <w:rPr>
                <w:rFonts w:hint="eastAsia" w:cs="Times New Roman"/>
                <w:kern w:val="0"/>
              </w:rPr>
              <w:t>氧割机</w:t>
            </w:r>
          </w:p>
        </w:tc>
        <w:tc>
          <w:tcPr>
            <w:tcW w:w="1006" w:type="pct"/>
          </w:tcPr>
          <w:p w14:paraId="5FE36222">
            <w:pPr>
              <w:pStyle w:val="31"/>
              <w:rPr>
                <w:rFonts w:cs="Times New Roman"/>
                <w:kern w:val="0"/>
              </w:rPr>
            </w:pPr>
            <w:r>
              <w:rPr>
                <w:rFonts w:hint="eastAsia" w:cs="Times New Roman"/>
                <w:kern w:val="0"/>
              </w:rPr>
              <w:t>2</w:t>
            </w:r>
          </w:p>
        </w:tc>
        <w:tc>
          <w:tcPr>
            <w:tcW w:w="1141" w:type="pct"/>
          </w:tcPr>
          <w:p w14:paraId="3138A8D0">
            <w:pPr>
              <w:pStyle w:val="31"/>
              <w:rPr>
                <w:rFonts w:cs="Times New Roman"/>
                <w:kern w:val="0"/>
              </w:rPr>
            </w:pPr>
            <w:r>
              <w:rPr>
                <w:rFonts w:hint="eastAsia" w:cs="Times New Roman"/>
                <w:kern w:val="0"/>
              </w:rPr>
              <w:t>75</w:t>
            </w:r>
          </w:p>
        </w:tc>
        <w:tc>
          <w:tcPr>
            <w:tcW w:w="839" w:type="pct"/>
          </w:tcPr>
          <w:p w14:paraId="65B11411">
            <w:pPr>
              <w:pStyle w:val="31"/>
              <w:rPr>
                <w:rFonts w:cs="Times New Roman"/>
                <w:kern w:val="0"/>
              </w:rPr>
            </w:pPr>
            <w:r>
              <w:rPr>
                <w:rFonts w:hint="eastAsia" w:cs="Times New Roman"/>
                <w:kern w:val="0"/>
              </w:rPr>
              <w:t>间断</w:t>
            </w:r>
          </w:p>
        </w:tc>
      </w:tr>
      <w:tr w14:paraId="1F8C2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3E10EE04">
            <w:pPr>
              <w:pStyle w:val="31"/>
              <w:rPr>
                <w:rFonts w:cs="Times New Roman"/>
                <w:kern w:val="0"/>
              </w:rPr>
            </w:pPr>
            <w:r>
              <w:rPr>
                <w:rFonts w:hint="eastAsia" w:cs="Times New Roman"/>
                <w:kern w:val="0"/>
              </w:rPr>
              <w:t>2</w:t>
            </w:r>
          </w:p>
        </w:tc>
        <w:tc>
          <w:tcPr>
            <w:tcW w:w="1507" w:type="pct"/>
          </w:tcPr>
          <w:p w14:paraId="2A87D8A9">
            <w:pPr>
              <w:pStyle w:val="31"/>
              <w:rPr>
                <w:rFonts w:cs="Times New Roman"/>
                <w:kern w:val="0"/>
              </w:rPr>
            </w:pPr>
            <w:r>
              <w:rPr>
                <w:rFonts w:hint="eastAsia" w:cs="Times New Roman"/>
                <w:kern w:val="0"/>
              </w:rPr>
              <w:t>热切割枪</w:t>
            </w:r>
          </w:p>
        </w:tc>
        <w:tc>
          <w:tcPr>
            <w:tcW w:w="1006" w:type="pct"/>
          </w:tcPr>
          <w:p w14:paraId="388F90A1">
            <w:pPr>
              <w:pStyle w:val="31"/>
              <w:rPr>
                <w:rFonts w:cs="Times New Roman"/>
                <w:kern w:val="0"/>
              </w:rPr>
            </w:pPr>
            <w:r>
              <w:rPr>
                <w:rFonts w:hint="eastAsia" w:cs="Times New Roman"/>
                <w:kern w:val="0"/>
              </w:rPr>
              <w:t>6</w:t>
            </w:r>
          </w:p>
        </w:tc>
        <w:tc>
          <w:tcPr>
            <w:tcW w:w="1141" w:type="pct"/>
          </w:tcPr>
          <w:p w14:paraId="76AC4408">
            <w:pPr>
              <w:pStyle w:val="31"/>
              <w:rPr>
                <w:rFonts w:cs="Times New Roman"/>
                <w:kern w:val="0"/>
              </w:rPr>
            </w:pPr>
            <w:r>
              <w:rPr>
                <w:rFonts w:hint="eastAsia" w:cs="Times New Roman"/>
                <w:kern w:val="0"/>
              </w:rPr>
              <w:t>75</w:t>
            </w:r>
          </w:p>
        </w:tc>
        <w:tc>
          <w:tcPr>
            <w:tcW w:w="839" w:type="pct"/>
          </w:tcPr>
          <w:p w14:paraId="49BAD50D">
            <w:pPr>
              <w:pStyle w:val="31"/>
              <w:rPr>
                <w:rFonts w:cs="Times New Roman"/>
                <w:kern w:val="0"/>
              </w:rPr>
            </w:pPr>
            <w:r>
              <w:rPr>
                <w:rFonts w:hint="eastAsia" w:cs="Times New Roman"/>
                <w:kern w:val="0"/>
              </w:rPr>
              <w:t>间断</w:t>
            </w:r>
          </w:p>
        </w:tc>
      </w:tr>
      <w:tr w14:paraId="69FE7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5FD3BDF3">
            <w:pPr>
              <w:pStyle w:val="31"/>
              <w:rPr>
                <w:rFonts w:cs="Times New Roman"/>
                <w:kern w:val="0"/>
              </w:rPr>
            </w:pPr>
            <w:r>
              <w:rPr>
                <w:rFonts w:hint="eastAsia" w:cs="Times New Roman"/>
                <w:kern w:val="0"/>
              </w:rPr>
              <w:t>3</w:t>
            </w:r>
          </w:p>
        </w:tc>
        <w:tc>
          <w:tcPr>
            <w:tcW w:w="1507" w:type="pct"/>
          </w:tcPr>
          <w:p w14:paraId="592AF20F">
            <w:pPr>
              <w:pStyle w:val="31"/>
              <w:rPr>
                <w:rFonts w:cs="Times New Roman"/>
                <w:kern w:val="0"/>
              </w:rPr>
            </w:pPr>
            <w:r>
              <w:rPr>
                <w:rFonts w:hint="eastAsia" w:cs="Times New Roman"/>
                <w:kern w:val="0"/>
              </w:rPr>
              <w:t>手提等离子切割机</w:t>
            </w:r>
          </w:p>
        </w:tc>
        <w:tc>
          <w:tcPr>
            <w:tcW w:w="1006" w:type="pct"/>
          </w:tcPr>
          <w:p w14:paraId="5F952108">
            <w:pPr>
              <w:pStyle w:val="31"/>
              <w:rPr>
                <w:rFonts w:cs="Times New Roman"/>
                <w:kern w:val="0"/>
              </w:rPr>
            </w:pPr>
            <w:r>
              <w:rPr>
                <w:rFonts w:hint="eastAsia" w:cs="Times New Roman"/>
                <w:kern w:val="0"/>
              </w:rPr>
              <w:t>2</w:t>
            </w:r>
          </w:p>
        </w:tc>
        <w:tc>
          <w:tcPr>
            <w:tcW w:w="1141" w:type="pct"/>
          </w:tcPr>
          <w:p w14:paraId="77212C36">
            <w:pPr>
              <w:pStyle w:val="31"/>
              <w:rPr>
                <w:rFonts w:cs="Times New Roman"/>
                <w:kern w:val="0"/>
              </w:rPr>
            </w:pPr>
            <w:r>
              <w:rPr>
                <w:rFonts w:hint="eastAsia" w:cs="Times New Roman"/>
                <w:kern w:val="0"/>
              </w:rPr>
              <w:t>80</w:t>
            </w:r>
          </w:p>
        </w:tc>
        <w:tc>
          <w:tcPr>
            <w:tcW w:w="839" w:type="pct"/>
          </w:tcPr>
          <w:p w14:paraId="4EA9FA91">
            <w:pPr>
              <w:pStyle w:val="31"/>
              <w:rPr>
                <w:rFonts w:cs="Times New Roman"/>
                <w:kern w:val="0"/>
              </w:rPr>
            </w:pPr>
            <w:r>
              <w:rPr>
                <w:rFonts w:hint="eastAsia" w:cs="Times New Roman"/>
                <w:kern w:val="0"/>
              </w:rPr>
              <w:t>间断</w:t>
            </w:r>
          </w:p>
        </w:tc>
      </w:tr>
      <w:tr w14:paraId="7B887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63028158">
            <w:pPr>
              <w:pStyle w:val="31"/>
              <w:rPr>
                <w:rFonts w:cs="Times New Roman"/>
                <w:kern w:val="0"/>
              </w:rPr>
            </w:pPr>
            <w:r>
              <w:rPr>
                <w:rFonts w:hint="eastAsia" w:cs="Times New Roman"/>
                <w:kern w:val="0"/>
              </w:rPr>
              <w:t>4</w:t>
            </w:r>
          </w:p>
        </w:tc>
        <w:tc>
          <w:tcPr>
            <w:tcW w:w="1507" w:type="pct"/>
          </w:tcPr>
          <w:p w14:paraId="7228EE26">
            <w:pPr>
              <w:pStyle w:val="31"/>
              <w:rPr>
                <w:rFonts w:cs="Times New Roman"/>
                <w:kern w:val="0"/>
              </w:rPr>
            </w:pPr>
            <w:r>
              <w:rPr>
                <w:rFonts w:hint="eastAsia" w:cs="Times New Roman"/>
                <w:kern w:val="0"/>
              </w:rPr>
              <w:t>手提式切割机</w:t>
            </w:r>
          </w:p>
        </w:tc>
        <w:tc>
          <w:tcPr>
            <w:tcW w:w="1006" w:type="pct"/>
          </w:tcPr>
          <w:p w14:paraId="27451833">
            <w:pPr>
              <w:pStyle w:val="31"/>
              <w:rPr>
                <w:rFonts w:cs="Times New Roman"/>
                <w:kern w:val="0"/>
              </w:rPr>
            </w:pPr>
            <w:r>
              <w:rPr>
                <w:rFonts w:hint="eastAsia" w:cs="Times New Roman"/>
                <w:kern w:val="0"/>
              </w:rPr>
              <w:t>2</w:t>
            </w:r>
          </w:p>
        </w:tc>
        <w:tc>
          <w:tcPr>
            <w:tcW w:w="1141" w:type="pct"/>
          </w:tcPr>
          <w:p w14:paraId="20BE21B0">
            <w:pPr>
              <w:pStyle w:val="31"/>
              <w:rPr>
                <w:rFonts w:cs="Times New Roman"/>
                <w:kern w:val="0"/>
              </w:rPr>
            </w:pPr>
            <w:r>
              <w:rPr>
                <w:rFonts w:hint="eastAsia" w:cs="Times New Roman"/>
                <w:kern w:val="0"/>
              </w:rPr>
              <w:t>85</w:t>
            </w:r>
          </w:p>
        </w:tc>
        <w:tc>
          <w:tcPr>
            <w:tcW w:w="839" w:type="pct"/>
          </w:tcPr>
          <w:p w14:paraId="391F2984">
            <w:pPr>
              <w:pStyle w:val="31"/>
              <w:rPr>
                <w:rFonts w:cs="Times New Roman"/>
                <w:kern w:val="0"/>
              </w:rPr>
            </w:pPr>
            <w:r>
              <w:rPr>
                <w:rFonts w:hint="eastAsia" w:cs="Times New Roman"/>
                <w:kern w:val="0"/>
              </w:rPr>
              <w:t>间断</w:t>
            </w:r>
          </w:p>
        </w:tc>
      </w:tr>
      <w:tr w14:paraId="171C1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4CC57EC4">
            <w:pPr>
              <w:pStyle w:val="31"/>
              <w:rPr>
                <w:rFonts w:cs="Times New Roman"/>
                <w:kern w:val="0"/>
              </w:rPr>
            </w:pPr>
            <w:r>
              <w:rPr>
                <w:rFonts w:hint="eastAsia" w:cs="Times New Roman"/>
                <w:kern w:val="0"/>
              </w:rPr>
              <w:t>5</w:t>
            </w:r>
          </w:p>
        </w:tc>
        <w:tc>
          <w:tcPr>
            <w:tcW w:w="1507" w:type="pct"/>
          </w:tcPr>
          <w:p w14:paraId="4F9D0D21">
            <w:pPr>
              <w:pStyle w:val="31"/>
              <w:rPr>
                <w:rFonts w:cs="Times New Roman"/>
                <w:kern w:val="0"/>
              </w:rPr>
            </w:pPr>
            <w:r>
              <w:rPr>
                <w:rFonts w:hint="eastAsia" w:cs="Times New Roman"/>
                <w:kern w:val="0"/>
              </w:rPr>
              <w:t>门式行吊</w:t>
            </w:r>
          </w:p>
        </w:tc>
        <w:tc>
          <w:tcPr>
            <w:tcW w:w="1006" w:type="pct"/>
          </w:tcPr>
          <w:p w14:paraId="570D825B">
            <w:pPr>
              <w:pStyle w:val="31"/>
              <w:rPr>
                <w:rFonts w:cs="Times New Roman"/>
                <w:kern w:val="0"/>
              </w:rPr>
            </w:pPr>
            <w:r>
              <w:rPr>
                <w:rFonts w:hint="eastAsia" w:cs="Times New Roman"/>
                <w:kern w:val="0"/>
              </w:rPr>
              <w:t>1</w:t>
            </w:r>
          </w:p>
        </w:tc>
        <w:tc>
          <w:tcPr>
            <w:tcW w:w="1141" w:type="pct"/>
          </w:tcPr>
          <w:p w14:paraId="3C4EAEF5">
            <w:pPr>
              <w:pStyle w:val="31"/>
              <w:rPr>
                <w:rFonts w:cs="Times New Roman"/>
                <w:kern w:val="0"/>
              </w:rPr>
            </w:pPr>
            <w:r>
              <w:rPr>
                <w:rFonts w:hint="eastAsia" w:cs="Times New Roman"/>
                <w:kern w:val="0"/>
              </w:rPr>
              <w:t>70</w:t>
            </w:r>
          </w:p>
        </w:tc>
        <w:tc>
          <w:tcPr>
            <w:tcW w:w="839" w:type="pct"/>
          </w:tcPr>
          <w:p w14:paraId="319AB4F0">
            <w:pPr>
              <w:pStyle w:val="31"/>
              <w:rPr>
                <w:rFonts w:cs="Times New Roman"/>
                <w:kern w:val="0"/>
              </w:rPr>
            </w:pPr>
            <w:r>
              <w:rPr>
                <w:rFonts w:hint="eastAsia" w:cs="Times New Roman"/>
                <w:kern w:val="0"/>
              </w:rPr>
              <w:t>间断</w:t>
            </w:r>
          </w:p>
        </w:tc>
      </w:tr>
      <w:tr w14:paraId="0E3B3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Pr>
          <w:p w14:paraId="7F3D8B78">
            <w:pPr>
              <w:pStyle w:val="31"/>
              <w:rPr>
                <w:rFonts w:cs="Times New Roman"/>
                <w:kern w:val="0"/>
              </w:rPr>
            </w:pPr>
            <w:r>
              <w:rPr>
                <w:rFonts w:hint="eastAsia" w:cs="Times New Roman"/>
                <w:kern w:val="0"/>
              </w:rPr>
              <w:t>6</w:t>
            </w:r>
          </w:p>
        </w:tc>
        <w:tc>
          <w:tcPr>
            <w:tcW w:w="1507" w:type="pct"/>
          </w:tcPr>
          <w:p w14:paraId="771C734D">
            <w:pPr>
              <w:pStyle w:val="31"/>
              <w:rPr>
                <w:rFonts w:cs="Times New Roman"/>
                <w:kern w:val="0"/>
              </w:rPr>
            </w:pPr>
            <w:r>
              <w:rPr>
                <w:rFonts w:hint="eastAsia" w:cs="Times New Roman"/>
                <w:kern w:val="0"/>
              </w:rPr>
              <w:t>起重设备</w:t>
            </w:r>
          </w:p>
        </w:tc>
        <w:tc>
          <w:tcPr>
            <w:tcW w:w="1006" w:type="pct"/>
          </w:tcPr>
          <w:p w14:paraId="198042CB">
            <w:pPr>
              <w:pStyle w:val="31"/>
              <w:rPr>
                <w:rFonts w:cs="Times New Roman"/>
                <w:kern w:val="0"/>
              </w:rPr>
            </w:pPr>
            <w:r>
              <w:rPr>
                <w:rFonts w:hint="eastAsia" w:cs="Times New Roman"/>
                <w:kern w:val="0"/>
              </w:rPr>
              <w:t>2</w:t>
            </w:r>
          </w:p>
        </w:tc>
        <w:tc>
          <w:tcPr>
            <w:tcW w:w="1141" w:type="pct"/>
          </w:tcPr>
          <w:p w14:paraId="688F15EC">
            <w:pPr>
              <w:pStyle w:val="31"/>
              <w:rPr>
                <w:rFonts w:cs="Times New Roman"/>
                <w:kern w:val="0"/>
              </w:rPr>
            </w:pPr>
            <w:r>
              <w:rPr>
                <w:rFonts w:hint="eastAsia" w:cs="Times New Roman"/>
                <w:kern w:val="0"/>
              </w:rPr>
              <w:t>70</w:t>
            </w:r>
          </w:p>
        </w:tc>
        <w:tc>
          <w:tcPr>
            <w:tcW w:w="839" w:type="pct"/>
          </w:tcPr>
          <w:p w14:paraId="5448F711">
            <w:pPr>
              <w:pStyle w:val="31"/>
              <w:rPr>
                <w:rFonts w:cs="Times New Roman"/>
                <w:kern w:val="0"/>
              </w:rPr>
            </w:pPr>
            <w:r>
              <w:rPr>
                <w:rFonts w:hint="eastAsia" w:cs="Times New Roman"/>
                <w:kern w:val="0"/>
              </w:rPr>
              <w:t>间断</w:t>
            </w:r>
          </w:p>
        </w:tc>
      </w:tr>
    </w:tbl>
    <w:p w14:paraId="05B52305">
      <w:pPr>
        <w:pStyle w:val="33"/>
      </w:pPr>
      <w:bookmarkStart w:id="117" w:name="_Toc28566"/>
      <w:r>
        <w:rPr>
          <w:rFonts w:hint="eastAsia"/>
        </w:rPr>
        <w:t>3.</w:t>
      </w:r>
      <w:r>
        <w:rPr>
          <w:rFonts w:hint="eastAsia"/>
          <w:lang w:val="en-US" w:eastAsia="zh-CN"/>
        </w:rPr>
        <w:t>5</w:t>
      </w:r>
      <w:r>
        <w:rPr>
          <w:rFonts w:hint="eastAsia"/>
        </w:rPr>
        <w:t>.4固废</w:t>
      </w:r>
      <w:bookmarkEnd w:id="117"/>
    </w:p>
    <w:p w14:paraId="5C546882">
      <w:pPr>
        <w:pStyle w:val="21"/>
        <w:ind w:firstLine="480"/>
      </w:pPr>
      <w:r>
        <w:rPr>
          <w:rFonts w:hint="eastAsia"/>
        </w:rPr>
        <w:t>（1）</w:t>
      </w:r>
      <w:r>
        <w:t>生活垃圾</w:t>
      </w:r>
    </w:p>
    <w:p w14:paraId="2D3A2BC1">
      <w:pPr>
        <w:pStyle w:val="21"/>
        <w:ind w:firstLine="480"/>
      </w:pPr>
      <w:r>
        <w:rPr>
          <w:rFonts w:hint="eastAsia"/>
          <w:lang w:val="en-US" w:eastAsia="zh-CN"/>
        </w:rPr>
        <w:t>扩建后全厂总劳动定员15人</w:t>
      </w:r>
      <w:r>
        <w:rPr>
          <w:rFonts w:hint="eastAsia"/>
        </w:rPr>
        <w:t>，住宿人员</w:t>
      </w:r>
      <w:r>
        <w:t>生活垃圾按</w:t>
      </w:r>
      <w:r>
        <w:rPr>
          <w:rFonts w:hint="eastAsia"/>
        </w:rPr>
        <w:t>1</w:t>
      </w:r>
      <w:r>
        <w:t>kg /人·d计算</w:t>
      </w:r>
      <w:r>
        <w:rPr>
          <w:rFonts w:hint="eastAsia"/>
        </w:rPr>
        <w:t>，则产生的</w:t>
      </w:r>
      <w:bookmarkStart w:id="118" w:name="_Hlk155975817"/>
      <w:r>
        <w:rPr>
          <w:rFonts w:hint="eastAsia"/>
        </w:rPr>
        <w:t>生活垃圾为</w:t>
      </w:r>
      <w:r>
        <w:rPr>
          <w:rFonts w:hint="eastAsia"/>
          <w:lang w:val="en-US" w:eastAsia="zh-CN"/>
        </w:rPr>
        <w:t>3</w:t>
      </w:r>
      <w:r>
        <w:rPr>
          <w:rFonts w:hint="eastAsia"/>
        </w:rPr>
        <w:t>t</w:t>
      </w:r>
      <w:r>
        <w:t>/a</w:t>
      </w:r>
      <w:bookmarkEnd w:id="118"/>
      <w:r>
        <w:rPr>
          <w:rFonts w:hint="eastAsia"/>
        </w:rPr>
        <w:t>，厂区垃圾桶收集后</w:t>
      </w:r>
      <w:r>
        <w:t>当地环卫部门</w:t>
      </w:r>
      <w:r>
        <w:rPr>
          <w:rFonts w:hint="eastAsia"/>
        </w:rPr>
        <w:t>定期清运</w:t>
      </w:r>
      <w:r>
        <w:t>。</w:t>
      </w:r>
    </w:p>
    <w:p w14:paraId="2BAD4D80">
      <w:pPr>
        <w:pStyle w:val="21"/>
        <w:ind w:firstLine="480"/>
      </w:pPr>
      <w:r>
        <w:rPr>
          <w:rFonts w:hint="eastAsia"/>
        </w:rPr>
        <w:t>（2）可回收利用部分产品</w:t>
      </w:r>
    </w:p>
    <w:p w14:paraId="37F9F556">
      <w:pPr>
        <w:pStyle w:val="21"/>
        <w:ind w:firstLine="480"/>
        <w:rPr>
          <w:rFonts w:hint="eastAsia"/>
        </w:rPr>
      </w:pPr>
      <w:r>
        <w:rPr>
          <w:u w:val="none"/>
        </w:rPr>
        <w:t>依据《排污许可证申请与核发技术规范 废弃资源加工工业》（HJ 1034-2019）中“4.9.1.4产品名称 钢板、钢铁碎料、螺旋桨铜、铝碎料、铜碎料、电线电缆、木材家具、机械设备及仪器仪表（如起货机、绞缆机、起重机、机修设备、主机、发电机组、通讯导航仪器等）等</w:t>
      </w:r>
      <w:r>
        <w:rPr>
          <w:rFonts w:hint="eastAsia"/>
        </w:rPr>
        <w:t>。</w:t>
      </w:r>
    </w:p>
    <w:p w14:paraId="3E9A9FDF">
      <w:pPr>
        <w:pStyle w:val="21"/>
        <w:ind w:firstLine="480"/>
        <w:rPr>
          <w:rFonts w:hint="eastAsia"/>
          <w:lang w:val="en-US" w:eastAsia="zh-CN"/>
        </w:rPr>
      </w:pPr>
      <w:r>
        <w:rPr>
          <w:rFonts w:hint="eastAsia"/>
          <w:lang w:val="en-US" w:eastAsia="zh-CN"/>
        </w:rPr>
        <w:t>参考《排放源统计调查产排污核算方法和系数手册-废弃资源综合利用行业系数手册》报废船舶“拆解+切割”固废产生情况，一般固体废物产生量为0.1kg/t-原料，危险废物产生量为0.17kg/t原料，其余拆除物料即为可回收利用产品，占比约为99.973%，本项目拆解船舶3440t，则各类可回收产品量约为3439.07t。各类产物比例类比</w:t>
      </w:r>
      <w:r>
        <w:rPr>
          <w:rFonts w:hint="eastAsia"/>
        </w:rPr>
        <w:t>湖南伟业农牧集团灏东船舶科技有限公司的拆船实际运营情况，</w:t>
      </w:r>
      <w:r>
        <w:rPr>
          <w:rFonts w:hint="eastAsia"/>
          <w:lang w:val="en-US" w:eastAsia="zh-CN"/>
        </w:rPr>
        <w:t>产品如下：</w:t>
      </w:r>
    </w:p>
    <w:p w14:paraId="24245C78">
      <w:pPr>
        <w:pStyle w:val="23"/>
        <w:bidi w:val="0"/>
        <w:rPr>
          <w:rFonts w:hint="eastAsia"/>
          <w:lang w:val="en-US" w:eastAsia="zh-CN"/>
        </w:rPr>
      </w:pPr>
      <w:r>
        <w:rPr>
          <w:rFonts w:hint="eastAsia"/>
          <w:lang w:val="en-US" w:eastAsia="zh-CN"/>
        </w:rPr>
        <w:t>表3.5-5  项目产品一览表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3454"/>
        <w:gridCol w:w="1975"/>
        <w:gridCol w:w="2359"/>
      </w:tblGrid>
      <w:tr w14:paraId="7FEA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A94D2B0">
            <w:pPr>
              <w:pStyle w:val="31"/>
              <w:bidi w:val="0"/>
              <w:rPr>
                <w:u w:val="none"/>
              </w:rPr>
            </w:pPr>
            <w:r>
              <w:rPr>
                <w:u w:val="none"/>
              </w:rPr>
              <w:t>序号</w:t>
            </w:r>
          </w:p>
        </w:tc>
        <w:tc>
          <w:tcPr>
            <w:tcW w:w="2027" w:type="pct"/>
            <w:noWrap w:val="0"/>
            <w:vAlign w:val="top"/>
          </w:tcPr>
          <w:p w14:paraId="4292C9D5">
            <w:pPr>
              <w:pStyle w:val="31"/>
              <w:bidi w:val="0"/>
              <w:rPr>
                <w:u w:val="none"/>
              </w:rPr>
            </w:pPr>
            <w:r>
              <w:rPr>
                <w:u w:val="none"/>
              </w:rPr>
              <w:t>可外售物品（产品）名称</w:t>
            </w:r>
          </w:p>
        </w:tc>
        <w:tc>
          <w:tcPr>
            <w:tcW w:w="1159" w:type="pct"/>
            <w:noWrap w:val="0"/>
            <w:vAlign w:val="top"/>
          </w:tcPr>
          <w:p w14:paraId="2EA2B8B4">
            <w:pPr>
              <w:pStyle w:val="31"/>
              <w:bidi w:val="0"/>
              <w:rPr>
                <w:rFonts w:hint="default" w:eastAsia="宋体"/>
                <w:u w:val="none"/>
                <w:lang w:val="en-US" w:eastAsia="zh-CN"/>
              </w:rPr>
            </w:pPr>
            <w:r>
              <w:rPr>
                <w:rFonts w:hint="eastAsia"/>
                <w:u w:val="none"/>
                <w:lang w:val="en-US" w:eastAsia="zh-CN"/>
              </w:rPr>
              <w:t>占总产品比例%</w:t>
            </w:r>
          </w:p>
        </w:tc>
        <w:tc>
          <w:tcPr>
            <w:tcW w:w="1384" w:type="pct"/>
            <w:noWrap w:val="0"/>
            <w:vAlign w:val="top"/>
          </w:tcPr>
          <w:p w14:paraId="2E631F5B">
            <w:pPr>
              <w:pStyle w:val="31"/>
              <w:bidi w:val="0"/>
              <w:rPr>
                <w:rFonts w:hint="default"/>
                <w:u w:val="none"/>
                <w:lang w:val="en-US" w:eastAsia="zh-CN"/>
              </w:rPr>
            </w:pPr>
            <w:r>
              <w:rPr>
                <w:rFonts w:hint="eastAsia"/>
                <w:u w:val="none"/>
                <w:lang w:val="en-US" w:eastAsia="zh-CN"/>
              </w:rPr>
              <w:t>本项目产生量t</w:t>
            </w:r>
          </w:p>
        </w:tc>
      </w:tr>
      <w:tr w14:paraId="5E0E1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21C70C97">
            <w:pPr>
              <w:pStyle w:val="31"/>
              <w:bidi w:val="0"/>
              <w:rPr>
                <w:u w:val="none"/>
              </w:rPr>
            </w:pPr>
            <w:r>
              <w:rPr>
                <w:u w:val="none"/>
              </w:rPr>
              <w:t>1</w:t>
            </w:r>
          </w:p>
        </w:tc>
        <w:tc>
          <w:tcPr>
            <w:tcW w:w="2027" w:type="pct"/>
            <w:noWrap w:val="0"/>
            <w:vAlign w:val="center"/>
          </w:tcPr>
          <w:p w14:paraId="4CA79944">
            <w:pPr>
              <w:pStyle w:val="31"/>
              <w:bidi w:val="0"/>
              <w:rPr>
                <w:u w:val="none"/>
              </w:rPr>
            </w:pPr>
            <w:r>
              <w:rPr>
                <w:u w:val="none"/>
              </w:rPr>
              <w:t>钢板、钢材碎料及铁锈铁渣等</w:t>
            </w:r>
          </w:p>
        </w:tc>
        <w:tc>
          <w:tcPr>
            <w:tcW w:w="1159" w:type="pct"/>
            <w:noWrap w:val="0"/>
            <w:vAlign w:val="center"/>
          </w:tcPr>
          <w:p w14:paraId="17FBDABB">
            <w:pPr>
              <w:pStyle w:val="31"/>
              <w:bidi w:val="0"/>
              <w:rPr>
                <w:rFonts w:hint="default" w:eastAsia="宋体"/>
                <w:u w:val="none"/>
                <w:lang w:val="en-US" w:eastAsia="zh-CN"/>
              </w:rPr>
            </w:pPr>
            <w:r>
              <w:rPr>
                <w:rFonts w:hint="eastAsia"/>
                <w:u w:val="none"/>
                <w:lang w:val="en-US" w:eastAsia="zh-CN"/>
              </w:rPr>
              <w:t>85</w:t>
            </w:r>
          </w:p>
        </w:tc>
        <w:tc>
          <w:tcPr>
            <w:tcW w:w="1384" w:type="pct"/>
            <w:noWrap w:val="0"/>
            <w:vAlign w:val="center"/>
          </w:tcPr>
          <w:p w14:paraId="4E367072">
            <w:pPr>
              <w:pStyle w:val="31"/>
              <w:bidi w:val="0"/>
              <w:rPr>
                <w:rFonts w:hint="default" w:eastAsia="宋体"/>
                <w:u w:val="none"/>
                <w:lang w:val="en-US" w:eastAsia="zh-CN"/>
              </w:rPr>
            </w:pPr>
            <w:r>
              <w:rPr>
                <w:rFonts w:hint="eastAsia"/>
                <w:u w:val="none"/>
                <w:lang w:val="en-US" w:eastAsia="zh-CN"/>
              </w:rPr>
              <w:t>2923.21</w:t>
            </w:r>
          </w:p>
        </w:tc>
      </w:tr>
      <w:tr w14:paraId="09150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B3B3B89">
            <w:pPr>
              <w:pStyle w:val="31"/>
              <w:bidi w:val="0"/>
              <w:rPr>
                <w:u w:val="none"/>
              </w:rPr>
            </w:pPr>
            <w:r>
              <w:rPr>
                <w:u w:val="none"/>
              </w:rPr>
              <w:t>2</w:t>
            </w:r>
          </w:p>
        </w:tc>
        <w:tc>
          <w:tcPr>
            <w:tcW w:w="2027" w:type="pct"/>
            <w:noWrap w:val="0"/>
            <w:vAlign w:val="center"/>
          </w:tcPr>
          <w:p w14:paraId="42DC6BF2">
            <w:pPr>
              <w:pStyle w:val="31"/>
              <w:bidi w:val="0"/>
              <w:rPr>
                <w:u w:val="none"/>
              </w:rPr>
            </w:pPr>
            <w:r>
              <w:rPr>
                <w:u w:val="none"/>
              </w:rPr>
              <w:t>木材家具</w:t>
            </w:r>
          </w:p>
        </w:tc>
        <w:tc>
          <w:tcPr>
            <w:tcW w:w="1159" w:type="pct"/>
            <w:noWrap w:val="0"/>
            <w:vAlign w:val="center"/>
          </w:tcPr>
          <w:p w14:paraId="09E3F393">
            <w:pPr>
              <w:pStyle w:val="31"/>
              <w:bidi w:val="0"/>
              <w:rPr>
                <w:rFonts w:hint="default" w:eastAsia="宋体"/>
                <w:u w:val="none"/>
                <w:lang w:val="en-US" w:eastAsia="zh-CN"/>
              </w:rPr>
            </w:pPr>
            <w:r>
              <w:rPr>
                <w:rFonts w:hint="eastAsia"/>
                <w:u w:val="none"/>
                <w:lang w:val="en-US" w:eastAsia="zh-CN"/>
              </w:rPr>
              <w:t>0.75</w:t>
            </w:r>
          </w:p>
        </w:tc>
        <w:tc>
          <w:tcPr>
            <w:tcW w:w="1384" w:type="pct"/>
            <w:noWrap w:val="0"/>
            <w:vAlign w:val="center"/>
          </w:tcPr>
          <w:p w14:paraId="1F5218BE">
            <w:pPr>
              <w:pStyle w:val="31"/>
              <w:bidi w:val="0"/>
              <w:rPr>
                <w:rFonts w:hint="default" w:eastAsia="宋体"/>
                <w:u w:val="none"/>
                <w:lang w:val="en-US" w:eastAsia="zh-CN"/>
              </w:rPr>
            </w:pPr>
            <w:r>
              <w:rPr>
                <w:rFonts w:hint="eastAsia"/>
                <w:u w:val="none"/>
                <w:lang w:val="en-US" w:eastAsia="zh-CN"/>
              </w:rPr>
              <w:t>25.79</w:t>
            </w:r>
          </w:p>
        </w:tc>
      </w:tr>
      <w:tr w14:paraId="5497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158B8AAF">
            <w:pPr>
              <w:pStyle w:val="31"/>
              <w:bidi w:val="0"/>
              <w:rPr>
                <w:u w:val="none"/>
              </w:rPr>
            </w:pPr>
            <w:r>
              <w:rPr>
                <w:u w:val="none"/>
              </w:rPr>
              <w:t>3</w:t>
            </w:r>
          </w:p>
        </w:tc>
        <w:tc>
          <w:tcPr>
            <w:tcW w:w="2027" w:type="pct"/>
            <w:noWrap w:val="0"/>
            <w:vAlign w:val="center"/>
          </w:tcPr>
          <w:p w14:paraId="0319CE91">
            <w:pPr>
              <w:pStyle w:val="31"/>
              <w:bidi w:val="0"/>
              <w:rPr>
                <w:u w:val="none"/>
              </w:rPr>
            </w:pPr>
            <w:r>
              <w:rPr>
                <w:u w:val="none"/>
              </w:rPr>
              <w:t>有色金属（含螺旋桨铜、铝碎料、铜碎料等）</w:t>
            </w:r>
          </w:p>
        </w:tc>
        <w:tc>
          <w:tcPr>
            <w:tcW w:w="1159" w:type="pct"/>
            <w:noWrap w:val="0"/>
            <w:vAlign w:val="center"/>
          </w:tcPr>
          <w:p w14:paraId="6BEC3B03">
            <w:pPr>
              <w:pStyle w:val="31"/>
              <w:bidi w:val="0"/>
              <w:rPr>
                <w:rFonts w:hint="default" w:eastAsia="宋体"/>
                <w:u w:val="none"/>
                <w:lang w:val="en-US" w:eastAsia="zh-CN"/>
              </w:rPr>
            </w:pPr>
            <w:r>
              <w:rPr>
                <w:rFonts w:hint="eastAsia"/>
                <w:u w:val="none"/>
                <w:lang w:val="en-US" w:eastAsia="zh-CN"/>
              </w:rPr>
              <w:t>1.25</w:t>
            </w:r>
          </w:p>
        </w:tc>
        <w:tc>
          <w:tcPr>
            <w:tcW w:w="1384" w:type="pct"/>
            <w:noWrap w:val="0"/>
            <w:vAlign w:val="center"/>
          </w:tcPr>
          <w:p w14:paraId="0E0C88AA">
            <w:pPr>
              <w:pStyle w:val="31"/>
              <w:bidi w:val="0"/>
              <w:rPr>
                <w:rFonts w:hint="default" w:eastAsia="宋体"/>
                <w:u w:val="none"/>
                <w:lang w:val="en-US" w:eastAsia="zh-CN"/>
              </w:rPr>
            </w:pPr>
            <w:r>
              <w:rPr>
                <w:rFonts w:hint="eastAsia"/>
                <w:u w:val="none"/>
                <w:lang w:val="en-US" w:eastAsia="zh-CN"/>
              </w:rPr>
              <w:t>42.99</w:t>
            </w:r>
          </w:p>
        </w:tc>
      </w:tr>
      <w:tr w14:paraId="3702E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4539A86A">
            <w:pPr>
              <w:pStyle w:val="31"/>
              <w:bidi w:val="0"/>
              <w:rPr>
                <w:u w:val="none"/>
              </w:rPr>
            </w:pPr>
            <w:r>
              <w:rPr>
                <w:u w:val="none"/>
              </w:rPr>
              <w:t>4</w:t>
            </w:r>
          </w:p>
        </w:tc>
        <w:tc>
          <w:tcPr>
            <w:tcW w:w="2027" w:type="pct"/>
            <w:noWrap w:val="0"/>
            <w:vAlign w:val="center"/>
          </w:tcPr>
          <w:p w14:paraId="3BDB96CC">
            <w:pPr>
              <w:pStyle w:val="31"/>
              <w:bidi w:val="0"/>
              <w:rPr>
                <w:u w:val="none"/>
              </w:rPr>
            </w:pPr>
            <w:r>
              <w:rPr>
                <w:u w:val="none"/>
              </w:rPr>
              <w:t>电线电缆</w:t>
            </w:r>
          </w:p>
        </w:tc>
        <w:tc>
          <w:tcPr>
            <w:tcW w:w="1159" w:type="pct"/>
            <w:noWrap w:val="0"/>
            <w:vAlign w:val="center"/>
          </w:tcPr>
          <w:p w14:paraId="17C16097">
            <w:pPr>
              <w:pStyle w:val="31"/>
              <w:bidi w:val="0"/>
              <w:rPr>
                <w:rFonts w:hint="default" w:eastAsia="宋体"/>
                <w:u w:val="none"/>
                <w:lang w:val="en-US" w:eastAsia="zh-CN"/>
              </w:rPr>
            </w:pPr>
            <w:r>
              <w:rPr>
                <w:rFonts w:hint="eastAsia"/>
                <w:u w:val="none"/>
                <w:lang w:val="en-US" w:eastAsia="zh-CN"/>
              </w:rPr>
              <w:t>0.50</w:t>
            </w:r>
          </w:p>
        </w:tc>
        <w:tc>
          <w:tcPr>
            <w:tcW w:w="1384" w:type="pct"/>
            <w:noWrap w:val="0"/>
            <w:vAlign w:val="center"/>
          </w:tcPr>
          <w:p w14:paraId="02014A61">
            <w:pPr>
              <w:pStyle w:val="31"/>
              <w:bidi w:val="0"/>
              <w:rPr>
                <w:rFonts w:hint="default" w:eastAsia="宋体"/>
                <w:u w:val="none"/>
                <w:lang w:val="en-US" w:eastAsia="zh-CN"/>
              </w:rPr>
            </w:pPr>
            <w:r>
              <w:rPr>
                <w:rFonts w:hint="eastAsia"/>
                <w:u w:val="none"/>
                <w:lang w:val="en-US" w:eastAsia="zh-CN"/>
              </w:rPr>
              <w:t>17.20</w:t>
            </w:r>
          </w:p>
        </w:tc>
      </w:tr>
      <w:tr w14:paraId="2938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 w:type="pct"/>
            <w:noWrap w:val="0"/>
            <w:vAlign w:val="center"/>
          </w:tcPr>
          <w:p w14:paraId="3CF167E6">
            <w:pPr>
              <w:pStyle w:val="31"/>
              <w:bidi w:val="0"/>
              <w:rPr>
                <w:u w:val="none"/>
              </w:rPr>
            </w:pPr>
            <w:r>
              <w:rPr>
                <w:u w:val="none"/>
              </w:rPr>
              <w:t>5</w:t>
            </w:r>
          </w:p>
        </w:tc>
        <w:tc>
          <w:tcPr>
            <w:tcW w:w="2027" w:type="pct"/>
            <w:noWrap w:val="0"/>
            <w:vAlign w:val="center"/>
          </w:tcPr>
          <w:p w14:paraId="622A4C27">
            <w:pPr>
              <w:pStyle w:val="31"/>
              <w:bidi w:val="0"/>
              <w:rPr>
                <w:u w:val="none"/>
              </w:rPr>
            </w:pPr>
            <w:r>
              <w:rPr>
                <w:u w:val="none"/>
              </w:rPr>
              <w:t>机械设备及仪器仪表（起货机、绞缆机、起重机、机修设备、主机、发电机组、通讯导航仪器、水泵等）</w:t>
            </w:r>
          </w:p>
        </w:tc>
        <w:tc>
          <w:tcPr>
            <w:tcW w:w="1159" w:type="pct"/>
            <w:noWrap w:val="0"/>
            <w:vAlign w:val="center"/>
          </w:tcPr>
          <w:p w14:paraId="05732ADE">
            <w:pPr>
              <w:pStyle w:val="31"/>
              <w:bidi w:val="0"/>
              <w:rPr>
                <w:rFonts w:hint="default" w:eastAsia="宋体"/>
                <w:u w:val="none"/>
                <w:lang w:val="en-US" w:eastAsia="zh-CN"/>
              </w:rPr>
            </w:pPr>
            <w:r>
              <w:rPr>
                <w:rFonts w:hint="eastAsia"/>
                <w:u w:val="none"/>
                <w:lang w:val="en-US" w:eastAsia="zh-CN"/>
              </w:rPr>
              <w:t>12.5</w:t>
            </w:r>
          </w:p>
        </w:tc>
        <w:tc>
          <w:tcPr>
            <w:tcW w:w="1384" w:type="pct"/>
            <w:noWrap w:val="0"/>
            <w:vAlign w:val="center"/>
          </w:tcPr>
          <w:p w14:paraId="0638B36D">
            <w:pPr>
              <w:pStyle w:val="31"/>
              <w:bidi w:val="0"/>
              <w:rPr>
                <w:rFonts w:hint="default" w:eastAsia="宋体"/>
                <w:u w:val="none"/>
                <w:lang w:val="en-US" w:eastAsia="zh-CN"/>
              </w:rPr>
            </w:pPr>
            <w:r>
              <w:rPr>
                <w:rFonts w:hint="eastAsia"/>
                <w:u w:val="none"/>
                <w:lang w:val="en-US" w:eastAsia="zh-CN"/>
              </w:rPr>
              <w:t>429.88</w:t>
            </w:r>
          </w:p>
        </w:tc>
      </w:tr>
      <w:tr w14:paraId="1638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5" w:type="pct"/>
            <w:gridSpan w:val="3"/>
            <w:noWrap w:val="0"/>
            <w:vAlign w:val="center"/>
          </w:tcPr>
          <w:p w14:paraId="5328733D">
            <w:pPr>
              <w:pStyle w:val="31"/>
              <w:bidi w:val="0"/>
              <w:rPr>
                <w:rFonts w:hint="eastAsia"/>
                <w:u w:val="none"/>
                <w:lang w:val="en-US" w:eastAsia="zh-CN"/>
              </w:rPr>
            </w:pPr>
            <w:r>
              <w:rPr>
                <w:rFonts w:hint="eastAsia"/>
                <w:u w:val="none"/>
                <w:lang w:val="en-US" w:eastAsia="zh-CN"/>
              </w:rPr>
              <w:t>合计</w:t>
            </w:r>
          </w:p>
        </w:tc>
        <w:tc>
          <w:tcPr>
            <w:tcW w:w="1384" w:type="pct"/>
            <w:noWrap w:val="0"/>
            <w:vAlign w:val="center"/>
          </w:tcPr>
          <w:p w14:paraId="76AE5028">
            <w:pPr>
              <w:pStyle w:val="31"/>
              <w:bidi w:val="0"/>
              <w:rPr>
                <w:rFonts w:hint="default"/>
                <w:u w:val="none"/>
                <w:lang w:val="en-US" w:eastAsia="zh-CN"/>
              </w:rPr>
            </w:pPr>
            <w:r>
              <w:rPr>
                <w:rFonts w:hint="eastAsia"/>
                <w:u w:val="none"/>
                <w:lang w:val="en-US" w:eastAsia="zh-CN"/>
              </w:rPr>
              <w:t>3439.07</w:t>
            </w:r>
          </w:p>
        </w:tc>
      </w:tr>
    </w:tbl>
    <w:p w14:paraId="4FCAB18E">
      <w:pPr>
        <w:pStyle w:val="21"/>
        <w:ind w:firstLine="480"/>
      </w:pPr>
      <w:r>
        <w:rPr>
          <w:rFonts w:hint="eastAsia"/>
        </w:rPr>
        <w:t>（3）一般工业固体废物</w:t>
      </w:r>
    </w:p>
    <w:p w14:paraId="6F816A08">
      <w:pPr>
        <w:pStyle w:val="21"/>
        <w:ind w:firstLine="480"/>
      </w:pPr>
      <w:r>
        <w:rPr>
          <w:rFonts w:hint="eastAsia"/>
          <w:lang w:val="en-US" w:eastAsia="zh-CN"/>
        </w:rPr>
        <w:t>参考《排放源统计调查产排污核算方法和系数手册-废弃资源综合利用行业系数手册》报废船舶“拆解+切割”固废产生情况，一般固体废物产生量为0.1kg/t-原料，则产生量约为0.34t/a，主要包括玻璃、塑料、布料等杂物，与生活垃圾接近，</w:t>
      </w:r>
      <w:r>
        <w:rPr>
          <w:rFonts w:hint="eastAsia"/>
        </w:rPr>
        <w:t>集中收集后，委托当地环卫部门统一清运处理。</w:t>
      </w:r>
    </w:p>
    <w:p w14:paraId="6D350D12">
      <w:pPr>
        <w:pStyle w:val="21"/>
        <w:ind w:firstLine="480"/>
        <w:rPr>
          <w:rFonts w:hint="eastAsia" w:eastAsia="宋体"/>
          <w:u w:val="none"/>
          <w:lang w:eastAsia="zh-CN"/>
        </w:rPr>
      </w:pPr>
      <w:r>
        <w:rPr>
          <w:rFonts w:hint="eastAsia"/>
          <w:u w:val="none"/>
        </w:rPr>
        <w:t>（3）危险废物</w:t>
      </w:r>
      <w:r>
        <w:rPr>
          <w:rFonts w:hint="eastAsia"/>
          <w:u w:val="none"/>
          <w:lang w:eastAsia="zh-CN"/>
        </w:rPr>
        <w:t>（</w:t>
      </w:r>
      <w:r>
        <w:rPr>
          <w:rFonts w:hint="eastAsia"/>
          <w:u w:val="none"/>
          <w:lang w:val="en-US" w:eastAsia="zh-CN"/>
        </w:rPr>
        <w:t>拆解过程产生</w:t>
      </w:r>
      <w:r>
        <w:rPr>
          <w:rFonts w:hint="eastAsia"/>
          <w:u w:val="none"/>
          <w:lang w:eastAsia="zh-CN"/>
        </w:rPr>
        <w:t>）</w:t>
      </w:r>
    </w:p>
    <w:p w14:paraId="67BDE9FE">
      <w:pPr>
        <w:pStyle w:val="21"/>
        <w:ind w:firstLine="480"/>
        <w:rPr>
          <w:rFonts w:hint="eastAsia"/>
          <w:lang w:val="en-US" w:eastAsia="zh-CN"/>
        </w:rPr>
      </w:pPr>
      <w:r>
        <w:rPr>
          <w:rFonts w:hint="eastAsia"/>
          <w:lang w:val="en-US" w:eastAsia="zh-CN"/>
        </w:rPr>
        <w:t>参考《排放源统计调查产排污核算方法和系数手册-废弃资源综合利用行业系数手册》报废船舶“拆解+切割”固废产生情况，危险废物产生量为0.17kg/t-原料，则产生量约为0.59t/a（不含油箱残油），各类危险废物比例类比</w:t>
      </w:r>
      <w:r>
        <w:rPr>
          <w:rFonts w:hint="eastAsia"/>
        </w:rPr>
        <w:t>湖南伟业农牧集团灏东船舶科技有限公司的拆船实际运营情况，</w:t>
      </w:r>
      <w:r>
        <w:rPr>
          <w:rFonts w:hint="eastAsia"/>
          <w:lang w:val="en-US" w:eastAsia="zh-CN"/>
        </w:rPr>
        <w:t>具体如下：</w:t>
      </w:r>
    </w:p>
    <w:p w14:paraId="56E8A93C">
      <w:pPr>
        <w:pStyle w:val="23"/>
        <w:bidi w:val="0"/>
        <w:rPr>
          <w:rFonts w:hint="eastAsia"/>
          <w:lang w:val="en-US" w:eastAsia="zh-CN"/>
        </w:rPr>
      </w:pPr>
      <w:r>
        <w:rPr>
          <w:rFonts w:hint="eastAsia"/>
          <w:lang w:val="en-US" w:eastAsia="zh-CN"/>
        </w:rPr>
        <w:t>表3.5-6  危险废物产生情况（不含油箱残油）</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3371"/>
        <w:gridCol w:w="2131"/>
        <w:gridCol w:w="2131"/>
      </w:tblGrid>
      <w:tr w14:paraId="5AE72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0BD37AB7">
            <w:pPr>
              <w:pStyle w:val="31"/>
              <w:bidi w:val="0"/>
              <w:jc w:val="center"/>
              <w:rPr>
                <w:rFonts w:hint="default"/>
                <w:lang w:val="en-US" w:eastAsia="zh-CN"/>
              </w:rPr>
            </w:pPr>
            <w:r>
              <w:rPr>
                <w:rFonts w:hint="eastAsia"/>
                <w:lang w:val="en-US" w:eastAsia="zh-CN"/>
              </w:rPr>
              <w:t>序号</w:t>
            </w:r>
          </w:p>
        </w:tc>
        <w:tc>
          <w:tcPr>
            <w:tcW w:w="1978" w:type="pct"/>
            <w:vAlign w:val="center"/>
          </w:tcPr>
          <w:p w14:paraId="33887890">
            <w:pPr>
              <w:pStyle w:val="31"/>
              <w:bidi w:val="0"/>
              <w:jc w:val="center"/>
              <w:rPr>
                <w:rFonts w:hint="default"/>
                <w:lang w:val="en-US" w:eastAsia="zh-CN"/>
              </w:rPr>
            </w:pPr>
            <w:r>
              <w:rPr>
                <w:rFonts w:hint="eastAsia"/>
                <w:lang w:val="en-US" w:eastAsia="zh-CN"/>
              </w:rPr>
              <w:t>名称</w:t>
            </w:r>
          </w:p>
        </w:tc>
        <w:tc>
          <w:tcPr>
            <w:tcW w:w="1250" w:type="pct"/>
            <w:vAlign w:val="center"/>
          </w:tcPr>
          <w:p w14:paraId="44A05C87">
            <w:pPr>
              <w:pStyle w:val="31"/>
              <w:bidi w:val="0"/>
              <w:jc w:val="center"/>
              <w:rPr>
                <w:rFonts w:hint="default"/>
                <w:lang w:val="en-US" w:eastAsia="zh-CN"/>
              </w:rPr>
            </w:pPr>
            <w:r>
              <w:rPr>
                <w:rFonts w:hint="eastAsia"/>
                <w:lang w:val="en-US" w:eastAsia="zh-CN"/>
              </w:rPr>
              <w:t>比例%</w:t>
            </w:r>
          </w:p>
        </w:tc>
        <w:tc>
          <w:tcPr>
            <w:tcW w:w="1250" w:type="pct"/>
            <w:vAlign w:val="center"/>
          </w:tcPr>
          <w:p w14:paraId="56A27461">
            <w:pPr>
              <w:pStyle w:val="31"/>
              <w:bidi w:val="0"/>
              <w:jc w:val="center"/>
              <w:rPr>
                <w:rFonts w:hint="default"/>
                <w:lang w:val="en-US" w:eastAsia="zh-CN"/>
              </w:rPr>
            </w:pPr>
            <w:r>
              <w:rPr>
                <w:rFonts w:hint="eastAsia"/>
                <w:lang w:val="en-US" w:eastAsia="zh-CN"/>
              </w:rPr>
              <w:t>产生量t</w:t>
            </w:r>
          </w:p>
        </w:tc>
      </w:tr>
      <w:tr w14:paraId="6CB9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1BE36425">
            <w:pPr>
              <w:pStyle w:val="31"/>
              <w:bidi w:val="0"/>
              <w:jc w:val="center"/>
              <w:rPr>
                <w:rFonts w:hint="default"/>
                <w:lang w:val="en-US" w:eastAsia="zh-CN"/>
              </w:rPr>
            </w:pPr>
            <w:r>
              <w:rPr>
                <w:rFonts w:hint="eastAsia"/>
                <w:lang w:val="en-US" w:eastAsia="zh-CN"/>
              </w:rPr>
              <w:t>1</w:t>
            </w:r>
          </w:p>
        </w:tc>
        <w:tc>
          <w:tcPr>
            <w:tcW w:w="1978" w:type="pct"/>
            <w:vAlign w:val="center"/>
          </w:tcPr>
          <w:p w14:paraId="4546C32D">
            <w:pPr>
              <w:pStyle w:val="31"/>
              <w:bidi w:val="0"/>
              <w:jc w:val="center"/>
              <w:rPr>
                <w:rFonts w:hint="default"/>
                <w:lang w:val="en-US" w:eastAsia="zh-CN"/>
              </w:rPr>
            </w:pPr>
            <w:r>
              <w:rPr>
                <w:rFonts w:hint="eastAsia"/>
                <w:lang w:val="en-US" w:eastAsia="zh-CN"/>
              </w:rPr>
              <w:t>废油（含残油、油泥）</w:t>
            </w:r>
          </w:p>
        </w:tc>
        <w:tc>
          <w:tcPr>
            <w:tcW w:w="1250" w:type="pct"/>
            <w:vAlign w:val="center"/>
          </w:tcPr>
          <w:p w14:paraId="76625942">
            <w:pPr>
              <w:pStyle w:val="31"/>
              <w:bidi w:val="0"/>
              <w:jc w:val="center"/>
              <w:rPr>
                <w:rFonts w:hint="default"/>
                <w:lang w:val="en-US" w:eastAsia="zh-CN"/>
              </w:rPr>
            </w:pPr>
            <w:r>
              <w:rPr>
                <w:rFonts w:hint="eastAsia"/>
                <w:lang w:val="en-US" w:eastAsia="zh-CN"/>
              </w:rPr>
              <w:t>33</w:t>
            </w:r>
          </w:p>
        </w:tc>
        <w:tc>
          <w:tcPr>
            <w:tcW w:w="1250" w:type="pct"/>
            <w:vAlign w:val="center"/>
          </w:tcPr>
          <w:p w14:paraId="1E4DDE2B">
            <w:pPr>
              <w:pStyle w:val="31"/>
              <w:bidi w:val="0"/>
              <w:jc w:val="center"/>
              <w:rPr>
                <w:rFonts w:hint="default"/>
                <w:lang w:val="en-US" w:eastAsia="zh-CN"/>
              </w:rPr>
            </w:pPr>
            <w:r>
              <w:rPr>
                <w:rFonts w:hint="eastAsia"/>
                <w:lang w:val="en-US" w:eastAsia="zh-CN"/>
              </w:rPr>
              <w:t>0.195</w:t>
            </w:r>
          </w:p>
        </w:tc>
      </w:tr>
      <w:tr w14:paraId="7B6F7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74935EE4">
            <w:pPr>
              <w:pStyle w:val="31"/>
              <w:bidi w:val="0"/>
              <w:jc w:val="center"/>
              <w:rPr>
                <w:rFonts w:hint="default"/>
                <w:lang w:val="en-US" w:eastAsia="zh-CN"/>
              </w:rPr>
            </w:pPr>
            <w:r>
              <w:rPr>
                <w:rFonts w:hint="eastAsia"/>
                <w:lang w:val="en-US" w:eastAsia="zh-CN"/>
              </w:rPr>
              <w:t>2</w:t>
            </w:r>
          </w:p>
        </w:tc>
        <w:tc>
          <w:tcPr>
            <w:tcW w:w="1978" w:type="pct"/>
            <w:vAlign w:val="center"/>
          </w:tcPr>
          <w:p w14:paraId="53EA74DD">
            <w:pPr>
              <w:pStyle w:val="31"/>
              <w:bidi w:val="0"/>
              <w:jc w:val="center"/>
              <w:rPr>
                <w:rFonts w:hint="default"/>
                <w:lang w:val="en-US" w:eastAsia="zh-CN"/>
              </w:rPr>
            </w:pPr>
            <w:r>
              <w:rPr>
                <w:rFonts w:hint="eastAsia"/>
                <w:lang w:val="en-US" w:eastAsia="zh-CN"/>
              </w:rPr>
              <w:t>废铅蓄电池</w:t>
            </w:r>
          </w:p>
        </w:tc>
        <w:tc>
          <w:tcPr>
            <w:tcW w:w="1250" w:type="pct"/>
            <w:vAlign w:val="center"/>
          </w:tcPr>
          <w:p w14:paraId="615108A6">
            <w:pPr>
              <w:pStyle w:val="31"/>
              <w:bidi w:val="0"/>
              <w:jc w:val="center"/>
              <w:rPr>
                <w:rFonts w:hint="default"/>
                <w:lang w:val="en-US" w:eastAsia="zh-CN"/>
              </w:rPr>
            </w:pPr>
            <w:r>
              <w:rPr>
                <w:rFonts w:hint="eastAsia"/>
                <w:lang w:val="en-US" w:eastAsia="zh-CN"/>
              </w:rPr>
              <w:t>24</w:t>
            </w:r>
          </w:p>
        </w:tc>
        <w:tc>
          <w:tcPr>
            <w:tcW w:w="1250" w:type="pct"/>
            <w:vAlign w:val="center"/>
          </w:tcPr>
          <w:p w14:paraId="06C2543A">
            <w:pPr>
              <w:pStyle w:val="31"/>
              <w:bidi w:val="0"/>
              <w:jc w:val="center"/>
              <w:rPr>
                <w:rFonts w:hint="default"/>
                <w:lang w:val="en-US" w:eastAsia="zh-CN"/>
              </w:rPr>
            </w:pPr>
            <w:r>
              <w:rPr>
                <w:rFonts w:hint="eastAsia"/>
                <w:lang w:val="en-US" w:eastAsia="zh-CN"/>
              </w:rPr>
              <w:t>0.142</w:t>
            </w:r>
          </w:p>
        </w:tc>
      </w:tr>
      <w:tr w14:paraId="26DB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313DE863">
            <w:pPr>
              <w:pStyle w:val="31"/>
              <w:bidi w:val="0"/>
              <w:jc w:val="center"/>
              <w:rPr>
                <w:rFonts w:hint="default"/>
                <w:lang w:val="en-US" w:eastAsia="zh-CN"/>
              </w:rPr>
            </w:pPr>
            <w:r>
              <w:rPr>
                <w:rFonts w:hint="eastAsia"/>
                <w:lang w:val="en-US" w:eastAsia="zh-CN"/>
              </w:rPr>
              <w:t>3</w:t>
            </w:r>
          </w:p>
        </w:tc>
        <w:tc>
          <w:tcPr>
            <w:tcW w:w="1978" w:type="pct"/>
            <w:vAlign w:val="center"/>
          </w:tcPr>
          <w:p w14:paraId="1CE5E728">
            <w:pPr>
              <w:pStyle w:val="31"/>
              <w:bidi w:val="0"/>
              <w:jc w:val="center"/>
              <w:rPr>
                <w:rFonts w:hint="default"/>
                <w:lang w:val="en-US" w:eastAsia="zh-CN"/>
              </w:rPr>
            </w:pPr>
            <w:r>
              <w:rPr>
                <w:rFonts w:hint="eastAsia"/>
                <w:lang w:val="en-US" w:eastAsia="zh-CN"/>
              </w:rPr>
              <w:t>废油箱、油柜、油泵等含油容器</w:t>
            </w:r>
          </w:p>
        </w:tc>
        <w:tc>
          <w:tcPr>
            <w:tcW w:w="1250" w:type="pct"/>
            <w:vAlign w:val="center"/>
          </w:tcPr>
          <w:p w14:paraId="5AEDE62F">
            <w:pPr>
              <w:pStyle w:val="31"/>
              <w:bidi w:val="0"/>
              <w:jc w:val="center"/>
              <w:rPr>
                <w:rFonts w:hint="default"/>
                <w:lang w:val="en-US" w:eastAsia="zh-CN"/>
              </w:rPr>
            </w:pPr>
            <w:r>
              <w:rPr>
                <w:rFonts w:hint="eastAsia"/>
                <w:lang w:val="en-US" w:eastAsia="zh-CN"/>
              </w:rPr>
              <w:t>18</w:t>
            </w:r>
          </w:p>
        </w:tc>
        <w:tc>
          <w:tcPr>
            <w:tcW w:w="1250" w:type="pct"/>
            <w:vAlign w:val="center"/>
          </w:tcPr>
          <w:p w14:paraId="77E0F194">
            <w:pPr>
              <w:pStyle w:val="31"/>
              <w:bidi w:val="0"/>
              <w:jc w:val="center"/>
              <w:rPr>
                <w:rFonts w:hint="default"/>
                <w:lang w:val="en-US" w:eastAsia="zh-CN"/>
              </w:rPr>
            </w:pPr>
            <w:r>
              <w:rPr>
                <w:rFonts w:hint="eastAsia"/>
                <w:lang w:val="en-US" w:eastAsia="zh-CN"/>
              </w:rPr>
              <w:t>0.106</w:t>
            </w:r>
          </w:p>
        </w:tc>
      </w:tr>
      <w:tr w14:paraId="1CC3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56E39910">
            <w:pPr>
              <w:pStyle w:val="31"/>
              <w:bidi w:val="0"/>
              <w:jc w:val="center"/>
              <w:rPr>
                <w:rFonts w:hint="default"/>
                <w:lang w:val="en-US" w:eastAsia="zh-CN"/>
              </w:rPr>
            </w:pPr>
            <w:r>
              <w:rPr>
                <w:rFonts w:hint="eastAsia"/>
                <w:lang w:val="en-US" w:eastAsia="zh-CN"/>
              </w:rPr>
              <w:t>4</w:t>
            </w:r>
          </w:p>
        </w:tc>
        <w:tc>
          <w:tcPr>
            <w:tcW w:w="1978" w:type="pct"/>
            <w:vAlign w:val="center"/>
          </w:tcPr>
          <w:p w14:paraId="1702BD89">
            <w:pPr>
              <w:pStyle w:val="31"/>
              <w:bidi w:val="0"/>
              <w:jc w:val="center"/>
              <w:rPr>
                <w:rFonts w:hint="default"/>
                <w:lang w:val="en-US" w:eastAsia="zh-CN"/>
              </w:rPr>
            </w:pPr>
            <w:r>
              <w:rPr>
                <w:rFonts w:hint="eastAsia"/>
                <w:lang w:val="en-US" w:eastAsia="zh-CN"/>
              </w:rPr>
              <w:t>废漆渣（剥落油漆/涂料碎片）</w:t>
            </w:r>
          </w:p>
        </w:tc>
        <w:tc>
          <w:tcPr>
            <w:tcW w:w="1250" w:type="pct"/>
            <w:vAlign w:val="center"/>
          </w:tcPr>
          <w:p w14:paraId="44B92773">
            <w:pPr>
              <w:pStyle w:val="31"/>
              <w:bidi w:val="0"/>
              <w:jc w:val="center"/>
              <w:rPr>
                <w:rFonts w:hint="default"/>
                <w:lang w:val="en-US" w:eastAsia="zh-CN"/>
              </w:rPr>
            </w:pPr>
            <w:r>
              <w:rPr>
                <w:rFonts w:hint="eastAsia"/>
                <w:lang w:val="en-US" w:eastAsia="zh-CN"/>
              </w:rPr>
              <w:t>16</w:t>
            </w:r>
          </w:p>
        </w:tc>
        <w:tc>
          <w:tcPr>
            <w:tcW w:w="1250" w:type="pct"/>
            <w:vAlign w:val="center"/>
          </w:tcPr>
          <w:p w14:paraId="023B14E5">
            <w:pPr>
              <w:pStyle w:val="31"/>
              <w:bidi w:val="0"/>
              <w:jc w:val="center"/>
              <w:rPr>
                <w:rFonts w:hint="default"/>
                <w:lang w:val="en-US" w:eastAsia="zh-CN"/>
              </w:rPr>
            </w:pPr>
            <w:r>
              <w:rPr>
                <w:rFonts w:hint="eastAsia"/>
                <w:lang w:val="en-US" w:eastAsia="zh-CN"/>
              </w:rPr>
              <w:t>0.094</w:t>
            </w:r>
          </w:p>
        </w:tc>
      </w:tr>
      <w:tr w14:paraId="3DCC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751FFD8F">
            <w:pPr>
              <w:pStyle w:val="31"/>
              <w:bidi w:val="0"/>
              <w:jc w:val="center"/>
              <w:rPr>
                <w:rFonts w:hint="default"/>
                <w:lang w:val="en-US" w:eastAsia="zh-CN"/>
              </w:rPr>
            </w:pPr>
            <w:r>
              <w:rPr>
                <w:rFonts w:hint="eastAsia"/>
                <w:lang w:val="en-US" w:eastAsia="zh-CN"/>
              </w:rPr>
              <w:t>5</w:t>
            </w:r>
          </w:p>
        </w:tc>
        <w:tc>
          <w:tcPr>
            <w:tcW w:w="1978" w:type="pct"/>
            <w:vAlign w:val="center"/>
          </w:tcPr>
          <w:p w14:paraId="1F16F578">
            <w:pPr>
              <w:pStyle w:val="31"/>
              <w:bidi w:val="0"/>
              <w:jc w:val="center"/>
              <w:rPr>
                <w:rFonts w:hint="default"/>
                <w:lang w:val="en-US" w:eastAsia="zh-CN"/>
              </w:rPr>
            </w:pPr>
            <w:r>
              <w:rPr>
                <w:rFonts w:hint="eastAsia"/>
                <w:lang w:val="en-US" w:eastAsia="zh-CN"/>
              </w:rPr>
              <w:t>废石棉保温材料</w:t>
            </w:r>
          </w:p>
        </w:tc>
        <w:tc>
          <w:tcPr>
            <w:tcW w:w="1250" w:type="pct"/>
            <w:vAlign w:val="center"/>
          </w:tcPr>
          <w:p w14:paraId="5C7879B3">
            <w:pPr>
              <w:pStyle w:val="31"/>
              <w:bidi w:val="0"/>
              <w:jc w:val="center"/>
              <w:rPr>
                <w:rFonts w:hint="default"/>
                <w:lang w:val="en-US" w:eastAsia="zh-CN"/>
              </w:rPr>
            </w:pPr>
            <w:r>
              <w:rPr>
                <w:rFonts w:hint="eastAsia"/>
                <w:lang w:val="en-US" w:eastAsia="zh-CN"/>
              </w:rPr>
              <w:t>6.5</w:t>
            </w:r>
          </w:p>
        </w:tc>
        <w:tc>
          <w:tcPr>
            <w:tcW w:w="1250" w:type="pct"/>
            <w:vAlign w:val="center"/>
          </w:tcPr>
          <w:p w14:paraId="6DFC61F1">
            <w:pPr>
              <w:pStyle w:val="31"/>
              <w:bidi w:val="0"/>
              <w:jc w:val="center"/>
              <w:rPr>
                <w:rFonts w:hint="default"/>
                <w:lang w:val="en-US" w:eastAsia="zh-CN"/>
              </w:rPr>
            </w:pPr>
            <w:r>
              <w:rPr>
                <w:rFonts w:hint="eastAsia"/>
                <w:lang w:val="en-US" w:eastAsia="zh-CN"/>
              </w:rPr>
              <w:t>0.038</w:t>
            </w:r>
          </w:p>
        </w:tc>
      </w:tr>
      <w:tr w14:paraId="0BD7B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3E625BF1">
            <w:pPr>
              <w:pStyle w:val="31"/>
              <w:bidi w:val="0"/>
              <w:jc w:val="center"/>
              <w:rPr>
                <w:rFonts w:hint="default"/>
                <w:lang w:val="en-US" w:eastAsia="zh-CN"/>
              </w:rPr>
            </w:pPr>
            <w:r>
              <w:rPr>
                <w:rFonts w:hint="eastAsia"/>
                <w:lang w:val="en-US" w:eastAsia="zh-CN"/>
              </w:rPr>
              <w:t>6</w:t>
            </w:r>
          </w:p>
        </w:tc>
        <w:tc>
          <w:tcPr>
            <w:tcW w:w="1978" w:type="pct"/>
            <w:vAlign w:val="center"/>
          </w:tcPr>
          <w:p w14:paraId="4F41B98E">
            <w:pPr>
              <w:pStyle w:val="31"/>
              <w:bidi w:val="0"/>
              <w:jc w:val="center"/>
              <w:rPr>
                <w:rFonts w:hint="default"/>
                <w:lang w:val="en-US" w:eastAsia="zh-CN"/>
              </w:rPr>
            </w:pPr>
            <w:r>
              <w:rPr>
                <w:rFonts w:hint="eastAsia"/>
                <w:lang w:val="en-US" w:eastAsia="zh-CN"/>
              </w:rPr>
              <w:t>废电路板及电子元器件</w:t>
            </w:r>
          </w:p>
        </w:tc>
        <w:tc>
          <w:tcPr>
            <w:tcW w:w="1250" w:type="pct"/>
            <w:vAlign w:val="center"/>
          </w:tcPr>
          <w:p w14:paraId="12F4A929">
            <w:pPr>
              <w:pStyle w:val="31"/>
              <w:bidi w:val="0"/>
              <w:jc w:val="center"/>
              <w:rPr>
                <w:rFonts w:hint="default"/>
                <w:lang w:val="en-US" w:eastAsia="zh-CN"/>
              </w:rPr>
            </w:pPr>
            <w:r>
              <w:rPr>
                <w:rFonts w:hint="eastAsia"/>
                <w:lang w:val="en-US" w:eastAsia="zh-CN"/>
              </w:rPr>
              <w:t>1</w:t>
            </w:r>
          </w:p>
        </w:tc>
        <w:tc>
          <w:tcPr>
            <w:tcW w:w="1250" w:type="pct"/>
            <w:vAlign w:val="center"/>
          </w:tcPr>
          <w:p w14:paraId="38AAC880">
            <w:pPr>
              <w:pStyle w:val="31"/>
              <w:bidi w:val="0"/>
              <w:jc w:val="center"/>
              <w:rPr>
                <w:rFonts w:hint="default"/>
                <w:lang w:val="en-US" w:eastAsia="zh-CN"/>
              </w:rPr>
            </w:pPr>
            <w:r>
              <w:rPr>
                <w:rFonts w:hint="eastAsia"/>
                <w:lang w:val="en-US" w:eastAsia="zh-CN"/>
              </w:rPr>
              <w:t>0.006</w:t>
            </w:r>
          </w:p>
        </w:tc>
      </w:tr>
      <w:tr w14:paraId="1BA0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26F3A660">
            <w:pPr>
              <w:pStyle w:val="31"/>
              <w:bidi w:val="0"/>
              <w:jc w:val="center"/>
              <w:rPr>
                <w:rFonts w:hint="default"/>
                <w:lang w:val="en-US" w:eastAsia="zh-CN"/>
              </w:rPr>
            </w:pPr>
            <w:r>
              <w:rPr>
                <w:rFonts w:hint="eastAsia"/>
                <w:lang w:val="en-US" w:eastAsia="zh-CN"/>
              </w:rPr>
              <w:t>7</w:t>
            </w:r>
          </w:p>
        </w:tc>
        <w:tc>
          <w:tcPr>
            <w:tcW w:w="1978" w:type="pct"/>
            <w:vAlign w:val="center"/>
          </w:tcPr>
          <w:p w14:paraId="739DB3E7">
            <w:pPr>
              <w:pStyle w:val="31"/>
              <w:bidi w:val="0"/>
              <w:jc w:val="center"/>
              <w:rPr>
                <w:rFonts w:hint="default"/>
                <w:lang w:val="en-US" w:eastAsia="zh-CN"/>
              </w:rPr>
            </w:pPr>
            <w:r>
              <w:rPr>
                <w:rFonts w:hint="eastAsia"/>
                <w:lang w:val="en-US" w:eastAsia="zh-CN"/>
              </w:rPr>
              <w:t>废空调制冷剂</w:t>
            </w:r>
          </w:p>
        </w:tc>
        <w:tc>
          <w:tcPr>
            <w:tcW w:w="1250" w:type="pct"/>
            <w:vAlign w:val="center"/>
          </w:tcPr>
          <w:p w14:paraId="0D3CA57B">
            <w:pPr>
              <w:pStyle w:val="31"/>
              <w:bidi w:val="0"/>
              <w:jc w:val="center"/>
              <w:rPr>
                <w:rFonts w:hint="default"/>
                <w:lang w:val="en-US" w:eastAsia="zh-CN"/>
              </w:rPr>
            </w:pPr>
            <w:r>
              <w:rPr>
                <w:rFonts w:hint="eastAsia"/>
                <w:lang w:val="en-US" w:eastAsia="zh-CN"/>
              </w:rPr>
              <w:t>1</w:t>
            </w:r>
          </w:p>
        </w:tc>
        <w:tc>
          <w:tcPr>
            <w:tcW w:w="1250" w:type="pct"/>
            <w:vAlign w:val="center"/>
          </w:tcPr>
          <w:p w14:paraId="281B863A">
            <w:pPr>
              <w:pStyle w:val="31"/>
              <w:bidi w:val="0"/>
              <w:jc w:val="center"/>
              <w:rPr>
                <w:rFonts w:hint="default"/>
                <w:lang w:val="en-US" w:eastAsia="zh-CN"/>
              </w:rPr>
            </w:pPr>
            <w:r>
              <w:rPr>
                <w:rFonts w:hint="eastAsia"/>
                <w:lang w:val="en-US" w:eastAsia="zh-CN"/>
              </w:rPr>
              <w:t>0.006</w:t>
            </w:r>
          </w:p>
        </w:tc>
      </w:tr>
      <w:tr w14:paraId="44D2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1" w:type="pct"/>
            <w:vAlign w:val="center"/>
          </w:tcPr>
          <w:p w14:paraId="5FB91544">
            <w:pPr>
              <w:pStyle w:val="31"/>
              <w:bidi w:val="0"/>
              <w:jc w:val="center"/>
              <w:rPr>
                <w:rFonts w:hint="default"/>
                <w:lang w:val="en-US" w:eastAsia="zh-CN"/>
              </w:rPr>
            </w:pPr>
            <w:r>
              <w:rPr>
                <w:rFonts w:hint="eastAsia"/>
                <w:lang w:val="en-US" w:eastAsia="zh-CN"/>
              </w:rPr>
              <w:t>8</w:t>
            </w:r>
          </w:p>
        </w:tc>
        <w:tc>
          <w:tcPr>
            <w:tcW w:w="1978" w:type="pct"/>
            <w:vAlign w:val="center"/>
          </w:tcPr>
          <w:p w14:paraId="52EEE7AD">
            <w:pPr>
              <w:pStyle w:val="31"/>
              <w:bidi w:val="0"/>
              <w:jc w:val="center"/>
              <w:rPr>
                <w:rFonts w:hint="default"/>
                <w:lang w:val="en-US" w:eastAsia="zh-CN"/>
              </w:rPr>
            </w:pPr>
            <w:r>
              <w:rPr>
                <w:rFonts w:hint="eastAsia"/>
                <w:lang w:val="en-US" w:eastAsia="zh-CN"/>
              </w:rPr>
              <w:t>含汞灯管</w:t>
            </w:r>
          </w:p>
        </w:tc>
        <w:tc>
          <w:tcPr>
            <w:tcW w:w="1250" w:type="pct"/>
            <w:vAlign w:val="center"/>
          </w:tcPr>
          <w:p w14:paraId="489052C9">
            <w:pPr>
              <w:pStyle w:val="31"/>
              <w:bidi w:val="0"/>
              <w:jc w:val="center"/>
              <w:rPr>
                <w:rFonts w:hint="default"/>
                <w:lang w:val="en-US" w:eastAsia="zh-CN"/>
              </w:rPr>
            </w:pPr>
            <w:r>
              <w:rPr>
                <w:rFonts w:hint="eastAsia"/>
                <w:lang w:val="en-US" w:eastAsia="zh-CN"/>
              </w:rPr>
              <w:t>0.5</w:t>
            </w:r>
          </w:p>
        </w:tc>
        <w:tc>
          <w:tcPr>
            <w:tcW w:w="1250" w:type="pct"/>
            <w:vAlign w:val="center"/>
          </w:tcPr>
          <w:p w14:paraId="713BF5D8">
            <w:pPr>
              <w:pStyle w:val="31"/>
              <w:bidi w:val="0"/>
              <w:jc w:val="center"/>
              <w:rPr>
                <w:rFonts w:hint="default"/>
                <w:lang w:val="en-US" w:eastAsia="zh-CN"/>
              </w:rPr>
            </w:pPr>
            <w:r>
              <w:rPr>
                <w:rFonts w:hint="eastAsia"/>
                <w:lang w:val="en-US" w:eastAsia="zh-CN"/>
              </w:rPr>
              <w:t>0.003</w:t>
            </w:r>
          </w:p>
        </w:tc>
      </w:tr>
      <w:tr w14:paraId="1948D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9" w:type="pct"/>
            <w:gridSpan w:val="3"/>
            <w:vAlign w:val="center"/>
          </w:tcPr>
          <w:p w14:paraId="610C5210">
            <w:pPr>
              <w:pStyle w:val="31"/>
              <w:bidi w:val="0"/>
              <w:jc w:val="center"/>
              <w:rPr>
                <w:rFonts w:hint="eastAsia"/>
                <w:lang w:val="en-US" w:eastAsia="zh-CN"/>
              </w:rPr>
            </w:pPr>
            <w:r>
              <w:rPr>
                <w:rFonts w:hint="eastAsia"/>
                <w:lang w:val="en-US" w:eastAsia="zh-CN"/>
              </w:rPr>
              <w:t>合计</w:t>
            </w:r>
          </w:p>
        </w:tc>
        <w:tc>
          <w:tcPr>
            <w:tcW w:w="1250" w:type="pct"/>
            <w:vAlign w:val="center"/>
          </w:tcPr>
          <w:p w14:paraId="743D5561">
            <w:pPr>
              <w:pStyle w:val="31"/>
              <w:bidi w:val="0"/>
              <w:jc w:val="center"/>
              <w:rPr>
                <w:rFonts w:hint="default"/>
                <w:lang w:val="en-US" w:eastAsia="zh-CN"/>
              </w:rPr>
            </w:pPr>
            <w:r>
              <w:rPr>
                <w:rFonts w:hint="eastAsia"/>
                <w:lang w:val="en-US" w:eastAsia="zh-CN"/>
              </w:rPr>
              <w:t>0.59</w:t>
            </w:r>
          </w:p>
        </w:tc>
      </w:tr>
    </w:tbl>
    <w:p w14:paraId="3F50232D">
      <w:pPr>
        <w:pStyle w:val="21"/>
        <w:ind w:firstLine="480"/>
        <w:rPr>
          <w:u w:val="none"/>
        </w:rPr>
      </w:pPr>
      <w:r>
        <w:rPr>
          <w:rFonts w:hint="eastAsia"/>
          <w:u w:val="none"/>
        </w:rPr>
        <w:t>1）废油</w:t>
      </w:r>
      <w:r>
        <w:rPr>
          <w:rFonts w:hint="eastAsia"/>
          <w:u w:val="none"/>
          <w:lang w:eastAsia="zh-CN"/>
        </w:rPr>
        <w:t>、</w:t>
      </w:r>
      <w:r>
        <w:rPr>
          <w:rFonts w:hint="eastAsia"/>
          <w:u w:val="none"/>
          <w:lang w:val="en-US" w:eastAsia="zh-CN"/>
        </w:rPr>
        <w:t>油泥</w:t>
      </w:r>
      <w:r>
        <w:rPr>
          <w:rFonts w:hint="eastAsia"/>
          <w:u w:val="none"/>
        </w:rPr>
        <w:t>：废油产生量约为</w:t>
      </w:r>
      <w:r>
        <w:rPr>
          <w:rFonts w:hint="eastAsia"/>
          <w:u w:val="none"/>
          <w:lang w:val="en-US" w:eastAsia="zh-CN"/>
        </w:rPr>
        <w:t>0.195</w:t>
      </w:r>
      <w:r>
        <w:rPr>
          <w:rFonts w:hint="eastAsia"/>
          <w:u w:val="none"/>
        </w:rPr>
        <w:t>t/a，主要来源于发动机、气缸等部件抽取的废机油、废液压油</w:t>
      </w:r>
      <w:r>
        <w:rPr>
          <w:rFonts w:hint="eastAsia"/>
          <w:u w:val="none"/>
          <w:lang w:val="en-US" w:eastAsia="zh-CN"/>
        </w:rPr>
        <w:t>及油泥</w:t>
      </w:r>
      <w:r>
        <w:rPr>
          <w:rFonts w:hint="eastAsia"/>
          <w:u w:val="none"/>
        </w:rPr>
        <w:t>等，属于《国家危险废物名录》(202</w:t>
      </w:r>
      <w:r>
        <w:rPr>
          <w:rFonts w:hint="eastAsia"/>
          <w:u w:val="none"/>
          <w:lang w:val="en-US" w:eastAsia="zh-CN"/>
        </w:rPr>
        <w:t>5</w:t>
      </w:r>
      <w:r>
        <w:rPr>
          <w:rFonts w:hint="eastAsia"/>
          <w:u w:val="none"/>
        </w:rPr>
        <w:t>年)中废物类别HW08，代码900-199-08，内燃机、汽车、轮船等集中拆解过程中产生的废矿物油和油泥。废油通过油泵抽入油桶、油罐及其他储器回收，贮存于危废贮存间内，储器底部用托盘进行承接。采用油桶贮存于危险废物暂存间，</w:t>
      </w:r>
      <w:r>
        <w:rPr>
          <w:rFonts w:hint="eastAsia"/>
          <w:u w:val="none"/>
          <w:lang w:val="en-US" w:eastAsia="zh-CN"/>
        </w:rPr>
        <w:t>委托有资质单位定期收集处置</w:t>
      </w:r>
      <w:r>
        <w:rPr>
          <w:rFonts w:hint="eastAsia"/>
          <w:u w:val="none"/>
        </w:rPr>
        <w:t>。</w:t>
      </w:r>
    </w:p>
    <w:p w14:paraId="2A12F6AC">
      <w:pPr>
        <w:pStyle w:val="21"/>
        <w:ind w:firstLine="480"/>
        <w:rPr>
          <w:rFonts w:hint="eastAsia"/>
          <w:u w:val="none"/>
        </w:rPr>
      </w:pPr>
      <w:r>
        <w:rPr>
          <w:rFonts w:hint="eastAsia"/>
          <w:u w:val="none"/>
        </w:rPr>
        <w:t>2）废</w:t>
      </w:r>
      <w:r>
        <w:rPr>
          <w:rFonts w:hint="eastAsia"/>
          <w:u w:val="none"/>
          <w:lang w:val="en-US" w:eastAsia="zh-CN"/>
        </w:rPr>
        <w:t>铅蓄电池</w:t>
      </w:r>
      <w:r>
        <w:rPr>
          <w:rFonts w:hint="eastAsia"/>
          <w:u w:val="none"/>
        </w:rPr>
        <w:t>：船舶使用的电池大多是铅蓄电池，项目拆解产生的废铅蓄电池为</w:t>
      </w:r>
      <w:r>
        <w:rPr>
          <w:rFonts w:hint="eastAsia"/>
          <w:u w:val="none"/>
          <w:lang w:val="en-US" w:eastAsia="zh-CN"/>
        </w:rPr>
        <w:t>0.142</w:t>
      </w:r>
      <w:r>
        <w:rPr>
          <w:rFonts w:hint="eastAsia"/>
          <w:u w:val="none"/>
        </w:rPr>
        <w:t>t/a，属于《国家危险废物名录》(202</w:t>
      </w:r>
      <w:r>
        <w:rPr>
          <w:rFonts w:hint="eastAsia"/>
          <w:u w:val="none"/>
          <w:lang w:val="en-US" w:eastAsia="zh-CN"/>
        </w:rPr>
        <w:t>5</w:t>
      </w:r>
      <w:r>
        <w:rPr>
          <w:rFonts w:hint="eastAsia"/>
          <w:u w:val="none"/>
        </w:rPr>
        <w:t>年)中废物，类别为HW31，代码900-052-31废铅蓄电池及废铅蓄电池拆解过程中产生的废铅板、废铅膏和酸液，贮存于危险废物暂存间，</w:t>
      </w:r>
      <w:r>
        <w:rPr>
          <w:rFonts w:hint="eastAsia"/>
          <w:u w:val="none"/>
          <w:lang w:val="en-US" w:eastAsia="zh-CN"/>
        </w:rPr>
        <w:t>委托有资质单位定期收集处置</w:t>
      </w:r>
      <w:r>
        <w:rPr>
          <w:rFonts w:hint="eastAsia"/>
          <w:u w:val="none"/>
        </w:rPr>
        <w:t>。</w:t>
      </w:r>
    </w:p>
    <w:p w14:paraId="01300EBE">
      <w:pPr>
        <w:pStyle w:val="21"/>
        <w:ind w:firstLine="480"/>
        <w:rPr>
          <w:rFonts w:hint="eastAsia"/>
          <w:u w:val="none"/>
        </w:rPr>
      </w:pPr>
      <w:r>
        <w:rPr>
          <w:rFonts w:hint="eastAsia"/>
          <w:u w:val="none"/>
          <w:lang w:val="en-US" w:eastAsia="zh-CN"/>
        </w:rPr>
        <w:t>3）</w:t>
      </w:r>
      <w:r>
        <w:rPr>
          <w:rFonts w:hint="eastAsia"/>
          <w:lang w:val="en-US" w:eastAsia="zh-CN"/>
        </w:rPr>
        <w:t>废油箱、油柜、油泵等含油容器：产生量约为0.106t/a，属于</w:t>
      </w:r>
      <w:r>
        <w:rPr>
          <w:rFonts w:hint="eastAsia"/>
          <w:u w:val="none"/>
        </w:rPr>
        <w:t>《国家危险废物名录》(202</w:t>
      </w:r>
      <w:r>
        <w:rPr>
          <w:rFonts w:hint="eastAsia"/>
          <w:u w:val="none"/>
          <w:lang w:val="en-US" w:eastAsia="zh-CN"/>
        </w:rPr>
        <w:t>5</w:t>
      </w:r>
      <w:r>
        <w:rPr>
          <w:rFonts w:hint="eastAsia"/>
          <w:u w:val="none"/>
        </w:rPr>
        <w:t>年)中废物类别HW08，代码</w:t>
      </w:r>
      <w:r>
        <w:rPr>
          <w:rFonts w:hint="eastAsia"/>
          <w:u w:val="none"/>
          <w:lang w:val="en-US" w:eastAsia="zh-CN"/>
        </w:rPr>
        <w:t>900-249-08</w:t>
      </w:r>
      <w:r>
        <w:rPr>
          <w:rFonts w:hint="eastAsia"/>
          <w:u w:val="none"/>
        </w:rPr>
        <w:t>，</w:t>
      </w:r>
      <w:r>
        <w:rPr>
          <w:rFonts w:hint="eastAsia"/>
          <w:u w:val="none"/>
          <w:lang w:val="en-US" w:eastAsia="zh-CN"/>
        </w:rPr>
        <w:t>其他生产、小手、使用过程中产生的废矿物油及沾染矿物油的废弃包装物</w:t>
      </w:r>
      <w:r>
        <w:rPr>
          <w:rFonts w:hint="eastAsia"/>
          <w:u w:val="none"/>
        </w:rPr>
        <w:t>。贮存于危险废物暂存间，</w:t>
      </w:r>
      <w:r>
        <w:rPr>
          <w:rFonts w:hint="eastAsia"/>
          <w:u w:val="none"/>
          <w:lang w:val="en-US" w:eastAsia="zh-CN"/>
        </w:rPr>
        <w:t>委托有资质单位定期收集处置</w:t>
      </w:r>
      <w:r>
        <w:rPr>
          <w:rFonts w:hint="eastAsia"/>
          <w:u w:val="none"/>
        </w:rPr>
        <w:t>。</w:t>
      </w:r>
    </w:p>
    <w:p w14:paraId="5E526135">
      <w:pPr>
        <w:pStyle w:val="21"/>
        <w:ind w:firstLine="480"/>
        <w:rPr>
          <w:rFonts w:hint="eastAsia"/>
          <w:u w:val="none"/>
        </w:rPr>
      </w:pPr>
      <w:r>
        <w:rPr>
          <w:rFonts w:hint="eastAsia"/>
          <w:u w:val="none"/>
          <w:lang w:val="en-US" w:eastAsia="zh-CN"/>
        </w:rPr>
        <w:t>4）</w:t>
      </w:r>
      <w:r>
        <w:rPr>
          <w:rFonts w:hint="eastAsia"/>
          <w:lang w:val="en-US" w:eastAsia="zh-CN"/>
        </w:rPr>
        <w:t>废漆渣（剥落油漆/涂料碎片）：</w:t>
      </w:r>
      <w:r>
        <w:rPr>
          <w:rFonts w:hint="eastAsia"/>
          <w:u w:val="none"/>
        </w:rPr>
        <w:t>船舶拆解过程、或船舶船体表面自然剥落的油漆或涂料碎片产生量约为</w:t>
      </w:r>
      <w:r>
        <w:rPr>
          <w:rFonts w:hint="eastAsia"/>
          <w:u w:val="none"/>
          <w:lang w:val="en-US" w:eastAsia="zh-CN"/>
        </w:rPr>
        <w:t>0.094</w:t>
      </w:r>
      <w:r>
        <w:rPr>
          <w:rFonts w:hint="eastAsia"/>
          <w:u w:val="none"/>
        </w:rPr>
        <w:t>t/a，属于《国家危险废物名录》(202</w:t>
      </w:r>
      <w:r>
        <w:rPr>
          <w:rFonts w:hint="eastAsia"/>
          <w:u w:val="none"/>
          <w:lang w:val="en-US" w:eastAsia="zh-CN"/>
        </w:rPr>
        <w:t>5</w:t>
      </w:r>
      <w:r>
        <w:rPr>
          <w:rFonts w:hint="eastAsia"/>
          <w:u w:val="none"/>
        </w:rPr>
        <w:t>年)中废物类别HW12，代码900-252-12，使用油漆(不包括水性漆)、有机溶剂进行喷漆、上漆过程中产生的废物。收集后用专用密封袋装盛，用托盘进行承接，贮存于危险废物暂存间，</w:t>
      </w:r>
      <w:r>
        <w:rPr>
          <w:rFonts w:hint="eastAsia"/>
          <w:u w:val="none"/>
          <w:lang w:val="en-US" w:eastAsia="zh-CN"/>
        </w:rPr>
        <w:t>委托有资质单位定期收集处置</w:t>
      </w:r>
      <w:r>
        <w:rPr>
          <w:rFonts w:hint="eastAsia"/>
          <w:u w:val="none"/>
        </w:rPr>
        <w:t>。</w:t>
      </w:r>
    </w:p>
    <w:p w14:paraId="1BB7EFC8">
      <w:pPr>
        <w:pStyle w:val="21"/>
        <w:ind w:firstLine="480"/>
        <w:rPr>
          <w:rFonts w:hint="eastAsia"/>
          <w:u w:val="none"/>
        </w:rPr>
      </w:pPr>
      <w:r>
        <w:rPr>
          <w:rFonts w:hint="eastAsia"/>
          <w:u w:val="none"/>
          <w:lang w:val="en-US" w:eastAsia="zh-CN"/>
        </w:rPr>
        <w:t>5）废石棉保温材料：</w:t>
      </w:r>
      <w:r>
        <w:rPr>
          <w:rFonts w:hint="eastAsia"/>
          <w:u w:val="none"/>
        </w:rPr>
        <w:t>项目拆解的货船有废石棉的产生，产生量</w:t>
      </w:r>
      <w:r>
        <w:rPr>
          <w:rFonts w:hint="eastAsia"/>
          <w:u w:val="none"/>
          <w:lang w:eastAsia="zh-CN"/>
        </w:rPr>
        <w:t>为</w:t>
      </w:r>
      <w:r>
        <w:rPr>
          <w:rFonts w:hint="eastAsia"/>
          <w:u w:val="none"/>
          <w:lang w:val="en-US" w:eastAsia="zh-CN"/>
        </w:rPr>
        <w:t>0.038</w:t>
      </w:r>
      <w:r>
        <w:rPr>
          <w:rFonts w:hint="eastAsia"/>
          <w:u w:val="none"/>
        </w:rPr>
        <w:t>t/a，属于《国家危险废物名录》(202</w:t>
      </w:r>
      <w:r>
        <w:rPr>
          <w:rFonts w:hint="eastAsia"/>
          <w:u w:val="none"/>
          <w:lang w:val="en-US" w:eastAsia="zh-CN"/>
        </w:rPr>
        <w:t>5</w:t>
      </w:r>
      <w:r>
        <w:rPr>
          <w:rFonts w:hint="eastAsia"/>
          <w:u w:val="none"/>
        </w:rPr>
        <w:t>年)中废物，类别为HW36，代码373-002-36拆船过程产生的石棉废物，用双层袋包装密封，贮存于危废贮存间内，</w:t>
      </w:r>
      <w:r>
        <w:rPr>
          <w:rFonts w:hint="eastAsia"/>
          <w:u w:val="none"/>
          <w:lang w:val="en-US" w:eastAsia="zh-CN"/>
        </w:rPr>
        <w:t>委托有资质单位定期收集处置</w:t>
      </w:r>
      <w:r>
        <w:rPr>
          <w:rFonts w:hint="eastAsia"/>
          <w:u w:val="none"/>
        </w:rPr>
        <w:t>。</w:t>
      </w:r>
    </w:p>
    <w:p w14:paraId="0487F1A5">
      <w:pPr>
        <w:pStyle w:val="21"/>
        <w:ind w:firstLine="480"/>
        <w:rPr>
          <w:rFonts w:hint="default"/>
          <w:u w:val="none"/>
          <w:lang w:val="en-US" w:eastAsia="zh-CN"/>
        </w:rPr>
      </w:pPr>
      <w:r>
        <w:rPr>
          <w:rFonts w:hint="eastAsia"/>
          <w:u w:val="none"/>
          <w:lang w:val="en-US" w:eastAsia="zh-CN"/>
        </w:rPr>
        <w:t>6</w:t>
      </w:r>
      <w:r>
        <w:rPr>
          <w:rFonts w:hint="eastAsia"/>
          <w:u w:val="none"/>
        </w:rPr>
        <w:t>）废电路板及电子元器件：废电路板及电子元器件含有金属、树脂、印刷原件等，属于《国家危险废物名录》(202</w:t>
      </w:r>
      <w:r>
        <w:rPr>
          <w:rFonts w:hint="eastAsia"/>
          <w:u w:val="none"/>
          <w:lang w:val="en-US" w:eastAsia="zh-CN"/>
        </w:rPr>
        <w:t>5</w:t>
      </w:r>
      <w:r>
        <w:rPr>
          <w:rFonts w:hint="eastAsia"/>
          <w:u w:val="none"/>
        </w:rPr>
        <w:t>年)中废物类别HW49，代码900-045-49，废电路板(包括已拆除或未拆除元器件的废弃电路板)，及废电路板拆解过程产生的废弃CPU、显卡、声卡、内存、含电解液的电容器、含金等贵金属的连接件。根据物料平衡可知，产生量为</w:t>
      </w:r>
      <w:r>
        <w:rPr>
          <w:rFonts w:hint="eastAsia"/>
          <w:u w:val="none"/>
          <w:lang w:val="en-US" w:eastAsia="zh-CN"/>
        </w:rPr>
        <w:t>0.006</w:t>
      </w:r>
      <w:r>
        <w:rPr>
          <w:rFonts w:hint="eastAsia"/>
          <w:u w:val="none"/>
        </w:rPr>
        <w:t>t/a，单独收集置于密闭塑料桶中，贮存于危废贮存间内，</w:t>
      </w:r>
      <w:r>
        <w:rPr>
          <w:rFonts w:hint="eastAsia"/>
          <w:u w:val="none"/>
          <w:lang w:val="en-US" w:eastAsia="zh-CN"/>
        </w:rPr>
        <w:t>委托有资质单位定期收集处置</w:t>
      </w:r>
      <w:r>
        <w:rPr>
          <w:rFonts w:hint="eastAsia"/>
          <w:u w:val="none"/>
        </w:rPr>
        <w:t>。</w:t>
      </w:r>
    </w:p>
    <w:p w14:paraId="0BC33DCC">
      <w:pPr>
        <w:pStyle w:val="21"/>
        <w:ind w:firstLine="480"/>
        <w:rPr>
          <w:u w:val="none"/>
        </w:rPr>
      </w:pPr>
      <w:r>
        <w:rPr>
          <w:rFonts w:hint="eastAsia"/>
          <w:u w:val="none"/>
          <w:lang w:val="en-US" w:eastAsia="zh-CN"/>
        </w:rPr>
        <w:t>7</w:t>
      </w:r>
      <w:r>
        <w:rPr>
          <w:rFonts w:hint="eastAsia"/>
          <w:u w:val="none"/>
        </w:rPr>
        <w:t>）废空调制冷剂：建设项目拆解报废船舶中，大部分船舶配有空调设备，废空调制冷剂中可能含有氟利昂、有机卤化物等，属于《国家危险废物名录》(20</w:t>
      </w:r>
      <w:r>
        <w:rPr>
          <w:rFonts w:hint="eastAsia"/>
          <w:u w:val="none"/>
          <w:lang w:val="en-US" w:eastAsia="zh-CN"/>
        </w:rPr>
        <w:t>25</w:t>
      </w:r>
      <w:r>
        <w:rPr>
          <w:rFonts w:hint="eastAsia"/>
          <w:u w:val="none"/>
        </w:rPr>
        <w:t>年)中废物类别HW49，代码900-999-49，被所有者申报废弃的，或未申报废弃但被非法排放、倾倒、利用、处置的，以及有关部门依法收缴或接收且需要销毁的列入《危险化学品目录》的危险化学品(不含该目录中仅具有“加压气体”物理危险性的危险化学品)。项目废空调制冷剂收集量约为</w:t>
      </w:r>
      <w:r>
        <w:rPr>
          <w:rFonts w:hint="eastAsia"/>
          <w:u w:val="none"/>
          <w:lang w:val="en-US" w:eastAsia="zh-CN"/>
        </w:rPr>
        <w:t>0.006</w:t>
      </w:r>
      <w:r>
        <w:rPr>
          <w:rFonts w:hint="eastAsia"/>
          <w:u w:val="none"/>
        </w:rPr>
        <w:t>t/a，废制冷剂回收后置于密闭钢瓶中储存，贮存于危废贮存间内。委托有资质的单位定期回收处置。</w:t>
      </w:r>
    </w:p>
    <w:p w14:paraId="56A1C249">
      <w:pPr>
        <w:pStyle w:val="21"/>
        <w:ind w:firstLine="480"/>
        <w:rPr>
          <w:rFonts w:hint="eastAsia"/>
          <w:u w:val="none"/>
        </w:rPr>
      </w:pPr>
      <w:r>
        <w:rPr>
          <w:rFonts w:hint="eastAsia"/>
          <w:u w:val="none"/>
          <w:lang w:val="en-US" w:eastAsia="zh-CN"/>
        </w:rPr>
        <w:t>8）</w:t>
      </w:r>
      <w:r>
        <w:rPr>
          <w:rFonts w:hint="eastAsia"/>
          <w:u w:val="none"/>
        </w:rPr>
        <w:t>废含汞灯管：废船拆解会产生少量废LED灯，因含汞等物质，属于《国家危险废物名录》(202</w:t>
      </w:r>
      <w:r>
        <w:rPr>
          <w:rFonts w:hint="eastAsia"/>
          <w:u w:val="none"/>
          <w:lang w:val="en-US" w:eastAsia="zh-CN"/>
        </w:rPr>
        <w:t>5</w:t>
      </w:r>
      <w:r>
        <w:rPr>
          <w:rFonts w:hint="eastAsia"/>
          <w:u w:val="none"/>
        </w:rPr>
        <w:t>年)中废物，类别为HW29，代码900-023-29生产、销售及使用过程中产生的废含汞灯管及其他废含汞电光源，及废弃含汞电光源处理处置过程中产生的废荧光粉、废活性炭和废水处理污泥。产生量为</w:t>
      </w:r>
      <w:r>
        <w:rPr>
          <w:rFonts w:hint="eastAsia"/>
          <w:u w:val="none"/>
          <w:lang w:val="en-US" w:eastAsia="zh-CN"/>
        </w:rPr>
        <w:t>0.003</w:t>
      </w:r>
      <w:r>
        <w:rPr>
          <w:rFonts w:hint="eastAsia"/>
          <w:u w:val="none"/>
        </w:rPr>
        <w:t>/a，用塑料桶盛装后贮存于危废贮存间内。</w:t>
      </w:r>
    </w:p>
    <w:p w14:paraId="1962761D">
      <w:pPr>
        <w:pStyle w:val="21"/>
        <w:ind w:firstLine="480"/>
        <w:rPr>
          <w:rFonts w:hint="eastAsia"/>
          <w:u w:val="none"/>
          <w:lang w:val="en-US" w:eastAsia="zh-CN"/>
        </w:rPr>
      </w:pPr>
      <w:r>
        <w:rPr>
          <w:rFonts w:hint="eastAsia"/>
          <w:u w:val="none"/>
          <w:lang w:eastAsia="zh-CN"/>
        </w:rPr>
        <w:t>（</w:t>
      </w:r>
      <w:r>
        <w:rPr>
          <w:rFonts w:hint="eastAsia"/>
          <w:u w:val="none"/>
          <w:lang w:val="en-US" w:eastAsia="zh-CN"/>
        </w:rPr>
        <w:t>4</w:t>
      </w:r>
      <w:r>
        <w:rPr>
          <w:rFonts w:hint="eastAsia"/>
          <w:u w:val="none"/>
          <w:lang w:eastAsia="zh-CN"/>
        </w:rPr>
        <w:t>）</w:t>
      </w:r>
      <w:r>
        <w:rPr>
          <w:rFonts w:hint="eastAsia"/>
          <w:u w:val="none"/>
          <w:lang w:val="en-US" w:eastAsia="zh-CN"/>
        </w:rPr>
        <w:t>危险废物（其他过程产生）</w:t>
      </w:r>
    </w:p>
    <w:p w14:paraId="5DB98D87">
      <w:pPr>
        <w:pStyle w:val="21"/>
        <w:ind w:firstLine="480"/>
        <w:rPr>
          <w:rFonts w:hint="eastAsia"/>
          <w:u w:val="none"/>
        </w:rPr>
      </w:pPr>
      <w:r>
        <w:rPr>
          <w:rFonts w:hint="eastAsia"/>
          <w:u w:val="none"/>
          <w:lang w:val="en-US" w:eastAsia="zh-CN"/>
        </w:rPr>
        <w:t>1）废燃料油：</w:t>
      </w:r>
      <w:r>
        <w:rPr>
          <w:rFonts w:hint="eastAsia" w:cs="Times New Roman"/>
          <w:szCs w:val="24"/>
        </w:rPr>
        <w:t>本项目在船舶拆除前需抽取油箱中的剩余柴油，千吨级船舶油箱容积约为500L，由于船舶需要拆解，因此油箱内油量会比较少，本次按10%计算，则剩余柴油约为50L/艘，则总计需抽取柴油</w:t>
      </w:r>
      <w:r>
        <w:rPr>
          <w:rFonts w:hint="eastAsia" w:cs="Times New Roman"/>
          <w:szCs w:val="24"/>
          <w:lang w:val="en-US" w:eastAsia="zh-CN"/>
        </w:rPr>
        <w:t>1.5</w:t>
      </w:r>
      <w:r>
        <w:rPr>
          <w:rFonts w:hint="eastAsia" w:cs="Times New Roman"/>
          <w:szCs w:val="24"/>
        </w:rPr>
        <w:t>m</w:t>
      </w:r>
      <w:r>
        <w:rPr>
          <w:rFonts w:hint="eastAsia" w:cs="Times New Roman"/>
          <w:szCs w:val="24"/>
          <w:vertAlign w:val="superscript"/>
        </w:rPr>
        <w:t>3</w:t>
      </w:r>
      <w:r>
        <w:rPr>
          <w:rFonts w:hint="eastAsia" w:cs="Times New Roman"/>
          <w:szCs w:val="24"/>
        </w:rPr>
        <w:t>/a</w:t>
      </w:r>
      <w:r>
        <w:rPr>
          <w:rFonts w:hint="eastAsia" w:cs="Times New Roman"/>
          <w:szCs w:val="24"/>
          <w:lang w:eastAsia="zh-CN"/>
        </w:rPr>
        <w:t>（</w:t>
      </w:r>
      <w:r>
        <w:rPr>
          <w:rFonts w:hint="eastAsia" w:cs="Times New Roman"/>
          <w:szCs w:val="24"/>
          <w:lang w:val="en-US" w:eastAsia="zh-CN"/>
        </w:rPr>
        <w:t>约为1.35t/a</w:t>
      </w:r>
      <w:r>
        <w:rPr>
          <w:rFonts w:hint="eastAsia" w:cs="Times New Roman"/>
          <w:szCs w:val="24"/>
          <w:lang w:eastAsia="zh-CN"/>
        </w:rPr>
        <w:t>）</w:t>
      </w:r>
      <w:r>
        <w:rPr>
          <w:rFonts w:hint="eastAsia" w:cs="Times New Roman"/>
          <w:szCs w:val="24"/>
        </w:rPr>
        <w:t>，</w:t>
      </w:r>
      <w:r>
        <w:rPr>
          <w:rFonts w:hint="eastAsia"/>
          <w:u w:val="none"/>
        </w:rPr>
        <w:t>属于《国家危险废物名录》(202</w:t>
      </w:r>
      <w:r>
        <w:rPr>
          <w:rFonts w:hint="eastAsia"/>
          <w:u w:val="none"/>
          <w:lang w:val="en-US" w:eastAsia="zh-CN"/>
        </w:rPr>
        <w:t>5</w:t>
      </w:r>
      <w:r>
        <w:rPr>
          <w:rFonts w:hint="eastAsia"/>
          <w:u w:val="none"/>
        </w:rPr>
        <w:t>年)中废物类别HW08，代码900-</w:t>
      </w:r>
      <w:r>
        <w:rPr>
          <w:rFonts w:hint="eastAsia"/>
          <w:u w:val="none"/>
          <w:lang w:val="en-US" w:eastAsia="zh-CN"/>
        </w:rPr>
        <w:t>221</w:t>
      </w:r>
      <w:r>
        <w:rPr>
          <w:rFonts w:hint="eastAsia"/>
          <w:u w:val="none"/>
        </w:rPr>
        <w:t>-08，</w:t>
      </w:r>
      <w:r>
        <w:rPr>
          <w:rFonts w:hint="eastAsia"/>
          <w:u w:val="none"/>
          <w:lang w:val="en-US" w:eastAsia="zh-CN"/>
        </w:rPr>
        <w:t>废燃料油及燃料油储存过程中产生的油泥</w:t>
      </w:r>
      <w:r>
        <w:rPr>
          <w:rFonts w:hint="eastAsia"/>
          <w:u w:val="none"/>
        </w:rPr>
        <w:t>。废油通过油泵抽入油桶、油罐及其他储器回收，贮存于危废贮存间内，储器底部用托盘进行承接。采用油桶贮存于危险废物暂存间，</w:t>
      </w:r>
      <w:r>
        <w:rPr>
          <w:rFonts w:hint="eastAsia"/>
          <w:u w:val="none"/>
          <w:lang w:val="en-US" w:eastAsia="zh-CN"/>
        </w:rPr>
        <w:t>委托有资质单位定期收集处置</w:t>
      </w:r>
      <w:r>
        <w:rPr>
          <w:rFonts w:hint="eastAsia"/>
          <w:u w:val="none"/>
        </w:rPr>
        <w:t>。</w:t>
      </w:r>
    </w:p>
    <w:p w14:paraId="08FAC41E">
      <w:pPr>
        <w:pStyle w:val="21"/>
        <w:ind w:firstLine="480"/>
        <w:rPr>
          <w:u w:val="none"/>
        </w:rPr>
      </w:pPr>
      <w:r>
        <w:rPr>
          <w:rFonts w:hint="eastAsia"/>
          <w:u w:val="none"/>
          <w:lang w:val="en-US" w:eastAsia="zh-CN"/>
        </w:rPr>
        <w:t>2）</w:t>
      </w:r>
      <w:r>
        <w:rPr>
          <w:rFonts w:hint="eastAsia"/>
          <w:u w:val="none"/>
        </w:rPr>
        <w:t>废水处理设施隔离废油、污泥：</w:t>
      </w:r>
      <w:r>
        <w:rPr>
          <w:rFonts w:hint="eastAsia"/>
          <w:u w:val="none"/>
          <w:lang w:val="en-US" w:eastAsia="zh-CN"/>
        </w:rPr>
        <w:t>项目生产废水、初期雨水经收集至初期雨水池后通过自动水泵抽至内陆废水处理站处理，废水处理采用“调节+气浮+隔油+AAO+混凝沉淀+斜板沉淀+清水池”处理工艺</w:t>
      </w:r>
      <w:r>
        <w:rPr>
          <w:rFonts w:hint="eastAsia"/>
          <w:u w:val="none"/>
        </w:rPr>
        <w:t>。废水处理过程分离出油液、产生的污泥属于《国家危险废物名录》(202</w:t>
      </w:r>
      <w:r>
        <w:rPr>
          <w:rFonts w:hint="eastAsia"/>
          <w:u w:val="none"/>
          <w:lang w:val="en-US" w:eastAsia="zh-CN"/>
        </w:rPr>
        <w:t>5</w:t>
      </w:r>
      <w:r>
        <w:rPr>
          <w:rFonts w:hint="eastAsia"/>
          <w:u w:val="none"/>
        </w:rPr>
        <w:t>年)中废物类别HW08，代码900-210-08，油/水分离设施产生的废油、油泥及废水处理产生的浮渣和污泥(不包括废水生化处理污泥)。根据废水源强分析，去除石油类量</w:t>
      </w:r>
      <w:r>
        <w:rPr>
          <w:rFonts w:hint="eastAsia"/>
          <w:u w:val="none"/>
          <w:lang w:val="en-US" w:eastAsia="zh-CN"/>
        </w:rPr>
        <w:t>0.086</w:t>
      </w:r>
      <w:r>
        <w:rPr>
          <w:rFonts w:hint="eastAsia"/>
          <w:u w:val="none"/>
        </w:rPr>
        <w:t>t/a、去除SS量</w:t>
      </w:r>
      <w:r>
        <w:rPr>
          <w:rFonts w:hint="eastAsia"/>
          <w:u w:val="none"/>
          <w:lang w:val="en-US" w:eastAsia="zh-CN"/>
        </w:rPr>
        <w:t>6.348</w:t>
      </w:r>
      <w:r>
        <w:rPr>
          <w:rFonts w:hint="eastAsia"/>
          <w:u w:val="none"/>
        </w:rPr>
        <w:t>t/a，表面清理的隔离废油和池底的污泥含水率按90%计算，则这部分固废产生量约为</w:t>
      </w:r>
      <w:r>
        <w:rPr>
          <w:rFonts w:hint="eastAsia"/>
          <w:u w:val="none"/>
          <w:lang w:val="en-US" w:eastAsia="zh-CN"/>
        </w:rPr>
        <w:t>64.34</w:t>
      </w:r>
      <w:r>
        <w:rPr>
          <w:rFonts w:hint="eastAsia"/>
          <w:u w:val="none"/>
        </w:rPr>
        <w:t>t/a，需要定期清理，由专用密闭油罐收集后贮存于危废贮存间内。</w:t>
      </w:r>
    </w:p>
    <w:p w14:paraId="43377FE1">
      <w:pPr>
        <w:pStyle w:val="21"/>
        <w:ind w:firstLine="480"/>
        <w:rPr>
          <w:u w:val="none"/>
        </w:rPr>
      </w:pPr>
      <w:r>
        <w:rPr>
          <w:rFonts w:hint="eastAsia"/>
          <w:u w:val="none"/>
          <w:lang w:val="en-US" w:eastAsia="zh-CN"/>
        </w:rPr>
        <w:t>3</w:t>
      </w:r>
      <w:r>
        <w:rPr>
          <w:rFonts w:hint="eastAsia"/>
          <w:u w:val="none"/>
        </w:rPr>
        <w:t>）含油废抹布</w:t>
      </w:r>
      <w:r>
        <w:rPr>
          <w:rFonts w:hint="eastAsia"/>
          <w:u w:val="none"/>
          <w:lang w:val="en-US" w:eastAsia="zh-CN"/>
        </w:rPr>
        <w:t>及手套</w:t>
      </w:r>
      <w:r>
        <w:rPr>
          <w:rFonts w:hint="eastAsia"/>
          <w:u w:val="none"/>
        </w:rPr>
        <w:t>：项目含油抹布</w:t>
      </w:r>
      <w:r>
        <w:rPr>
          <w:rFonts w:hint="eastAsia"/>
          <w:u w:val="none"/>
          <w:lang w:val="en-US" w:eastAsia="zh-CN"/>
        </w:rPr>
        <w:t>及手套</w:t>
      </w:r>
      <w:r>
        <w:rPr>
          <w:rFonts w:hint="eastAsia"/>
          <w:u w:val="none"/>
        </w:rPr>
        <w:t>产生量约1t/a，属于《国家危险废物名录》(2021年)中废物类别为HW49 其他废物，代码900-041-49，含有或沾染毒性、感染性危险废物的废弃包装物、容器、过滤吸附介质。按照《国家危险废物名录》，废弃的含油抹布的豁免条件为未分类收集，豁免内容为全过程不按危险废物管理，但不改变其危险废物的属性。</w:t>
      </w:r>
    </w:p>
    <w:p w14:paraId="1FD59BB6">
      <w:pPr>
        <w:pStyle w:val="21"/>
        <w:ind w:firstLine="480"/>
        <w:rPr>
          <w:rFonts w:hint="eastAsia"/>
          <w:u w:val="none"/>
        </w:rPr>
        <w:sectPr>
          <w:pgSz w:w="11906" w:h="16838"/>
          <w:pgMar w:top="1440" w:right="1800" w:bottom="1440" w:left="1800" w:header="851" w:footer="992" w:gutter="0"/>
          <w:pgNumType w:fmt="decimal"/>
          <w:cols w:space="425" w:num="1"/>
          <w:docGrid w:type="lines" w:linePitch="312" w:charSpace="0"/>
        </w:sectPr>
      </w:pPr>
      <w:r>
        <w:rPr>
          <w:rFonts w:hint="eastAsia"/>
          <w:u w:val="none"/>
        </w:rPr>
        <w:t>项目产生的危险废物均应按照危险废物的有关规定进行管理和处置。建设单位应建立有效的固体废物(危险废物)收集、贮存、运输、综合利用和安全处置管理系统，实行严格的联单制度，并按照规定办理废物转移手续，填报转移联单，杜绝二次污染。</w:t>
      </w:r>
      <w:r>
        <w:rPr>
          <w:rFonts w:hint="eastAsia"/>
          <w:u w:val="none"/>
          <w:lang w:val="en-US" w:eastAsia="zh-CN"/>
        </w:rPr>
        <w:t>项目固体废物产生源强汇总详见表3.5-7，</w:t>
      </w:r>
      <w:r>
        <w:rPr>
          <w:rFonts w:hint="eastAsia"/>
          <w:u w:val="none"/>
        </w:rPr>
        <w:t>项目危险废物产生及处置汇总情况见表3.3-</w:t>
      </w:r>
      <w:r>
        <w:rPr>
          <w:rFonts w:hint="eastAsia"/>
          <w:u w:val="none"/>
          <w:lang w:val="en-US" w:eastAsia="zh-CN"/>
        </w:rPr>
        <w:t>8</w:t>
      </w:r>
      <w:r>
        <w:rPr>
          <w:rFonts w:hint="eastAsia"/>
          <w:u w:val="none"/>
        </w:rPr>
        <w:t>，危险废物贮存区域设置情况见表3.3-</w:t>
      </w:r>
      <w:r>
        <w:rPr>
          <w:rFonts w:hint="eastAsia"/>
          <w:u w:val="none"/>
          <w:lang w:val="en-US" w:eastAsia="zh-CN"/>
        </w:rPr>
        <w:t>9</w:t>
      </w:r>
      <w:r>
        <w:rPr>
          <w:rFonts w:hint="eastAsia"/>
          <w:u w:val="none"/>
        </w:rPr>
        <w:t>。</w:t>
      </w:r>
    </w:p>
    <w:p w14:paraId="624E09BB">
      <w:pPr>
        <w:pStyle w:val="23"/>
        <w:bidi w:val="0"/>
        <w:rPr>
          <w:rFonts w:hint="eastAsia"/>
          <w:lang w:val="en-US" w:eastAsia="zh-CN"/>
        </w:rPr>
      </w:pPr>
      <w:r>
        <w:rPr>
          <w:rFonts w:hint="eastAsia"/>
          <w:lang w:val="en-US" w:eastAsia="zh-CN"/>
        </w:rPr>
        <w:t>表3.5-7  固体废物源强汇总</w:t>
      </w: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3113"/>
        <w:gridCol w:w="1366"/>
        <w:gridCol w:w="2571"/>
        <w:gridCol w:w="2129"/>
        <w:gridCol w:w="2747"/>
        <w:gridCol w:w="1151"/>
      </w:tblGrid>
      <w:tr w14:paraId="25931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70F48D3">
            <w:pPr>
              <w:pStyle w:val="31"/>
              <w:bidi w:val="0"/>
              <w:jc w:val="center"/>
              <w:rPr>
                <w:rFonts w:hint="default"/>
                <w:lang w:val="en-US" w:eastAsia="zh-CN"/>
              </w:rPr>
            </w:pPr>
            <w:r>
              <w:rPr>
                <w:rFonts w:hint="eastAsia"/>
                <w:lang w:val="en-US" w:eastAsia="zh-CN"/>
              </w:rPr>
              <w:t>序号</w:t>
            </w:r>
          </w:p>
        </w:tc>
        <w:tc>
          <w:tcPr>
            <w:tcW w:w="1098" w:type="pct"/>
            <w:vAlign w:val="center"/>
          </w:tcPr>
          <w:p w14:paraId="2BE2D2C7">
            <w:pPr>
              <w:pStyle w:val="31"/>
              <w:bidi w:val="0"/>
              <w:jc w:val="center"/>
              <w:rPr>
                <w:rFonts w:hint="default"/>
                <w:lang w:val="en-US" w:eastAsia="zh-CN"/>
              </w:rPr>
            </w:pPr>
            <w:r>
              <w:rPr>
                <w:rFonts w:hint="eastAsia"/>
                <w:lang w:val="en-US" w:eastAsia="zh-CN"/>
              </w:rPr>
              <w:t>固废名称</w:t>
            </w:r>
          </w:p>
        </w:tc>
        <w:tc>
          <w:tcPr>
            <w:tcW w:w="482" w:type="pct"/>
            <w:vAlign w:val="center"/>
          </w:tcPr>
          <w:p w14:paraId="757E363A">
            <w:pPr>
              <w:pStyle w:val="31"/>
              <w:bidi w:val="0"/>
              <w:jc w:val="center"/>
              <w:rPr>
                <w:rFonts w:hint="default"/>
                <w:lang w:val="en-US" w:eastAsia="zh-CN"/>
              </w:rPr>
            </w:pPr>
            <w:r>
              <w:rPr>
                <w:rFonts w:hint="eastAsia"/>
                <w:lang w:val="en-US" w:eastAsia="zh-CN"/>
              </w:rPr>
              <w:t>类别</w:t>
            </w:r>
          </w:p>
        </w:tc>
        <w:tc>
          <w:tcPr>
            <w:tcW w:w="907" w:type="pct"/>
            <w:vAlign w:val="center"/>
          </w:tcPr>
          <w:p w14:paraId="381CA79B">
            <w:pPr>
              <w:pStyle w:val="31"/>
              <w:bidi w:val="0"/>
              <w:jc w:val="center"/>
              <w:rPr>
                <w:rFonts w:hint="default"/>
                <w:lang w:val="en-US" w:eastAsia="zh-CN"/>
              </w:rPr>
            </w:pPr>
            <w:r>
              <w:rPr>
                <w:rFonts w:hint="eastAsia"/>
                <w:lang w:val="en-US" w:eastAsia="zh-CN"/>
              </w:rPr>
              <w:t>代码</w:t>
            </w:r>
          </w:p>
        </w:tc>
        <w:tc>
          <w:tcPr>
            <w:tcW w:w="751" w:type="pct"/>
            <w:vAlign w:val="center"/>
          </w:tcPr>
          <w:p w14:paraId="3CA0D80A">
            <w:pPr>
              <w:pStyle w:val="31"/>
              <w:bidi w:val="0"/>
              <w:jc w:val="center"/>
              <w:rPr>
                <w:rFonts w:hint="default"/>
                <w:lang w:val="en-US" w:eastAsia="zh-CN"/>
              </w:rPr>
            </w:pPr>
            <w:r>
              <w:rPr>
                <w:rFonts w:hint="eastAsia"/>
                <w:lang w:val="en-US" w:eastAsia="zh-CN"/>
              </w:rPr>
              <w:t>产生量t/a</w:t>
            </w:r>
          </w:p>
        </w:tc>
        <w:tc>
          <w:tcPr>
            <w:tcW w:w="969" w:type="pct"/>
            <w:vAlign w:val="center"/>
          </w:tcPr>
          <w:p w14:paraId="269E772C">
            <w:pPr>
              <w:pStyle w:val="31"/>
              <w:bidi w:val="0"/>
              <w:jc w:val="center"/>
              <w:rPr>
                <w:rFonts w:hint="default"/>
                <w:lang w:val="en-US" w:eastAsia="zh-CN"/>
              </w:rPr>
            </w:pPr>
            <w:r>
              <w:rPr>
                <w:rFonts w:hint="eastAsia"/>
                <w:lang w:val="en-US" w:eastAsia="zh-CN"/>
              </w:rPr>
              <w:t>处置方式</w:t>
            </w:r>
          </w:p>
        </w:tc>
        <w:tc>
          <w:tcPr>
            <w:tcW w:w="406" w:type="pct"/>
            <w:vAlign w:val="center"/>
          </w:tcPr>
          <w:p w14:paraId="7C2634A4">
            <w:pPr>
              <w:pStyle w:val="31"/>
              <w:bidi w:val="0"/>
              <w:jc w:val="center"/>
              <w:rPr>
                <w:rFonts w:hint="default"/>
                <w:lang w:val="en-US" w:eastAsia="zh-CN"/>
              </w:rPr>
            </w:pPr>
            <w:r>
              <w:rPr>
                <w:rFonts w:hint="eastAsia"/>
                <w:lang w:val="en-US" w:eastAsia="zh-CN"/>
              </w:rPr>
              <w:t>排放量t/a</w:t>
            </w:r>
          </w:p>
        </w:tc>
      </w:tr>
      <w:tr w14:paraId="1A820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97016AE">
            <w:pPr>
              <w:pStyle w:val="31"/>
              <w:bidi w:val="0"/>
              <w:jc w:val="center"/>
              <w:rPr>
                <w:rFonts w:hint="default"/>
                <w:lang w:val="en-US" w:eastAsia="zh-CN"/>
              </w:rPr>
            </w:pPr>
            <w:r>
              <w:rPr>
                <w:rFonts w:hint="eastAsia"/>
                <w:lang w:val="en-US" w:eastAsia="zh-CN"/>
              </w:rPr>
              <w:t>1</w:t>
            </w:r>
          </w:p>
        </w:tc>
        <w:tc>
          <w:tcPr>
            <w:tcW w:w="1098" w:type="pct"/>
            <w:vAlign w:val="center"/>
          </w:tcPr>
          <w:p w14:paraId="2997CF9E">
            <w:pPr>
              <w:pStyle w:val="31"/>
              <w:bidi w:val="0"/>
              <w:jc w:val="center"/>
              <w:rPr>
                <w:rFonts w:hint="default"/>
                <w:lang w:val="en-US" w:eastAsia="zh-CN"/>
              </w:rPr>
            </w:pPr>
            <w:r>
              <w:rPr>
                <w:rFonts w:hint="eastAsia"/>
                <w:lang w:val="en-US" w:eastAsia="zh-CN"/>
              </w:rPr>
              <w:t>生活垃圾</w:t>
            </w:r>
          </w:p>
        </w:tc>
        <w:tc>
          <w:tcPr>
            <w:tcW w:w="482" w:type="pct"/>
            <w:vAlign w:val="center"/>
          </w:tcPr>
          <w:p w14:paraId="4FFD487F">
            <w:pPr>
              <w:pStyle w:val="31"/>
              <w:bidi w:val="0"/>
              <w:jc w:val="center"/>
              <w:rPr>
                <w:rFonts w:hint="default"/>
                <w:lang w:val="en-US" w:eastAsia="zh-CN"/>
              </w:rPr>
            </w:pPr>
            <w:r>
              <w:rPr>
                <w:rFonts w:hint="eastAsia"/>
                <w:lang w:val="en-US" w:eastAsia="zh-CN"/>
              </w:rPr>
              <w:t>生活垃圾</w:t>
            </w:r>
          </w:p>
        </w:tc>
        <w:tc>
          <w:tcPr>
            <w:tcW w:w="907" w:type="pct"/>
            <w:vAlign w:val="center"/>
          </w:tcPr>
          <w:p w14:paraId="2122274F">
            <w:pPr>
              <w:pStyle w:val="31"/>
              <w:bidi w:val="0"/>
              <w:jc w:val="center"/>
              <w:rPr>
                <w:rFonts w:hint="default"/>
                <w:lang w:val="en-US" w:eastAsia="zh-CN"/>
              </w:rPr>
            </w:pPr>
            <w:r>
              <w:rPr>
                <w:rFonts w:hint="eastAsia"/>
                <w:lang w:val="en-US" w:eastAsia="zh-CN"/>
              </w:rPr>
              <w:t>/</w:t>
            </w:r>
          </w:p>
        </w:tc>
        <w:tc>
          <w:tcPr>
            <w:tcW w:w="751" w:type="pct"/>
            <w:vAlign w:val="center"/>
          </w:tcPr>
          <w:p w14:paraId="3F67A7BA">
            <w:pPr>
              <w:pStyle w:val="31"/>
              <w:bidi w:val="0"/>
              <w:jc w:val="center"/>
              <w:rPr>
                <w:rFonts w:hint="default"/>
                <w:lang w:val="en-US" w:eastAsia="zh-CN"/>
              </w:rPr>
            </w:pPr>
            <w:r>
              <w:rPr>
                <w:rFonts w:hint="eastAsia"/>
                <w:lang w:val="en-US" w:eastAsia="zh-CN"/>
              </w:rPr>
              <w:t>3</w:t>
            </w:r>
          </w:p>
        </w:tc>
        <w:tc>
          <w:tcPr>
            <w:tcW w:w="969" w:type="pct"/>
            <w:vAlign w:val="center"/>
          </w:tcPr>
          <w:p w14:paraId="1F7E98FE">
            <w:pPr>
              <w:pStyle w:val="31"/>
              <w:bidi w:val="0"/>
              <w:jc w:val="center"/>
              <w:rPr>
                <w:rFonts w:hint="eastAsia"/>
                <w:lang w:val="en-US" w:eastAsia="zh-CN"/>
              </w:rPr>
            </w:pPr>
            <w:r>
              <w:rPr>
                <w:rFonts w:hint="eastAsia"/>
                <w:lang w:val="en-US" w:eastAsia="zh-CN"/>
              </w:rPr>
              <w:t>分类垃圾桶收集，</w:t>
            </w:r>
          </w:p>
          <w:p w14:paraId="7BC9897B">
            <w:pPr>
              <w:pStyle w:val="31"/>
              <w:bidi w:val="0"/>
              <w:jc w:val="center"/>
              <w:rPr>
                <w:rFonts w:hint="default"/>
                <w:lang w:val="en-US" w:eastAsia="zh-CN"/>
              </w:rPr>
            </w:pPr>
            <w:r>
              <w:rPr>
                <w:rFonts w:hint="eastAsia"/>
                <w:lang w:val="en-US" w:eastAsia="zh-CN"/>
              </w:rPr>
              <w:t>委托环卫部门处理</w:t>
            </w:r>
          </w:p>
        </w:tc>
        <w:tc>
          <w:tcPr>
            <w:tcW w:w="406" w:type="pct"/>
            <w:vAlign w:val="center"/>
          </w:tcPr>
          <w:p w14:paraId="0BCDB83F">
            <w:pPr>
              <w:pStyle w:val="31"/>
              <w:bidi w:val="0"/>
              <w:jc w:val="center"/>
              <w:rPr>
                <w:rFonts w:hint="default"/>
                <w:lang w:val="en-US" w:eastAsia="zh-CN"/>
              </w:rPr>
            </w:pPr>
            <w:r>
              <w:rPr>
                <w:rFonts w:hint="eastAsia"/>
                <w:lang w:val="en-US" w:eastAsia="zh-CN"/>
              </w:rPr>
              <w:t>0</w:t>
            </w:r>
          </w:p>
        </w:tc>
      </w:tr>
      <w:tr w14:paraId="0904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CCA87A9">
            <w:pPr>
              <w:pStyle w:val="31"/>
              <w:bidi w:val="0"/>
              <w:jc w:val="center"/>
              <w:rPr>
                <w:rFonts w:hint="default"/>
                <w:lang w:val="en-US" w:eastAsia="zh-CN"/>
              </w:rPr>
            </w:pPr>
            <w:r>
              <w:rPr>
                <w:rFonts w:hint="eastAsia"/>
                <w:lang w:val="en-US" w:eastAsia="zh-CN"/>
              </w:rPr>
              <w:t>2</w:t>
            </w:r>
          </w:p>
        </w:tc>
        <w:tc>
          <w:tcPr>
            <w:tcW w:w="1098" w:type="pct"/>
            <w:shd w:val="clear" w:color="auto" w:fill="auto"/>
            <w:vAlign w:val="center"/>
          </w:tcPr>
          <w:p w14:paraId="3B84602D">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钢板、钢材碎料及铁锈铁渣等</w:t>
            </w:r>
          </w:p>
        </w:tc>
        <w:tc>
          <w:tcPr>
            <w:tcW w:w="482" w:type="pct"/>
            <w:vMerge w:val="restart"/>
            <w:vAlign w:val="center"/>
          </w:tcPr>
          <w:p w14:paraId="373CD435">
            <w:pPr>
              <w:pStyle w:val="31"/>
              <w:bidi w:val="0"/>
              <w:jc w:val="center"/>
              <w:rPr>
                <w:rFonts w:hint="default"/>
                <w:lang w:val="en-US" w:eastAsia="zh-CN"/>
              </w:rPr>
            </w:pPr>
            <w:r>
              <w:rPr>
                <w:rFonts w:hint="eastAsia"/>
                <w:lang w:val="en-US" w:eastAsia="zh-CN"/>
              </w:rPr>
              <w:t>一般固体废物</w:t>
            </w:r>
          </w:p>
        </w:tc>
        <w:tc>
          <w:tcPr>
            <w:tcW w:w="907" w:type="pct"/>
            <w:vAlign w:val="center"/>
          </w:tcPr>
          <w:p w14:paraId="7651D624">
            <w:pPr>
              <w:pStyle w:val="31"/>
              <w:bidi w:val="0"/>
              <w:jc w:val="center"/>
              <w:rPr>
                <w:rFonts w:hint="default"/>
                <w:lang w:val="en-US" w:eastAsia="zh-CN"/>
              </w:rPr>
            </w:pPr>
            <w:r>
              <w:rPr>
                <w:rFonts w:hint="eastAsia"/>
                <w:lang w:val="en-US" w:eastAsia="zh-CN"/>
              </w:rPr>
              <w:t>900-001-S17</w:t>
            </w:r>
          </w:p>
        </w:tc>
        <w:tc>
          <w:tcPr>
            <w:tcW w:w="751" w:type="pct"/>
            <w:vAlign w:val="center"/>
          </w:tcPr>
          <w:p w14:paraId="07ADED74">
            <w:pPr>
              <w:pStyle w:val="31"/>
              <w:bidi w:val="0"/>
              <w:jc w:val="center"/>
              <w:rPr>
                <w:rFonts w:hint="default"/>
                <w:lang w:val="en-US" w:eastAsia="zh-CN"/>
              </w:rPr>
            </w:pPr>
            <w:r>
              <w:rPr>
                <w:rFonts w:hint="eastAsia"/>
                <w:lang w:val="en-US" w:eastAsia="zh-CN"/>
              </w:rPr>
              <w:t>2923.21</w:t>
            </w:r>
          </w:p>
        </w:tc>
        <w:tc>
          <w:tcPr>
            <w:tcW w:w="969" w:type="pct"/>
            <w:vMerge w:val="restart"/>
            <w:vAlign w:val="center"/>
          </w:tcPr>
          <w:p w14:paraId="5198E6D7">
            <w:pPr>
              <w:pStyle w:val="31"/>
              <w:bidi w:val="0"/>
              <w:jc w:val="center"/>
              <w:rPr>
                <w:rFonts w:hint="default"/>
                <w:lang w:val="en-US" w:eastAsia="zh-CN"/>
              </w:rPr>
            </w:pPr>
            <w:r>
              <w:rPr>
                <w:rFonts w:hint="eastAsia"/>
                <w:lang w:val="en-US" w:eastAsia="zh-CN"/>
              </w:rPr>
              <w:t>拆解后场地不进行长时间贮存，直接装车外售</w:t>
            </w:r>
          </w:p>
        </w:tc>
        <w:tc>
          <w:tcPr>
            <w:tcW w:w="406" w:type="pct"/>
            <w:vAlign w:val="center"/>
          </w:tcPr>
          <w:p w14:paraId="60761EF1">
            <w:pPr>
              <w:pStyle w:val="31"/>
              <w:bidi w:val="0"/>
              <w:jc w:val="center"/>
              <w:rPr>
                <w:rFonts w:hint="default"/>
                <w:lang w:val="en-US" w:eastAsia="zh-CN"/>
              </w:rPr>
            </w:pPr>
            <w:r>
              <w:rPr>
                <w:rFonts w:hint="eastAsia"/>
                <w:lang w:val="en-US" w:eastAsia="zh-CN"/>
              </w:rPr>
              <w:t>0</w:t>
            </w:r>
          </w:p>
        </w:tc>
      </w:tr>
      <w:tr w14:paraId="0688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4A4D6CB8">
            <w:pPr>
              <w:pStyle w:val="31"/>
              <w:bidi w:val="0"/>
              <w:jc w:val="center"/>
              <w:rPr>
                <w:rFonts w:hint="default"/>
                <w:lang w:val="en-US" w:eastAsia="zh-CN"/>
              </w:rPr>
            </w:pPr>
            <w:r>
              <w:rPr>
                <w:rFonts w:hint="eastAsia"/>
                <w:lang w:val="en-US" w:eastAsia="zh-CN"/>
              </w:rPr>
              <w:t>2</w:t>
            </w:r>
          </w:p>
        </w:tc>
        <w:tc>
          <w:tcPr>
            <w:tcW w:w="1098" w:type="pct"/>
            <w:shd w:val="clear" w:color="auto" w:fill="auto"/>
            <w:vAlign w:val="center"/>
          </w:tcPr>
          <w:p w14:paraId="1763DC97">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木材家具</w:t>
            </w:r>
          </w:p>
        </w:tc>
        <w:tc>
          <w:tcPr>
            <w:tcW w:w="482" w:type="pct"/>
            <w:vMerge w:val="continue"/>
            <w:vAlign w:val="center"/>
          </w:tcPr>
          <w:p w14:paraId="7DFE148E">
            <w:pPr>
              <w:pStyle w:val="31"/>
              <w:bidi w:val="0"/>
              <w:jc w:val="center"/>
              <w:rPr>
                <w:rFonts w:hint="default"/>
                <w:lang w:val="en-US" w:eastAsia="zh-CN"/>
              </w:rPr>
            </w:pPr>
          </w:p>
        </w:tc>
        <w:tc>
          <w:tcPr>
            <w:tcW w:w="907" w:type="pct"/>
            <w:vAlign w:val="center"/>
          </w:tcPr>
          <w:p w14:paraId="3C769724">
            <w:pPr>
              <w:pStyle w:val="31"/>
              <w:bidi w:val="0"/>
              <w:jc w:val="center"/>
              <w:rPr>
                <w:rFonts w:hint="default"/>
                <w:lang w:val="en-US" w:eastAsia="zh-CN"/>
              </w:rPr>
            </w:pPr>
            <w:r>
              <w:rPr>
                <w:rFonts w:hint="eastAsia"/>
                <w:lang w:val="en-US" w:eastAsia="zh-CN"/>
              </w:rPr>
              <w:t>900-009-S17</w:t>
            </w:r>
          </w:p>
        </w:tc>
        <w:tc>
          <w:tcPr>
            <w:tcW w:w="751" w:type="pct"/>
            <w:vAlign w:val="center"/>
          </w:tcPr>
          <w:p w14:paraId="263EFEAF">
            <w:pPr>
              <w:pStyle w:val="31"/>
              <w:bidi w:val="0"/>
              <w:jc w:val="center"/>
              <w:rPr>
                <w:rFonts w:hint="default"/>
                <w:lang w:val="en-US" w:eastAsia="zh-CN"/>
              </w:rPr>
            </w:pPr>
            <w:r>
              <w:rPr>
                <w:rFonts w:hint="eastAsia"/>
                <w:lang w:val="en-US" w:eastAsia="zh-CN"/>
              </w:rPr>
              <w:t>25.79</w:t>
            </w:r>
          </w:p>
        </w:tc>
        <w:tc>
          <w:tcPr>
            <w:tcW w:w="969" w:type="pct"/>
            <w:vMerge w:val="continue"/>
            <w:vAlign w:val="center"/>
          </w:tcPr>
          <w:p w14:paraId="51072B0E">
            <w:pPr>
              <w:pStyle w:val="31"/>
              <w:bidi w:val="0"/>
              <w:rPr>
                <w:rFonts w:hint="default"/>
                <w:lang w:val="en-US" w:eastAsia="zh-CN"/>
              </w:rPr>
            </w:pPr>
          </w:p>
        </w:tc>
        <w:tc>
          <w:tcPr>
            <w:tcW w:w="406" w:type="pct"/>
            <w:vAlign w:val="center"/>
          </w:tcPr>
          <w:p w14:paraId="70794440">
            <w:pPr>
              <w:pStyle w:val="31"/>
              <w:bidi w:val="0"/>
              <w:jc w:val="center"/>
              <w:rPr>
                <w:rFonts w:hint="default"/>
                <w:lang w:val="en-US" w:eastAsia="zh-CN"/>
              </w:rPr>
            </w:pPr>
            <w:r>
              <w:rPr>
                <w:rFonts w:hint="eastAsia"/>
                <w:lang w:val="en-US" w:eastAsia="zh-CN"/>
              </w:rPr>
              <w:t>0</w:t>
            </w:r>
          </w:p>
        </w:tc>
      </w:tr>
      <w:tr w14:paraId="7D06D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ED7EACD">
            <w:pPr>
              <w:pStyle w:val="31"/>
              <w:bidi w:val="0"/>
              <w:jc w:val="center"/>
              <w:rPr>
                <w:rFonts w:hint="default"/>
                <w:lang w:val="en-US" w:eastAsia="zh-CN"/>
              </w:rPr>
            </w:pPr>
            <w:r>
              <w:rPr>
                <w:rFonts w:hint="eastAsia"/>
                <w:lang w:val="en-US" w:eastAsia="zh-CN"/>
              </w:rPr>
              <w:t>3</w:t>
            </w:r>
          </w:p>
        </w:tc>
        <w:tc>
          <w:tcPr>
            <w:tcW w:w="1098" w:type="pct"/>
            <w:shd w:val="clear" w:color="auto" w:fill="auto"/>
            <w:vAlign w:val="center"/>
          </w:tcPr>
          <w:p w14:paraId="50EDB415">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有色金属（含螺旋桨铜、铝碎料、铜碎料等）</w:t>
            </w:r>
          </w:p>
        </w:tc>
        <w:tc>
          <w:tcPr>
            <w:tcW w:w="482" w:type="pct"/>
            <w:vMerge w:val="continue"/>
            <w:vAlign w:val="center"/>
          </w:tcPr>
          <w:p w14:paraId="6DADA6B7">
            <w:pPr>
              <w:pStyle w:val="31"/>
              <w:bidi w:val="0"/>
              <w:jc w:val="center"/>
              <w:rPr>
                <w:rFonts w:hint="default"/>
                <w:lang w:val="en-US" w:eastAsia="zh-CN"/>
              </w:rPr>
            </w:pPr>
          </w:p>
        </w:tc>
        <w:tc>
          <w:tcPr>
            <w:tcW w:w="907" w:type="pct"/>
            <w:vAlign w:val="center"/>
          </w:tcPr>
          <w:p w14:paraId="7D247F54">
            <w:pPr>
              <w:pStyle w:val="31"/>
              <w:bidi w:val="0"/>
              <w:jc w:val="center"/>
              <w:rPr>
                <w:rFonts w:hint="default"/>
                <w:lang w:val="en-US" w:eastAsia="zh-CN"/>
              </w:rPr>
            </w:pPr>
            <w:r>
              <w:rPr>
                <w:rFonts w:hint="eastAsia"/>
                <w:lang w:val="en-US" w:eastAsia="zh-CN"/>
              </w:rPr>
              <w:t>900-002-S17</w:t>
            </w:r>
          </w:p>
        </w:tc>
        <w:tc>
          <w:tcPr>
            <w:tcW w:w="751" w:type="pct"/>
            <w:vAlign w:val="center"/>
          </w:tcPr>
          <w:p w14:paraId="7353F9F6">
            <w:pPr>
              <w:pStyle w:val="31"/>
              <w:bidi w:val="0"/>
              <w:jc w:val="center"/>
              <w:rPr>
                <w:rFonts w:hint="default"/>
                <w:lang w:val="en-US" w:eastAsia="zh-CN"/>
              </w:rPr>
            </w:pPr>
            <w:r>
              <w:rPr>
                <w:rFonts w:hint="eastAsia"/>
                <w:lang w:val="en-US" w:eastAsia="zh-CN"/>
              </w:rPr>
              <w:t>42.99</w:t>
            </w:r>
          </w:p>
        </w:tc>
        <w:tc>
          <w:tcPr>
            <w:tcW w:w="969" w:type="pct"/>
            <w:vMerge w:val="continue"/>
            <w:vAlign w:val="center"/>
          </w:tcPr>
          <w:p w14:paraId="35088907">
            <w:pPr>
              <w:pStyle w:val="31"/>
              <w:bidi w:val="0"/>
              <w:rPr>
                <w:rFonts w:hint="default"/>
                <w:lang w:val="en-US" w:eastAsia="zh-CN"/>
              </w:rPr>
            </w:pPr>
          </w:p>
        </w:tc>
        <w:tc>
          <w:tcPr>
            <w:tcW w:w="406" w:type="pct"/>
            <w:vAlign w:val="center"/>
          </w:tcPr>
          <w:p w14:paraId="43FA7DF5">
            <w:pPr>
              <w:pStyle w:val="31"/>
              <w:bidi w:val="0"/>
              <w:jc w:val="center"/>
              <w:rPr>
                <w:rFonts w:hint="default"/>
                <w:lang w:val="en-US" w:eastAsia="zh-CN"/>
              </w:rPr>
            </w:pPr>
            <w:r>
              <w:rPr>
                <w:rFonts w:hint="eastAsia"/>
                <w:lang w:val="en-US" w:eastAsia="zh-CN"/>
              </w:rPr>
              <w:t>0</w:t>
            </w:r>
          </w:p>
        </w:tc>
      </w:tr>
      <w:tr w14:paraId="5D35C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C32F2AC">
            <w:pPr>
              <w:pStyle w:val="31"/>
              <w:bidi w:val="0"/>
              <w:jc w:val="center"/>
              <w:rPr>
                <w:rFonts w:hint="default"/>
                <w:lang w:val="en-US" w:eastAsia="zh-CN"/>
              </w:rPr>
            </w:pPr>
            <w:r>
              <w:rPr>
                <w:rFonts w:hint="eastAsia"/>
                <w:lang w:val="en-US" w:eastAsia="zh-CN"/>
              </w:rPr>
              <w:t>4</w:t>
            </w:r>
          </w:p>
        </w:tc>
        <w:tc>
          <w:tcPr>
            <w:tcW w:w="1098" w:type="pct"/>
            <w:shd w:val="clear" w:color="auto" w:fill="auto"/>
            <w:vAlign w:val="center"/>
          </w:tcPr>
          <w:p w14:paraId="2205443C">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电线电缆</w:t>
            </w:r>
          </w:p>
        </w:tc>
        <w:tc>
          <w:tcPr>
            <w:tcW w:w="482" w:type="pct"/>
            <w:vMerge w:val="continue"/>
            <w:vAlign w:val="center"/>
          </w:tcPr>
          <w:p w14:paraId="01B08477">
            <w:pPr>
              <w:pStyle w:val="31"/>
              <w:bidi w:val="0"/>
              <w:jc w:val="center"/>
              <w:rPr>
                <w:rFonts w:hint="default"/>
                <w:lang w:val="en-US" w:eastAsia="zh-CN"/>
              </w:rPr>
            </w:pPr>
          </w:p>
        </w:tc>
        <w:tc>
          <w:tcPr>
            <w:tcW w:w="907" w:type="pct"/>
            <w:vAlign w:val="center"/>
          </w:tcPr>
          <w:p w14:paraId="7B7BF84A">
            <w:pPr>
              <w:pStyle w:val="31"/>
              <w:bidi w:val="0"/>
              <w:jc w:val="center"/>
              <w:rPr>
                <w:rFonts w:hint="default"/>
                <w:lang w:val="en-US" w:eastAsia="zh-CN"/>
              </w:rPr>
            </w:pPr>
            <w:r>
              <w:rPr>
                <w:rFonts w:hint="eastAsia"/>
                <w:lang w:val="en-US" w:eastAsia="zh-CN"/>
              </w:rPr>
              <w:t>900-099-S17</w:t>
            </w:r>
          </w:p>
        </w:tc>
        <w:tc>
          <w:tcPr>
            <w:tcW w:w="751" w:type="pct"/>
            <w:vAlign w:val="center"/>
          </w:tcPr>
          <w:p w14:paraId="2069CE90">
            <w:pPr>
              <w:pStyle w:val="31"/>
              <w:bidi w:val="0"/>
              <w:jc w:val="center"/>
              <w:rPr>
                <w:rFonts w:hint="default"/>
                <w:lang w:val="en-US" w:eastAsia="zh-CN"/>
              </w:rPr>
            </w:pPr>
            <w:r>
              <w:rPr>
                <w:rFonts w:hint="eastAsia"/>
                <w:lang w:val="en-US" w:eastAsia="zh-CN"/>
              </w:rPr>
              <w:t>17.20</w:t>
            </w:r>
          </w:p>
        </w:tc>
        <w:tc>
          <w:tcPr>
            <w:tcW w:w="969" w:type="pct"/>
            <w:vMerge w:val="continue"/>
            <w:vAlign w:val="center"/>
          </w:tcPr>
          <w:p w14:paraId="3D68C8AB">
            <w:pPr>
              <w:pStyle w:val="31"/>
              <w:bidi w:val="0"/>
              <w:rPr>
                <w:rFonts w:hint="default"/>
                <w:lang w:val="en-US" w:eastAsia="zh-CN"/>
              </w:rPr>
            </w:pPr>
          </w:p>
        </w:tc>
        <w:tc>
          <w:tcPr>
            <w:tcW w:w="406" w:type="pct"/>
            <w:vAlign w:val="center"/>
          </w:tcPr>
          <w:p w14:paraId="6B36D56D">
            <w:pPr>
              <w:pStyle w:val="31"/>
              <w:bidi w:val="0"/>
              <w:jc w:val="center"/>
              <w:rPr>
                <w:rFonts w:hint="default"/>
                <w:lang w:val="en-US" w:eastAsia="zh-CN"/>
              </w:rPr>
            </w:pPr>
            <w:r>
              <w:rPr>
                <w:rFonts w:hint="eastAsia"/>
                <w:lang w:val="en-US" w:eastAsia="zh-CN"/>
              </w:rPr>
              <w:t>0</w:t>
            </w:r>
          </w:p>
        </w:tc>
      </w:tr>
      <w:tr w14:paraId="588C1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FE7DF1C">
            <w:pPr>
              <w:pStyle w:val="31"/>
              <w:bidi w:val="0"/>
              <w:jc w:val="center"/>
              <w:rPr>
                <w:rFonts w:hint="default"/>
                <w:lang w:val="en-US" w:eastAsia="zh-CN"/>
              </w:rPr>
            </w:pPr>
            <w:r>
              <w:rPr>
                <w:rFonts w:hint="eastAsia"/>
                <w:lang w:val="en-US" w:eastAsia="zh-CN"/>
              </w:rPr>
              <w:t>5</w:t>
            </w:r>
          </w:p>
        </w:tc>
        <w:tc>
          <w:tcPr>
            <w:tcW w:w="1098" w:type="pct"/>
            <w:shd w:val="clear" w:color="auto" w:fill="auto"/>
            <w:vAlign w:val="center"/>
          </w:tcPr>
          <w:p w14:paraId="1D33F069">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机械设备及仪器仪表（起货机、绞缆机、起重机、机修设备、主机、发电机组、通讯导航仪器、水泵等）</w:t>
            </w:r>
          </w:p>
        </w:tc>
        <w:tc>
          <w:tcPr>
            <w:tcW w:w="482" w:type="pct"/>
            <w:vMerge w:val="continue"/>
            <w:vAlign w:val="center"/>
          </w:tcPr>
          <w:p w14:paraId="7BDCCCDA">
            <w:pPr>
              <w:pStyle w:val="31"/>
              <w:bidi w:val="0"/>
              <w:jc w:val="center"/>
              <w:rPr>
                <w:rFonts w:hint="default"/>
                <w:lang w:val="en-US" w:eastAsia="zh-CN"/>
              </w:rPr>
            </w:pPr>
          </w:p>
        </w:tc>
        <w:tc>
          <w:tcPr>
            <w:tcW w:w="907" w:type="pct"/>
            <w:vAlign w:val="center"/>
          </w:tcPr>
          <w:p w14:paraId="71EE9613">
            <w:pPr>
              <w:pStyle w:val="31"/>
              <w:bidi w:val="0"/>
              <w:jc w:val="center"/>
              <w:rPr>
                <w:rFonts w:hint="default"/>
                <w:lang w:val="en-US" w:eastAsia="zh-CN"/>
              </w:rPr>
            </w:pPr>
            <w:r>
              <w:rPr>
                <w:rFonts w:hint="eastAsia"/>
                <w:lang w:val="en-US" w:eastAsia="zh-CN"/>
              </w:rPr>
              <w:t>900-013-S17</w:t>
            </w:r>
          </w:p>
        </w:tc>
        <w:tc>
          <w:tcPr>
            <w:tcW w:w="751" w:type="pct"/>
            <w:vAlign w:val="center"/>
          </w:tcPr>
          <w:p w14:paraId="3F9C0312">
            <w:pPr>
              <w:pStyle w:val="31"/>
              <w:bidi w:val="0"/>
              <w:jc w:val="center"/>
              <w:rPr>
                <w:rFonts w:hint="default"/>
                <w:lang w:val="en-US" w:eastAsia="zh-CN"/>
              </w:rPr>
            </w:pPr>
            <w:r>
              <w:rPr>
                <w:rFonts w:hint="eastAsia"/>
                <w:lang w:val="en-US" w:eastAsia="zh-CN"/>
              </w:rPr>
              <w:t>429.88</w:t>
            </w:r>
          </w:p>
        </w:tc>
        <w:tc>
          <w:tcPr>
            <w:tcW w:w="969" w:type="pct"/>
            <w:vMerge w:val="continue"/>
            <w:vAlign w:val="center"/>
          </w:tcPr>
          <w:p w14:paraId="0767ABA7">
            <w:pPr>
              <w:pStyle w:val="31"/>
              <w:bidi w:val="0"/>
              <w:rPr>
                <w:rFonts w:hint="default"/>
                <w:lang w:val="en-US" w:eastAsia="zh-CN"/>
              </w:rPr>
            </w:pPr>
          </w:p>
        </w:tc>
        <w:tc>
          <w:tcPr>
            <w:tcW w:w="406" w:type="pct"/>
            <w:vAlign w:val="center"/>
          </w:tcPr>
          <w:p w14:paraId="42048C4D">
            <w:pPr>
              <w:pStyle w:val="31"/>
              <w:bidi w:val="0"/>
              <w:jc w:val="center"/>
              <w:rPr>
                <w:rFonts w:hint="default"/>
                <w:lang w:val="en-US" w:eastAsia="zh-CN"/>
              </w:rPr>
            </w:pPr>
            <w:r>
              <w:rPr>
                <w:rFonts w:hint="eastAsia"/>
                <w:lang w:val="en-US" w:eastAsia="zh-CN"/>
              </w:rPr>
              <w:t>0</w:t>
            </w:r>
          </w:p>
        </w:tc>
      </w:tr>
      <w:tr w14:paraId="7DCC5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29D0ED0B">
            <w:pPr>
              <w:pStyle w:val="31"/>
              <w:bidi w:val="0"/>
              <w:jc w:val="center"/>
              <w:rPr>
                <w:rFonts w:hint="default"/>
                <w:lang w:val="en-US" w:eastAsia="zh-CN"/>
              </w:rPr>
            </w:pPr>
            <w:r>
              <w:rPr>
                <w:rFonts w:hint="eastAsia"/>
                <w:lang w:val="en-US" w:eastAsia="zh-CN"/>
              </w:rPr>
              <w:t>6</w:t>
            </w:r>
          </w:p>
        </w:tc>
        <w:tc>
          <w:tcPr>
            <w:tcW w:w="1098" w:type="pct"/>
            <w:vAlign w:val="center"/>
          </w:tcPr>
          <w:p w14:paraId="3FA2B440">
            <w:pPr>
              <w:pStyle w:val="31"/>
              <w:bidi w:val="0"/>
              <w:jc w:val="center"/>
              <w:rPr>
                <w:rFonts w:hint="default"/>
                <w:lang w:val="en-US" w:eastAsia="zh-CN"/>
              </w:rPr>
            </w:pPr>
            <w:r>
              <w:rPr>
                <w:rFonts w:hint="eastAsia"/>
                <w:lang w:val="en-US" w:eastAsia="zh-CN"/>
              </w:rPr>
              <w:t>不可回收一般固废</w:t>
            </w:r>
          </w:p>
        </w:tc>
        <w:tc>
          <w:tcPr>
            <w:tcW w:w="482" w:type="pct"/>
            <w:vMerge w:val="continue"/>
            <w:vAlign w:val="center"/>
          </w:tcPr>
          <w:p w14:paraId="3F2E9024">
            <w:pPr>
              <w:pStyle w:val="31"/>
              <w:bidi w:val="0"/>
              <w:jc w:val="center"/>
              <w:rPr>
                <w:rFonts w:hint="default"/>
                <w:lang w:val="en-US" w:eastAsia="zh-CN"/>
              </w:rPr>
            </w:pPr>
          </w:p>
        </w:tc>
        <w:tc>
          <w:tcPr>
            <w:tcW w:w="907" w:type="pct"/>
            <w:vAlign w:val="center"/>
          </w:tcPr>
          <w:p w14:paraId="140F5B8B">
            <w:pPr>
              <w:pStyle w:val="31"/>
              <w:bidi w:val="0"/>
              <w:jc w:val="center"/>
              <w:rPr>
                <w:rFonts w:hint="default"/>
                <w:lang w:val="en-US" w:eastAsia="zh-CN"/>
              </w:rPr>
            </w:pPr>
            <w:r>
              <w:rPr>
                <w:rFonts w:hint="eastAsia"/>
                <w:lang w:val="en-US" w:eastAsia="zh-CN"/>
              </w:rPr>
              <w:t>900-099-S59</w:t>
            </w:r>
          </w:p>
        </w:tc>
        <w:tc>
          <w:tcPr>
            <w:tcW w:w="751" w:type="pct"/>
            <w:vAlign w:val="center"/>
          </w:tcPr>
          <w:p w14:paraId="6930ADD1">
            <w:pPr>
              <w:pStyle w:val="31"/>
              <w:bidi w:val="0"/>
              <w:jc w:val="center"/>
              <w:rPr>
                <w:rFonts w:hint="default"/>
                <w:lang w:val="en-US" w:eastAsia="zh-CN"/>
              </w:rPr>
            </w:pPr>
            <w:r>
              <w:rPr>
                <w:rFonts w:hint="eastAsia"/>
                <w:lang w:val="en-US" w:eastAsia="zh-CN"/>
              </w:rPr>
              <w:t>0.34</w:t>
            </w:r>
          </w:p>
        </w:tc>
        <w:tc>
          <w:tcPr>
            <w:tcW w:w="969" w:type="pct"/>
            <w:vAlign w:val="center"/>
          </w:tcPr>
          <w:p w14:paraId="6A8CBF88">
            <w:pPr>
              <w:pStyle w:val="31"/>
              <w:bidi w:val="0"/>
              <w:rPr>
                <w:rFonts w:hint="default"/>
                <w:lang w:val="en-US" w:eastAsia="zh-CN"/>
              </w:rPr>
            </w:pPr>
            <w:r>
              <w:rPr>
                <w:rFonts w:hint="eastAsia"/>
                <w:lang w:val="en-US" w:eastAsia="zh-CN"/>
              </w:rPr>
              <w:t>一般固废暂存间暂存，委托环卫部门处理</w:t>
            </w:r>
          </w:p>
        </w:tc>
        <w:tc>
          <w:tcPr>
            <w:tcW w:w="406" w:type="pct"/>
            <w:vAlign w:val="center"/>
          </w:tcPr>
          <w:p w14:paraId="10127464">
            <w:pPr>
              <w:pStyle w:val="31"/>
              <w:bidi w:val="0"/>
              <w:jc w:val="center"/>
              <w:rPr>
                <w:rFonts w:hint="default"/>
                <w:lang w:val="en-US" w:eastAsia="zh-CN"/>
              </w:rPr>
            </w:pPr>
            <w:r>
              <w:rPr>
                <w:rFonts w:hint="eastAsia"/>
                <w:lang w:val="en-US" w:eastAsia="zh-CN"/>
              </w:rPr>
              <w:t>0</w:t>
            </w:r>
          </w:p>
        </w:tc>
      </w:tr>
      <w:tr w14:paraId="66BEF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403CD7F2">
            <w:pPr>
              <w:pStyle w:val="31"/>
              <w:bidi w:val="0"/>
              <w:jc w:val="center"/>
              <w:rPr>
                <w:rFonts w:hint="default"/>
                <w:lang w:val="en-US" w:eastAsia="zh-CN"/>
              </w:rPr>
            </w:pPr>
            <w:r>
              <w:rPr>
                <w:rFonts w:hint="eastAsia"/>
                <w:lang w:val="en-US" w:eastAsia="zh-CN"/>
              </w:rPr>
              <w:t>7</w:t>
            </w:r>
          </w:p>
        </w:tc>
        <w:tc>
          <w:tcPr>
            <w:tcW w:w="1098" w:type="pct"/>
            <w:shd w:val="clear" w:color="auto" w:fill="auto"/>
            <w:vAlign w:val="center"/>
          </w:tcPr>
          <w:p w14:paraId="0441277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482" w:type="pct"/>
            <w:vMerge w:val="restart"/>
            <w:vAlign w:val="center"/>
          </w:tcPr>
          <w:p w14:paraId="78AD400D">
            <w:pPr>
              <w:pStyle w:val="31"/>
              <w:bidi w:val="0"/>
              <w:jc w:val="center"/>
              <w:rPr>
                <w:rFonts w:hint="default"/>
                <w:lang w:val="en-US" w:eastAsia="zh-CN"/>
              </w:rPr>
            </w:pPr>
            <w:r>
              <w:rPr>
                <w:rFonts w:hint="eastAsia"/>
                <w:lang w:val="en-US" w:eastAsia="zh-CN"/>
              </w:rPr>
              <w:t>危险废物</w:t>
            </w:r>
          </w:p>
        </w:tc>
        <w:tc>
          <w:tcPr>
            <w:tcW w:w="907" w:type="pct"/>
            <w:vAlign w:val="center"/>
          </w:tcPr>
          <w:p w14:paraId="025CE56C">
            <w:pPr>
              <w:pStyle w:val="31"/>
              <w:bidi w:val="0"/>
              <w:jc w:val="center"/>
              <w:rPr>
                <w:rFonts w:hint="default"/>
                <w:lang w:val="en-US" w:eastAsia="zh-CN"/>
              </w:rPr>
            </w:pPr>
            <w:r>
              <w:rPr>
                <w:rFonts w:hint="eastAsia"/>
                <w:lang w:val="en-US" w:eastAsia="zh-CN"/>
              </w:rPr>
              <w:t>900-199-08</w:t>
            </w:r>
          </w:p>
        </w:tc>
        <w:tc>
          <w:tcPr>
            <w:tcW w:w="751" w:type="pct"/>
            <w:vAlign w:val="center"/>
          </w:tcPr>
          <w:p w14:paraId="6D53A930">
            <w:pPr>
              <w:pStyle w:val="31"/>
              <w:bidi w:val="0"/>
              <w:jc w:val="center"/>
              <w:rPr>
                <w:rFonts w:hint="default"/>
                <w:lang w:val="en-US" w:eastAsia="zh-CN"/>
              </w:rPr>
            </w:pPr>
            <w:r>
              <w:rPr>
                <w:rFonts w:hint="eastAsia"/>
                <w:lang w:val="en-US" w:eastAsia="zh-CN"/>
              </w:rPr>
              <w:t>0.195</w:t>
            </w:r>
          </w:p>
        </w:tc>
        <w:tc>
          <w:tcPr>
            <w:tcW w:w="969" w:type="pct"/>
            <w:vMerge w:val="restart"/>
            <w:vAlign w:val="center"/>
          </w:tcPr>
          <w:p w14:paraId="75FB3C0E">
            <w:pPr>
              <w:pStyle w:val="31"/>
              <w:bidi w:val="0"/>
              <w:rPr>
                <w:rFonts w:hint="default"/>
                <w:lang w:val="en-US" w:eastAsia="zh-CN"/>
              </w:rPr>
            </w:pPr>
            <w:r>
              <w:rPr>
                <w:rFonts w:hint="eastAsia"/>
                <w:lang w:val="en-US" w:eastAsia="zh-CN"/>
              </w:rPr>
              <w:t>暂存于危险废物暂存间，委托有资质单位收集处理</w:t>
            </w:r>
          </w:p>
        </w:tc>
        <w:tc>
          <w:tcPr>
            <w:tcW w:w="406" w:type="pct"/>
            <w:vAlign w:val="center"/>
          </w:tcPr>
          <w:p w14:paraId="674F2CB7">
            <w:pPr>
              <w:pStyle w:val="31"/>
              <w:bidi w:val="0"/>
              <w:jc w:val="center"/>
              <w:rPr>
                <w:rFonts w:hint="default"/>
                <w:lang w:val="en-US" w:eastAsia="zh-CN"/>
              </w:rPr>
            </w:pPr>
            <w:r>
              <w:rPr>
                <w:rFonts w:hint="eastAsia"/>
                <w:lang w:val="en-US" w:eastAsia="zh-CN"/>
              </w:rPr>
              <w:t>0</w:t>
            </w:r>
          </w:p>
        </w:tc>
      </w:tr>
      <w:tr w14:paraId="080EB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2429570">
            <w:pPr>
              <w:pStyle w:val="31"/>
              <w:bidi w:val="0"/>
              <w:jc w:val="center"/>
              <w:rPr>
                <w:rFonts w:hint="default"/>
                <w:lang w:val="en-US" w:eastAsia="zh-CN"/>
              </w:rPr>
            </w:pPr>
            <w:r>
              <w:rPr>
                <w:rFonts w:hint="eastAsia"/>
                <w:lang w:val="en-US" w:eastAsia="zh-CN"/>
              </w:rPr>
              <w:t>8</w:t>
            </w:r>
          </w:p>
        </w:tc>
        <w:tc>
          <w:tcPr>
            <w:tcW w:w="0" w:type="auto"/>
            <w:shd w:val="clear" w:color="auto" w:fill="auto"/>
            <w:vAlign w:val="center"/>
          </w:tcPr>
          <w:p w14:paraId="43637DF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482" w:type="pct"/>
            <w:vMerge w:val="continue"/>
          </w:tcPr>
          <w:p w14:paraId="10B6FDB1">
            <w:pPr>
              <w:pStyle w:val="31"/>
              <w:bidi w:val="0"/>
              <w:jc w:val="center"/>
              <w:rPr>
                <w:rFonts w:hint="default"/>
                <w:lang w:val="en-US" w:eastAsia="zh-CN"/>
              </w:rPr>
            </w:pPr>
          </w:p>
        </w:tc>
        <w:tc>
          <w:tcPr>
            <w:tcW w:w="0" w:type="auto"/>
          </w:tcPr>
          <w:p w14:paraId="3485C145">
            <w:pPr>
              <w:pStyle w:val="31"/>
              <w:bidi w:val="0"/>
              <w:jc w:val="center"/>
              <w:rPr>
                <w:rFonts w:hint="default"/>
                <w:lang w:val="en-US" w:eastAsia="zh-CN"/>
              </w:rPr>
            </w:pPr>
            <w:r>
              <w:rPr>
                <w:rFonts w:hint="eastAsia"/>
                <w:lang w:val="en-US" w:eastAsia="zh-CN"/>
              </w:rPr>
              <w:t>900-052-31</w:t>
            </w:r>
          </w:p>
        </w:tc>
        <w:tc>
          <w:tcPr>
            <w:tcW w:w="0" w:type="auto"/>
          </w:tcPr>
          <w:p w14:paraId="1D420D5B">
            <w:pPr>
              <w:pStyle w:val="31"/>
              <w:bidi w:val="0"/>
              <w:jc w:val="center"/>
              <w:rPr>
                <w:rFonts w:hint="default"/>
                <w:lang w:val="en-US" w:eastAsia="zh-CN"/>
              </w:rPr>
            </w:pPr>
            <w:r>
              <w:rPr>
                <w:rFonts w:hint="eastAsia"/>
                <w:lang w:val="en-US" w:eastAsia="zh-CN"/>
              </w:rPr>
              <w:t>0.142</w:t>
            </w:r>
          </w:p>
        </w:tc>
        <w:tc>
          <w:tcPr>
            <w:tcW w:w="969" w:type="pct"/>
            <w:vMerge w:val="continue"/>
          </w:tcPr>
          <w:p w14:paraId="08D035FA">
            <w:pPr>
              <w:pStyle w:val="31"/>
              <w:bidi w:val="0"/>
              <w:rPr>
                <w:rFonts w:hint="eastAsia"/>
                <w:lang w:val="en-US" w:eastAsia="zh-CN"/>
              </w:rPr>
            </w:pPr>
          </w:p>
        </w:tc>
        <w:tc>
          <w:tcPr>
            <w:tcW w:w="0" w:type="auto"/>
          </w:tcPr>
          <w:p w14:paraId="23F0D966">
            <w:pPr>
              <w:pStyle w:val="31"/>
              <w:bidi w:val="0"/>
              <w:jc w:val="center"/>
              <w:rPr>
                <w:rFonts w:hint="default"/>
                <w:lang w:val="en-US" w:eastAsia="zh-CN"/>
              </w:rPr>
            </w:pPr>
            <w:r>
              <w:rPr>
                <w:rFonts w:hint="eastAsia"/>
                <w:lang w:val="en-US" w:eastAsia="zh-CN"/>
              </w:rPr>
              <w:t>0</w:t>
            </w:r>
          </w:p>
        </w:tc>
      </w:tr>
      <w:tr w14:paraId="01D88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B6A15B0">
            <w:pPr>
              <w:pStyle w:val="31"/>
              <w:bidi w:val="0"/>
              <w:jc w:val="center"/>
              <w:rPr>
                <w:rFonts w:hint="default"/>
                <w:lang w:val="en-US" w:eastAsia="zh-CN"/>
              </w:rPr>
            </w:pPr>
            <w:r>
              <w:rPr>
                <w:rFonts w:hint="eastAsia"/>
                <w:lang w:val="en-US" w:eastAsia="zh-CN"/>
              </w:rPr>
              <w:t>9</w:t>
            </w:r>
          </w:p>
        </w:tc>
        <w:tc>
          <w:tcPr>
            <w:tcW w:w="0" w:type="auto"/>
            <w:shd w:val="clear" w:color="auto" w:fill="auto"/>
            <w:vAlign w:val="center"/>
          </w:tcPr>
          <w:p w14:paraId="69EDB9FB">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482" w:type="pct"/>
            <w:vMerge w:val="continue"/>
          </w:tcPr>
          <w:p w14:paraId="40FFFB2E">
            <w:pPr>
              <w:pStyle w:val="31"/>
              <w:bidi w:val="0"/>
              <w:jc w:val="center"/>
              <w:rPr>
                <w:rFonts w:hint="default"/>
                <w:lang w:val="en-US" w:eastAsia="zh-CN"/>
              </w:rPr>
            </w:pPr>
          </w:p>
        </w:tc>
        <w:tc>
          <w:tcPr>
            <w:tcW w:w="0" w:type="auto"/>
          </w:tcPr>
          <w:p w14:paraId="3DC12FED">
            <w:pPr>
              <w:pStyle w:val="31"/>
              <w:bidi w:val="0"/>
              <w:jc w:val="center"/>
              <w:rPr>
                <w:rFonts w:hint="default"/>
                <w:lang w:val="en-US" w:eastAsia="zh-CN"/>
              </w:rPr>
            </w:pPr>
            <w:r>
              <w:rPr>
                <w:rFonts w:hint="eastAsia"/>
                <w:lang w:val="en-US" w:eastAsia="zh-CN"/>
              </w:rPr>
              <w:t>900-249-08</w:t>
            </w:r>
          </w:p>
        </w:tc>
        <w:tc>
          <w:tcPr>
            <w:tcW w:w="0" w:type="auto"/>
          </w:tcPr>
          <w:p w14:paraId="194F93E2">
            <w:pPr>
              <w:pStyle w:val="31"/>
              <w:bidi w:val="0"/>
              <w:jc w:val="center"/>
              <w:rPr>
                <w:rFonts w:hint="default"/>
                <w:lang w:val="en-US" w:eastAsia="zh-CN"/>
              </w:rPr>
            </w:pPr>
            <w:r>
              <w:rPr>
                <w:rFonts w:hint="eastAsia"/>
                <w:lang w:val="en-US" w:eastAsia="zh-CN"/>
              </w:rPr>
              <w:t>0.106</w:t>
            </w:r>
          </w:p>
        </w:tc>
        <w:tc>
          <w:tcPr>
            <w:tcW w:w="969" w:type="pct"/>
            <w:vMerge w:val="continue"/>
          </w:tcPr>
          <w:p w14:paraId="0CB55098">
            <w:pPr>
              <w:pStyle w:val="31"/>
              <w:bidi w:val="0"/>
              <w:rPr>
                <w:rFonts w:hint="eastAsia"/>
                <w:lang w:val="en-US" w:eastAsia="zh-CN"/>
              </w:rPr>
            </w:pPr>
          </w:p>
        </w:tc>
        <w:tc>
          <w:tcPr>
            <w:tcW w:w="0" w:type="auto"/>
          </w:tcPr>
          <w:p w14:paraId="3B668C0C">
            <w:pPr>
              <w:pStyle w:val="31"/>
              <w:bidi w:val="0"/>
              <w:jc w:val="center"/>
              <w:rPr>
                <w:rFonts w:hint="default"/>
                <w:lang w:val="en-US" w:eastAsia="zh-CN"/>
              </w:rPr>
            </w:pPr>
            <w:r>
              <w:rPr>
                <w:rFonts w:hint="eastAsia"/>
                <w:lang w:val="en-US" w:eastAsia="zh-CN"/>
              </w:rPr>
              <w:t>0</w:t>
            </w:r>
          </w:p>
        </w:tc>
      </w:tr>
      <w:tr w14:paraId="6F20C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0E2457E">
            <w:pPr>
              <w:pStyle w:val="31"/>
              <w:bidi w:val="0"/>
              <w:jc w:val="center"/>
              <w:rPr>
                <w:rFonts w:hint="default"/>
                <w:lang w:val="en-US" w:eastAsia="zh-CN"/>
              </w:rPr>
            </w:pPr>
            <w:r>
              <w:rPr>
                <w:rFonts w:hint="eastAsia"/>
                <w:lang w:val="en-US" w:eastAsia="zh-CN"/>
              </w:rPr>
              <w:t>10</w:t>
            </w:r>
          </w:p>
        </w:tc>
        <w:tc>
          <w:tcPr>
            <w:tcW w:w="0" w:type="auto"/>
            <w:shd w:val="clear" w:color="auto" w:fill="auto"/>
            <w:vAlign w:val="center"/>
          </w:tcPr>
          <w:p w14:paraId="140AB3C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废漆渣（剥落油漆/涂料碎片）</w:t>
            </w:r>
          </w:p>
        </w:tc>
        <w:tc>
          <w:tcPr>
            <w:tcW w:w="482" w:type="pct"/>
            <w:vMerge w:val="continue"/>
          </w:tcPr>
          <w:p w14:paraId="714695BB">
            <w:pPr>
              <w:pStyle w:val="31"/>
              <w:bidi w:val="0"/>
              <w:jc w:val="center"/>
              <w:rPr>
                <w:rFonts w:hint="default"/>
                <w:lang w:val="en-US" w:eastAsia="zh-CN"/>
              </w:rPr>
            </w:pPr>
          </w:p>
        </w:tc>
        <w:tc>
          <w:tcPr>
            <w:tcW w:w="0" w:type="auto"/>
          </w:tcPr>
          <w:p w14:paraId="7D79790A">
            <w:pPr>
              <w:pStyle w:val="31"/>
              <w:bidi w:val="0"/>
              <w:jc w:val="center"/>
              <w:rPr>
                <w:rFonts w:hint="default"/>
                <w:lang w:val="en-US" w:eastAsia="zh-CN"/>
              </w:rPr>
            </w:pPr>
            <w:r>
              <w:rPr>
                <w:rFonts w:hint="eastAsia"/>
                <w:lang w:val="en-US" w:eastAsia="zh-CN"/>
              </w:rPr>
              <w:t>900-252-12</w:t>
            </w:r>
          </w:p>
        </w:tc>
        <w:tc>
          <w:tcPr>
            <w:tcW w:w="0" w:type="auto"/>
          </w:tcPr>
          <w:p w14:paraId="3FABF930">
            <w:pPr>
              <w:pStyle w:val="31"/>
              <w:bidi w:val="0"/>
              <w:jc w:val="center"/>
              <w:rPr>
                <w:rFonts w:hint="default"/>
                <w:lang w:val="en-US" w:eastAsia="zh-CN"/>
              </w:rPr>
            </w:pPr>
            <w:r>
              <w:rPr>
                <w:rFonts w:hint="eastAsia"/>
                <w:lang w:val="en-US" w:eastAsia="zh-CN"/>
              </w:rPr>
              <w:t>0.094</w:t>
            </w:r>
          </w:p>
        </w:tc>
        <w:tc>
          <w:tcPr>
            <w:tcW w:w="969" w:type="pct"/>
            <w:vMerge w:val="continue"/>
          </w:tcPr>
          <w:p w14:paraId="022CFB2F">
            <w:pPr>
              <w:pStyle w:val="31"/>
              <w:bidi w:val="0"/>
              <w:rPr>
                <w:rFonts w:hint="eastAsia"/>
                <w:lang w:val="en-US" w:eastAsia="zh-CN"/>
              </w:rPr>
            </w:pPr>
          </w:p>
        </w:tc>
        <w:tc>
          <w:tcPr>
            <w:tcW w:w="0" w:type="auto"/>
          </w:tcPr>
          <w:p w14:paraId="7FDDBD25">
            <w:pPr>
              <w:pStyle w:val="31"/>
              <w:bidi w:val="0"/>
              <w:jc w:val="center"/>
              <w:rPr>
                <w:rFonts w:hint="default"/>
                <w:lang w:val="en-US" w:eastAsia="zh-CN"/>
              </w:rPr>
            </w:pPr>
            <w:r>
              <w:rPr>
                <w:rFonts w:hint="eastAsia"/>
                <w:lang w:val="en-US" w:eastAsia="zh-CN"/>
              </w:rPr>
              <w:t>0</w:t>
            </w:r>
          </w:p>
        </w:tc>
      </w:tr>
      <w:tr w14:paraId="223A3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5E5BA81">
            <w:pPr>
              <w:pStyle w:val="31"/>
              <w:bidi w:val="0"/>
              <w:jc w:val="center"/>
              <w:rPr>
                <w:rFonts w:hint="default"/>
                <w:lang w:val="en-US" w:eastAsia="zh-CN"/>
              </w:rPr>
            </w:pPr>
            <w:r>
              <w:rPr>
                <w:rFonts w:hint="eastAsia"/>
                <w:lang w:val="en-US" w:eastAsia="zh-CN"/>
              </w:rPr>
              <w:t>11</w:t>
            </w:r>
          </w:p>
        </w:tc>
        <w:tc>
          <w:tcPr>
            <w:tcW w:w="0" w:type="auto"/>
            <w:shd w:val="clear" w:color="auto" w:fill="auto"/>
            <w:vAlign w:val="center"/>
          </w:tcPr>
          <w:p w14:paraId="55190DA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482" w:type="pct"/>
            <w:vMerge w:val="continue"/>
          </w:tcPr>
          <w:p w14:paraId="38FB1237">
            <w:pPr>
              <w:pStyle w:val="31"/>
              <w:bidi w:val="0"/>
              <w:jc w:val="center"/>
              <w:rPr>
                <w:rFonts w:hint="default"/>
                <w:lang w:val="en-US" w:eastAsia="zh-CN"/>
              </w:rPr>
            </w:pPr>
          </w:p>
        </w:tc>
        <w:tc>
          <w:tcPr>
            <w:tcW w:w="0" w:type="auto"/>
          </w:tcPr>
          <w:p w14:paraId="299E9D30">
            <w:pPr>
              <w:pStyle w:val="31"/>
              <w:bidi w:val="0"/>
              <w:jc w:val="center"/>
              <w:rPr>
                <w:rFonts w:hint="default"/>
                <w:lang w:val="en-US" w:eastAsia="zh-CN"/>
              </w:rPr>
            </w:pPr>
            <w:r>
              <w:rPr>
                <w:rFonts w:hint="eastAsia"/>
                <w:lang w:val="en-US" w:eastAsia="zh-CN"/>
              </w:rPr>
              <w:t>373-002-36</w:t>
            </w:r>
          </w:p>
        </w:tc>
        <w:tc>
          <w:tcPr>
            <w:tcW w:w="0" w:type="auto"/>
          </w:tcPr>
          <w:p w14:paraId="2D4AB696">
            <w:pPr>
              <w:pStyle w:val="31"/>
              <w:bidi w:val="0"/>
              <w:jc w:val="center"/>
              <w:rPr>
                <w:rFonts w:hint="default"/>
                <w:lang w:val="en-US" w:eastAsia="zh-CN"/>
              </w:rPr>
            </w:pPr>
            <w:r>
              <w:rPr>
                <w:rFonts w:hint="eastAsia"/>
                <w:lang w:val="en-US" w:eastAsia="zh-CN"/>
              </w:rPr>
              <w:t>0.038</w:t>
            </w:r>
          </w:p>
        </w:tc>
        <w:tc>
          <w:tcPr>
            <w:tcW w:w="969" w:type="pct"/>
            <w:vMerge w:val="continue"/>
          </w:tcPr>
          <w:p w14:paraId="164245E2">
            <w:pPr>
              <w:pStyle w:val="31"/>
              <w:bidi w:val="0"/>
              <w:rPr>
                <w:rFonts w:hint="eastAsia"/>
                <w:lang w:val="en-US" w:eastAsia="zh-CN"/>
              </w:rPr>
            </w:pPr>
          </w:p>
        </w:tc>
        <w:tc>
          <w:tcPr>
            <w:tcW w:w="0" w:type="auto"/>
          </w:tcPr>
          <w:p w14:paraId="28C7B163">
            <w:pPr>
              <w:pStyle w:val="31"/>
              <w:bidi w:val="0"/>
              <w:jc w:val="center"/>
              <w:rPr>
                <w:rFonts w:hint="default"/>
                <w:lang w:val="en-US" w:eastAsia="zh-CN"/>
              </w:rPr>
            </w:pPr>
            <w:r>
              <w:rPr>
                <w:rFonts w:hint="eastAsia"/>
                <w:lang w:val="en-US" w:eastAsia="zh-CN"/>
              </w:rPr>
              <w:t>0</w:t>
            </w:r>
          </w:p>
        </w:tc>
      </w:tr>
      <w:tr w14:paraId="05A72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BF0E173">
            <w:pPr>
              <w:pStyle w:val="31"/>
              <w:bidi w:val="0"/>
              <w:jc w:val="center"/>
              <w:rPr>
                <w:rFonts w:hint="default"/>
                <w:lang w:val="en-US" w:eastAsia="zh-CN"/>
              </w:rPr>
            </w:pPr>
            <w:r>
              <w:rPr>
                <w:rFonts w:hint="eastAsia"/>
                <w:lang w:val="en-US" w:eastAsia="zh-CN"/>
              </w:rPr>
              <w:t>12</w:t>
            </w:r>
          </w:p>
        </w:tc>
        <w:tc>
          <w:tcPr>
            <w:tcW w:w="0" w:type="auto"/>
            <w:shd w:val="clear" w:color="auto" w:fill="auto"/>
            <w:vAlign w:val="center"/>
          </w:tcPr>
          <w:p w14:paraId="45D90FE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482" w:type="pct"/>
            <w:vMerge w:val="continue"/>
          </w:tcPr>
          <w:p w14:paraId="32447041">
            <w:pPr>
              <w:pStyle w:val="31"/>
              <w:bidi w:val="0"/>
              <w:jc w:val="center"/>
              <w:rPr>
                <w:rFonts w:hint="default"/>
                <w:lang w:val="en-US" w:eastAsia="zh-CN"/>
              </w:rPr>
            </w:pPr>
          </w:p>
        </w:tc>
        <w:tc>
          <w:tcPr>
            <w:tcW w:w="0" w:type="auto"/>
          </w:tcPr>
          <w:p w14:paraId="3B8C5CBF">
            <w:pPr>
              <w:pStyle w:val="31"/>
              <w:bidi w:val="0"/>
              <w:jc w:val="center"/>
              <w:rPr>
                <w:rFonts w:hint="default"/>
                <w:lang w:val="en-US" w:eastAsia="zh-CN"/>
              </w:rPr>
            </w:pPr>
            <w:r>
              <w:rPr>
                <w:rFonts w:hint="eastAsia"/>
                <w:lang w:val="en-US" w:eastAsia="zh-CN"/>
              </w:rPr>
              <w:t>900-045-49</w:t>
            </w:r>
          </w:p>
        </w:tc>
        <w:tc>
          <w:tcPr>
            <w:tcW w:w="0" w:type="auto"/>
          </w:tcPr>
          <w:p w14:paraId="08399A9E">
            <w:pPr>
              <w:pStyle w:val="31"/>
              <w:bidi w:val="0"/>
              <w:jc w:val="center"/>
              <w:rPr>
                <w:rFonts w:hint="default"/>
                <w:lang w:val="en-US" w:eastAsia="zh-CN"/>
              </w:rPr>
            </w:pPr>
            <w:r>
              <w:rPr>
                <w:rFonts w:hint="eastAsia"/>
                <w:lang w:val="en-US" w:eastAsia="zh-CN"/>
              </w:rPr>
              <w:t>0.006</w:t>
            </w:r>
          </w:p>
        </w:tc>
        <w:tc>
          <w:tcPr>
            <w:tcW w:w="969" w:type="pct"/>
            <w:vMerge w:val="continue"/>
          </w:tcPr>
          <w:p w14:paraId="0A199F14">
            <w:pPr>
              <w:pStyle w:val="31"/>
              <w:bidi w:val="0"/>
              <w:rPr>
                <w:rFonts w:hint="eastAsia"/>
                <w:lang w:val="en-US" w:eastAsia="zh-CN"/>
              </w:rPr>
            </w:pPr>
          </w:p>
        </w:tc>
        <w:tc>
          <w:tcPr>
            <w:tcW w:w="0" w:type="auto"/>
          </w:tcPr>
          <w:p w14:paraId="4F40AB56">
            <w:pPr>
              <w:pStyle w:val="31"/>
              <w:bidi w:val="0"/>
              <w:jc w:val="center"/>
              <w:rPr>
                <w:rFonts w:hint="default"/>
                <w:lang w:val="en-US" w:eastAsia="zh-CN"/>
              </w:rPr>
            </w:pPr>
            <w:r>
              <w:rPr>
                <w:rFonts w:hint="eastAsia"/>
                <w:lang w:val="en-US" w:eastAsia="zh-CN"/>
              </w:rPr>
              <w:t>0</w:t>
            </w:r>
          </w:p>
        </w:tc>
      </w:tr>
      <w:tr w14:paraId="043BE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AA82F05">
            <w:pPr>
              <w:pStyle w:val="31"/>
              <w:bidi w:val="0"/>
              <w:jc w:val="center"/>
              <w:rPr>
                <w:rFonts w:hint="default"/>
                <w:lang w:val="en-US" w:eastAsia="zh-CN"/>
              </w:rPr>
            </w:pPr>
            <w:r>
              <w:rPr>
                <w:rFonts w:hint="eastAsia"/>
                <w:lang w:val="en-US" w:eastAsia="zh-CN"/>
              </w:rPr>
              <w:t>13</w:t>
            </w:r>
          </w:p>
        </w:tc>
        <w:tc>
          <w:tcPr>
            <w:tcW w:w="0" w:type="auto"/>
            <w:shd w:val="clear" w:color="auto" w:fill="auto"/>
            <w:vAlign w:val="center"/>
          </w:tcPr>
          <w:p w14:paraId="35A45CB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482" w:type="pct"/>
            <w:vMerge w:val="continue"/>
          </w:tcPr>
          <w:p w14:paraId="06EA2404">
            <w:pPr>
              <w:pStyle w:val="31"/>
              <w:bidi w:val="0"/>
              <w:jc w:val="center"/>
              <w:rPr>
                <w:rFonts w:hint="default"/>
                <w:lang w:val="en-US" w:eastAsia="zh-CN"/>
              </w:rPr>
            </w:pPr>
          </w:p>
        </w:tc>
        <w:tc>
          <w:tcPr>
            <w:tcW w:w="0" w:type="auto"/>
          </w:tcPr>
          <w:p w14:paraId="2D75B05E">
            <w:pPr>
              <w:pStyle w:val="31"/>
              <w:bidi w:val="0"/>
              <w:jc w:val="center"/>
              <w:rPr>
                <w:rFonts w:hint="default"/>
                <w:lang w:val="en-US" w:eastAsia="zh-CN"/>
              </w:rPr>
            </w:pPr>
            <w:r>
              <w:rPr>
                <w:rFonts w:hint="eastAsia"/>
                <w:lang w:val="en-US" w:eastAsia="zh-CN"/>
              </w:rPr>
              <w:t>900-999-49</w:t>
            </w:r>
          </w:p>
        </w:tc>
        <w:tc>
          <w:tcPr>
            <w:tcW w:w="0" w:type="auto"/>
          </w:tcPr>
          <w:p w14:paraId="3D4DF678">
            <w:pPr>
              <w:pStyle w:val="31"/>
              <w:bidi w:val="0"/>
              <w:jc w:val="center"/>
              <w:rPr>
                <w:rFonts w:hint="default"/>
                <w:lang w:val="en-US" w:eastAsia="zh-CN"/>
              </w:rPr>
            </w:pPr>
            <w:r>
              <w:rPr>
                <w:rFonts w:hint="eastAsia"/>
                <w:lang w:val="en-US" w:eastAsia="zh-CN"/>
              </w:rPr>
              <w:t>0.006</w:t>
            </w:r>
          </w:p>
        </w:tc>
        <w:tc>
          <w:tcPr>
            <w:tcW w:w="969" w:type="pct"/>
            <w:vMerge w:val="continue"/>
          </w:tcPr>
          <w:p w14:paraId="0FB63AA1">
            <w:pPr>
              <w:pStyle w:val="31"/>
              <w:bidi w:val="0"/>
              <w:rPr>
                <w:rFonts w:hint="eastAsia"/>
                <w:lang w:val="en-US" w:eastAsia="zh-CN"/>
              </w:rPr>
            </w:pPr>
          </w:p>
        </w:tc>
        <w:tc>
          <w:tcPr>
            <w:tcW w:w="0" w:type="auto"/>
          </w:tcPr>
          <w:p w14:paraId="33AD8789">
            <w:pPr>
              <w:pStyle w:val="31"/>
              <w:bidi w:val="0"/>
              <w:jc w:val="center"/>
              <w:rPr>
                <w:rFonts w:hint="default"/>
                <w:lang w:val="en-US" w:eastAsia="zh-CN"/>
              </w:rPr>
            </w:pPr>
            <w:r>
              <w:rPr>
                <w:rFonts w:hint="eastAsia"/>
                <w:lang w:val="en-US" w:eastAsia="zh-CN"/>
              </w:rPr>
              <w:t>0</w:t>
            </w:r>
          </w:p>
        </w:tc>
      </w:tr>
      <w:tr w14:paraId="6B4D7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4EF0555">
            <w:pPr>
              <w:pStyle w:val="31"/>
              <w:bidi w:val="0"/>
              <w:jc w:val="center"/>
              <w:rPr>
                <w:rFonts w:hint="default"/>
                <w:lang w:val="en-US" w:eastAsia="zh-CN"/>
              </w:rPr>
            </w:pPr>
            <w:r>
              <w:rPr>
                <w:rFonts w:hint="eastAsia"/>
                <w:lang w:val="en-US" w:eastAsia="zh-CN"/>
              </w:rPr>
              <w:t>14</w:t>
            </w:r>
          </w:p>
        </w:tc>
        <w:tc>
          <w:tcPr>
            <w:tcW w:w="0" w:type="auto"/>
            <w:shd w:val="clear" w:color="auto" w:fill="auto"/>
            <w:vAlign w:val="center"/>
          </w:tcPr>
          <w:p w14:paraId="3EA448D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482" w:type="pct"/>
            <w:vMerge w:val="continue"/>
          </w:tcPr>
          <w:p w14:paraId="463E5CCA">
            <w:pPr>
              <w:pStyle w:val="31"/>
              <w:bidi w:val="0"/>
              <w:jc w:val="center"/>
              <w:rPr>
                <w:rFonts w:hint="default"/>
                <w:lang w:val="en-US" w:eastAsia="zh-CN"/>
              </w:rPr>
            </w:pPr>
          </w:p>
        </w:tc>
        <w:tc>
          <w:tcPr>
            <w:tcW w:w="0" w:type="auto"/>
          </w:tcPr>
          <w:p w14:paraId="0BB02B07">
            <w:pPr>
              <w:pStyle w:val="31"/>
              <w:bidi w:val="0"/>
              <w:jc w:val="center"/>
              <w:rPr>
                <w:rFonts w:hint="default"/>
                <w:lang w:val="en-US" w:eastAsia="zh-CN"/>
              </w:rPr>
            </w:pPr>
            <w:r>
              <w:rPr>
                <w:rFonts w:hint="eastAsia"/>
                <w:lang w:val="en-US" w:eastAsia="zh-CN"/>
              </w:rPr>
              <w:t>900-023-29</w:t>
            </w:r>
          </w:p>
        </w:tc>
        <w:tc>
          <w:tcPr>
            <w:tcW w:w="0" w:type="auto"/>
          </w:tcPr>
          <w:p w14:paraId="42AEBE62">
            <w:pPr>
              <w:pStyle w:val="31"/>
              <w:bidi w:val="0"/>
              <w:jc w:val="center"/>
              <w:rPr>
                <w:rFonts w:hint="default"/>
                <w:lang w:val="en-US" w:eastAsia="zh-CN"/>
              </w:rPr>
            </w:pPr>
            <w:r>
              <w:rPr>
                <w:rFonts w:hint="eastAsia"/>
                <w:lang w:val="en-US" w:eastAsia="zh-CN"/>
              </w:rPr>
              <w:t>0.003</w:t>
            </w:r>
          </w:p>
        </w:tc>
        <w:tc>
          <w:tcPr>
            <w:tcW w:w="969" w:type="pct"/>
            <w:vMerge w:val="continue"/>
          </w:tcPr>
          <w:p w14:paraId="1A13F550">
            <w:pPr>
              <w:pStyle w:val="31"/>
              <w:bidi w:val="0"/>
              <w:rPr>
                <w:rFonts w:hint="eastAsia"/>
                <w:lang w:val="en-US" w:eastAsia="zh-CN"/>
              </w:rPr>
            </w:pPr>
          </w:p>
        </w:tc>
        <w:tc>
          <w:tcPr>
            <w:tcW w:w="0" w:type="auto"/>
          </w:tcPr>
          <w:p w14:paraId="40D46CEF">
            <w:pPr>
              <w:pStyle w:val="31"/>
              <w:bidi w:val="0"/>
              <w:jc w:val="center"/>
              <w:rPr>
                <w:rFonts w:hint="default"/>
                <w:lang w:val="en-US" w:eastAsia="zh-CN"/>
              </w:rPr>
            </w:pPr>
            <w:r>
              <w:rPr>
                <w:rFonts w:hint="eastAsia"/>
                <w:lang w:val="en-US" w:eastAsia="zh-CN"/>
              </w:rPr>
              <w:t>0</w:t>
            </w:r>
          </w:p>
        </w:tc>
      </w:tr>
      <w:tr w14:paraId="51B13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858DA4E">
            <w:pPr>
              <w:pStyle w:val="31"/>
              <w:bidi w:val="0"/>
              <w:jc w:val="center"/>
              <w:rPr>
                <w:rFonts w:hint="default"/>
                <w:lang w:val="en-US" w:eastAsia="zh-CN"/>
              </w:rPr>
            </w:pPr>
            <w:r>
              <w:rPr>
                <w:rFonts w:hint="eastAsia"/>
                <w:lang w:val="en-US" w:eastAsia="zh-CN"/>
              </w:rPr>
              <w:t>15</w:t>
            </w:r>
          </w:p>
        </w:tc>
        <w:tc>
          <w:tcPr>
            <w:tcW w:w="0" w:type="auto"/>
            <w:shd w:val="clear" w:color="auto" w:fill="auto"/>
            <w:vAlign w:val="center"/>
          </w:tcPr>
          <w:p w14:paraId="570CE5E7">
            <w:pPr>
              <w:pStyle w:val="31"/>
              <w:bidi w:val="0"/>
              <w:ind w:firstLine="0" w:firstLineChars="0"/>
              <w:jc w:val="center"/>
              <w:rPr>
                <w:rFonts w:hint="default"/>
                <w:lang w:val="en-US" w:eastAsia="zh-CN"/>
              </w:rPr>
            </w:pPr>
            <w:r>
              <w:rPr>
                <w:rFonts w:hint="eastAsia"/>
                <w:lang w:val="en-US" w:eastAsia="zh-CN"/>
              </w:rPr>
              <w:t>废燃料油</w:t>
            </w:r>
          </w:p>
        </w:tc>
        <w:tc>
          <w:tcPr>
            <w:tcW w:w="482" w:type="pct"/>
            <w:vMerge w:val="continue"/>
          </w:tcPr>
          <w:p w14:paraId="022365F9">
            <w:pPr>
              <w:pStyle w:val="31"/>
              <w:bidi w:val="0"/>
              <w:jc w:val="center"/>
              <w:rPr>
                <w:rFonts w:hint="default"/>
                <w:lang w:val="en-US" w:eastAsia="zh-CN"/>
              </w:rPr>
            </w:pPr>
          </w:p>
        </w:tc>
        <w:tc>
          <w:tcPr>
            <w:tcW w:w="0" w:type="auto"/>
          </w:tcPr>
          <w:p w14:paraId="2F0519F1">
            <w:pPr>
              <w:pStyle w:val="31"/>
              <w:bidi w:val="0"/>
              <w:jc w:val="center"/>
              <w:rPr>
                <w:rFonts w:hint="default"/>
                <w:lang w:val="en-US" w:eastAsia="zh-CN"/>
              </w:rPr>
            </w:pPr>
            <w:r>
              <w:rPr>
                <w:rFonts w:hint="eastAsia"/>
                <w:lang w:val="en-US" w:eastAsia="zh-CN"/>
              </w:rPr>
              <w:t>900-221-08</w:t>
            </w:r>
          </w:p>
        </w:tc>
        <w:tc>
          <w:tcPr>
            <w:tcW w:w="0" w:type="auto"/>
          </w:tcPr>
          <w:p w14:paraId="14F72033">
            <w:pPr>
              <w:pStyle w:val="31"/>
              <w:bidi w:val="0"/>
              <w:jc w:val="center"/>
              <w:rPr>
                <w:rFonts w:hint="default"/>
                <w:lang w:val="en-US" w:eastAsia="zh-CN"/>
              </w:rPr>
            </w:pPr>
            <w:r>
              <w:rPr>
                <w:rFonts w:hint="eastAsia"/>
                <w:lang w:val="en-US" w:eastAsia="zh-CN"/>
              </w:rPr>
              <w:t>1.35</w:t>
            </w:r>
          </w:p>
        </w:tc>
        <w:tc>
          <w:tcPr>
            <w:tcW w:w="969" w:type="pct"/>
            <w:vMerge w:val="continue"/>
          </w:tcPr>
          <w:p w14:paraId="7FEA3329">
            <w:pPr>
              <w:pStyle w:val="31"/>
              <w:bidi w:val="0"/>
              <w:rPr>
                <w:rFonts w:hint="eastAsia"/>
                <w:lang w:val="en-US" w:eastAsia="zh-CN"/>
              </w:rPr>
            </w:pPr>
          </w:p>
        </w:tc>
        <w:tc>
          <w:tcPr>
            <w:tcW w:w="0" w:type="auto"/>
          </w:tcPr>
          <w:p w14:paraId="4D6B8435">
            <w:pPr>
              <w:pStyle w:val="31"/>
              <w:bidi w:val="0"/>
              <w:jc w:val="center"/>
              <w:rPr>
                <w:rFonts w:hint="default"/>
                <w:lang w:val="en-US" w:eastAsia="zh-CN"/>
              </w:rPr>
            </w:pPr>
            <w:r>
              <w:rPr>
                <w:rFonts w:hint="eastAsia"/>
                <w:lang w:val="en-US" w:eastAsia="zh-CN"/>
              </w:rPr>
              <w:t>0</w:t>
            </w:r>
          </w:p>
        </w:tc>
      </w:tr>
      <w:tr w14:paraId="1E9D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6F5E1B4">
            <w:pPr>
              <w:pStyle w:val="31"/>
              <w:bidi w:val="0"/>
              <w:jc w:val="center"/>
              <w:rPr>
                <w:rFonts w:hint="default"/>
                <w:lang w:val="en-US" w:eastAsia="zh-CN"/>
              </w:rPr>
            </w:pPr>
            <w:r>
              <w:rPr>
                <w:rFonts w:hint="eastAsia"/>
                <w:lang w:val="en-US" w:eastAsia="zh-CN"/>
              </w:rPr>
              <w:t>16</w:t>
            </w:r>
          </w:p>
        </w:tc>
        <w:tc>
          <w:tcPr>
            <w:tcW w:w="0" w:type="auto"/>
            <w:shd w:val="clear" w:color="auto" w:fill="auto"/>
            <w:vAlign w:val="center"/>
          </w:tcPr>
          <w:p w14:paraId="5A925D05">
            <w:pPr>
              <w:pStyle w:val="31"/>
              <w:bidi w:val="0"/>
              <w:ind w:firstLine="0" w:firstLineChars="0"/>
              <w:jc w:val="center"/>
              <w:rPr>
                <w:rFonts w:hint="default"/>
                <w:lang w:val="en-US" w:eastAsia="zh-CN"/>
              </w:rPr>
            </w:pPr>
            <w:r>
              <w:rPr>
                <w:rFonts w:hint="eastAsia"/>
                <w:lang w:val="en-US" w:eastAsia="zh-CN"/>
              </w:rPr>
              <w:t>废水处理站废油、污泥</w:t>
            </w:r>
          </w:p>
        </w:tc>
        <w:tc>
          <w:tcPr>
            <w:tcW w:w="482" w:type="pct"/>
            <w:vMerge w:val="continue"/>
          </w:tcPr>
          <w:p w14:paraId="7D5CDC2A">
            <w:pPr>
              <w:pStyle w:val="31"/>
              <w:bidi w:val="0"/>
              <w:jc w:val="center"/>
              <w:rPr>
                <w:rFonts w:hint="default"/>
                <w:lang w:val="en-US" w:eastAsia="zh-CN"/>
              </w:rPr>
            </w:pPr>
          </w:p>
        </w:tc>
        <w:tc>
          <w:tcPr>
            <w:tcW w:w="0" w:type="auto"/>
          </w:tcPr>
          <w:p w14:paraId="40F8D001">
            <w:pPr>
              <w:pStyle w:val="31"/>
              <w:bidi w:val="0"/>
              <w:jc w:val="center"/>
              <w:rPr>
                <w:rFonts w:hint="default"/>
                <w:lang w:val="en-US" w:eastAsia="zh-CN"/>
              </w:rPr>
            </w:pPr>
            <w:r>
              <w:rPr>
                <w:rFonts w:hint="eastAsia"/>
                <w:lang w:val="en-US" w:eastAsia="zh-CN"/>
              </w:rPr>
              <w:t>900-210-08</w:t>
            </w:r>
          </w:p>
        </w:tc>
        <w:tc>
          <w:tcPr>
            <w:tcW w:w="0" w:type="auto"/>
          </w:tcPr>
          <w:p w14:paraId="40929FDB">
            <w:pPr>
              <w:pStyle w:val="31"/>
              <w:bidi w:val="0"/>
              <w:jc w:val="center"/>
              <w:rPr>
                <w:rFonts w:hint="default"/>
                <w:lang w:val="en-US" w:eastAsia="zh-CN"/>
              </w:rPr>
            </w:pPr>
            <w:r>
              <w:rPr>
                <w:rFonts w:hint="eastAsia"/>
                <w:lang w:val="en-US" w:eastAsia="zh-CN"/>
              </w:rPr>
              <w:t>64.34</w:t>
            </w:r>
          </w:p>
        </w:tc>
        <w:tc>
          <w:tcPr>
            <w:tcW w:w="969" w:type="pct"/>
            <w:vMerge w:val="continue"/>
          </w:tcPr>
          <w:p w14:paraId="794A4E60">
            <w:pPr>
              <w:pStyle w:val="31"/>
              <w:bidi w:val="0"/>
              <w:rPr>
                <w:rFonts w:hint="eastAsia"/>
                <w:lang w:val="en-US" w:eastAsia="zh-CN"/>
              </w:rPr>
            </w:pPr>
          </w:p>
        </w:tc>
        <w:tc>
          <w:tcPr>
            <w:tcW w:w="0" w:type="auto"/>
          </w:tcPr>
          <w:p w14:paraId="49756258">
            <w:pPr>
              <w:pStyle w:val="31"/>
              <w:bidi w:val="0"/>
              <w:jc w:val="center"/>
              <w:rPr>
                <w:rFonts w:hint="default"/>
                <w:lang w:val="en-US" w:eastAsia="zh-CN"/>
              </w:rPr>
            </w:pPr>
            <w:r>
              <w:rPr>
                <w:rFonts w:hint="eastAsia"/>
                <w:lang w:val="en-US" w:eastAsia="zh-CN"/>
              </w:rPr>
              <w:t>0</w:t>
            </w:r>
          </w:p>
        </w:tc>
      </w:tr>
      <w:tr w14:paraId="3E3B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F52DAF5">
            <w:pPr>
              <w:pStyle w:val="31"/>
              <w:bidi w:val="0"/>
              <w:jc w:val="center"/>
              <w:rPr>
                <w:rFonts w:hint="default"/>
                <w:lang w:val="en-US" w:eastAsia="zh-CN"/>
              </w:rPr>
            </w:pPr>
            <w:r>
              <w:rPr>
                <w:rFonts w:hint="eastAsia"/>
                <w:lang w:val="en-US" w:eastAsia="zh-CN"/>
              </w:rPr>
              <w:t>17</w:t>
            </w:r>
          </w:p>
        </w:tc>
        <w:tc>
          <w:tcPr>
            <w:tcW w:w="0" w:type="auto"/>
            <w:shd w:val="clear" w:color="auto" w:fill="auto"/>
            <w:vAlign w:val="center"/>
          </w:tcPr>
          <w:p w14:paraId="6E8E9F92">
            <w:pPr>
              <w:pStyle w:val="31"/>
              <w:bidi w:val="0"/>
              <w:ind w:firstLine="0" w:firstLineChars="0"/>
              <w:jc w:val="center"/>
              <w:rPr>
                <w:rFonts w:hint="default"/>
                <w:lang w:val="en-US" w:eastAsia="zh-CN"/>
              </w:rPr>
            </w:pPr>
            <w:r>
              <w:rPr>
                <w:rFonts w:hint="eastAsia"/>
                <w:lang w:val="en-US" w:eastAsia="zh-CN"/>
              </w:rPr>
              <w:t>含油抹布及手套</w:t>
            </w:r>
          </w:p>
        </w:tc>
        <w:tc>
          <w:tcPr>
            <w:tcW w:w="482" w:type="pct"/>
            <w:vMerge w:val="continue"/>
          </w:tcPr>
          <w:p w14:paraId="539E628C">
            <w:pPr>
              <w:pStyle w:val="31"/>
              <w:bidi w:val="0"/>
              <w:jc w:val="center"/>
              <w:rPr>
                <w:rFonts w:hint="default"/>
                <w:lang w:val="en-US" w:eastAsia="zh-CN"/>
              </w:rPr>
            </w:pPr>
          </w:p>
        </w:tc>
        <w:tc>
          <w:tcPr>
            <w:tcW w:w="0" w:type="auto"/>
          </w:tcPr>
          <w:p w14:paraId="3416A4B0">
            <w:pPr>
              <w:pStyle w:val="31"/>
              <w:bidi w:val="0"/>
              <w:jc w:val="center"/>
              <w:rPr>
                <w:rFonts w:hint="default"/>
                <w:lang w:val="en-US" w:eastAsia="zh-CN"/>
              </w:rPr>
            </w:pPr>
            <w:r>
              <w:rPr>
                <w:rFonts w:hint="eastAsia"/>
                <w:lang w:val="en-US" w:eastAsia="zh-CN"/>
              </w:rPr>
              <w:t>900-041-49</w:t>
            </w:r>
          </w:p>
        </w:tc>
        <w:tc>
          <w:tcPr>
            <w:tcW w:w="0" w:type="auto"/>
          </w:tcPr>
          <w:p w14:paraId="409A4638">
            <w:pPr>
              <w:pStyle w:val="31"/>
              <w:bidi w:val="0"/>
              <w:jc w:val="center"/>
              <w:rPr>
                <w:rFonts w:hint="default"/>
                <w:lang w:val="en-US" w:eastAsia="zh-CN"/>
              </w:rPr>
            </w:pPr>
            <w:r>
              <w:rPr>
                <w:rFonts w:hint="eastAsia"/>
                <w:lang w:val="en-US" w:eastAsia="zh-CN"/>
              </w:rPr>
              <w:t>1</w:t>
            </w:r>
          </w:p>
        </w:tc>
        <w:tc>
          <w:tcPr>
            <w:tcW w:w="969" w:type="pct"/>
            <w:vMerge w:val="continue"/>
          </w:tcPr>
          <w:p w14:paraId="2F7A6027">
            <w:pPr>
              <w:pStyle w:val="31"/>
              <w:bidi w:val="0"/>
              <w:rPr>
                <w:rFonts w:hint="eastAsia"/>
                <w:lang w:val="en-US" w:eastAsia="zh-CN"/>
              </w:rPr>
            </w:pPr>
          </w:p>
        </w:tc>
        <w:tc>
          <w:tcPr>
            <w:tcW w:w="0" w:type="auto"/>
          </w:tcPr>
          <w:p w14:paraId="03C35ABE">
            <w:pPr>
              <w:pStyle w:val="31"/>
              <w:bidi w:val="0"/>
              <w:jc w:val="center"/>
              <w:rPr>
                <w:rFonts w:hint="default"/>
                <w:lang w:val="en-US" w:eastAsia="zh-CN"/>
              </w:rPr>
            </w:pPr>
            <w:r>
              <w:rPr>
                <w:rFonts w:hint="eastAsia"/>
                <w:lang w:val="en-US" w:eastAsia="zh-CN"/>
              </w:rPr>
              <w:t>0</w:t>
            </w:r>
          </w:p>
        </w:tc>
      </w:tr>
    </w:tbl>
    <w:p w14:paraId="3E5A9854">
      <w:pPr>
        <w:pStyle w:val="23"/>
        <w:bidi w:val="0"/>
        <w:rPr>
          <w:rFonts w:hint="default"/>
          <w:lang w:val="en-US" w:eastAsia="zh-CN"/>
        </w:rPr>
      </w:pPr>
      <w:r>
        <w:rPr>
          <w:rFonts w:hint="eastAsia"/>
          <w:lang w:val="en-US" w:eastAsia="zh-CN"/>
        </w:rPr>
        <w:t>表3.5-8  危险废物汇总表</w:t>
      </w:r>
    </w:p>
    <w:tbl>
      <w:tblPr>
        <w:tblStyle w:val="15"/>
        <w:tblW w:w="5000" w:type="pct"/>
        <w:tblInd w:w="0" w:type="dxa"/>
        <w:tblLayout w:type="autofit"/>
        <w:tblCellMar>
          <w:top w:w="0" w:type="dxa"/>
          <w:left w:w="108" w:type="dxa"/>
          <w:bottom w:w="0" w:type="dxa"/>
          <w:right w:w="108" w:type="dxa"/>
        </w:tblCellMar>
      </w:tblPr>
      <w:tblGrid>
        <w:gridCol w:w="675"/>
        <w:gridCol w:w="1575"/>
        <w:gridCol w:w="1127"/>
        <w:gridCol w:w="1132"/>
        <w:gridCol w:w="2460"/>
        <w:gridCol w:w="1575"/>
        <w:gridCol w:w="678"/>
        <w:gridCol w:w="1575"/>
        <w:gridCol w:w="1127"/>
        <w:gridCol w:w="902"/>
        <w:gridCol w:w="1348"/>
      </w:tblGrid>
      <w:tr w14:paraId="6D5937FF">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FF728">
            <w:pPr>
              <w:pStyle w:val="31"/>
            </w:pPr>
            <w:r>
              <w:t>序号</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B7B6">
            <w:pPr>
              <w:pStyle w:val="31"/>
            </w:pPr>
            <w:r>
              <w:t>危险废物名称</w:t>
            </w:r>
          </w:p>
        </w:tc>
        <w:tc>
          <w:tcPr>
            <w:tcW w:w="7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F99675">
            <w:pPr>
              <w:pStyle w:val="31"/>
            </w:pPr>
            <w:r>
              <w:t>产生位置及工序</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E026F">
            <w:pPr>
              <w:pStyle w:val="31"/>
            </w:pPr>
            <w:r>
              <w:t>危险废物类别</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046F2">
            <w:pPr>
              <w:pStyle w:val="31"/>
            </w:pPr>
            <w:r>
              <w:t>危险废物代码</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E9E08">
            <w:pPr>
              <w:pStyle w:val="31"/>
            </w:pPr>
            <w:r>
              <w:t>形态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19D3B">
            <w:pPr>
              <w:pStyle w:val="31"/>
            </w:pPr>
            <w:r>
              <w:t>有害成分</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9B1E1">
            <w:pPr>
              <w:pStyle w:val="31"/>
            </w:pPr>
            <w:r>
              <w:t>危险特性</w:t>
            </w:r>
          </w:p>
        </w:tc>
        <w:tc>
          <w:tcPr>
            <w:tcW w:w="318" w:type="pct"/>
            <w:tcBorders>
              <w:top w:val="single" w:color="000000" w:sz="4" w:space="0"/>
              <w:left w:val="single" w:color="000000" w:sz="4" w:space="0"/>
              <w:bottom w:val="single" w:color="000000" w:sz="4" w:space="0"/>
              <w:right w:val="single" w:color="000000" w:sz="4" w:space="0"/>
            </w:tcBorders>
            <w:shd w:val="clear" w:color="auto" w:fill="auto"/>
          </w:tcPr>
          <w:p w14:paraId="4519EF96">
            <w:pPr>
              <w:pStyle w:val="31"/>
            </w:pPr>
            <w:r>
              <w:t>产生量(t/a)</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9283C">
            <w:pPr>
              <w:pStyle w:val="31"/>
            </w:pPr>
            <w:r>
              <w:t>污染防措施</w:t>
            </w:r>
          </w:p>
        </w:tc>
      </w:tr>
      <w:tr w14:paraId="6F32E73C">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6264E">
            <w:pPr>
              <w:pStyle w:val="31"/>
              <w:rPr>
                <w:rFonts w:hint="eastAsia" w:eastAsia="宋体"/>
                <w:lang w:val="en-US" w:eastAsia="zh-CN"/>
              </w:rPr>
            </w:pPr>
            <w:r>
              <w:rPr>
                <w:rFonts w:hint="eastAsia"/>
                <w:lang w:val="en-US" w:eastAsia="zh-CN"/>
              </w:rPr>
              <w:t>1</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82AC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D9663">
            <w:pPr>
              <w:pStyle w:val="31"/>
              <w:rPr>
                <w:rFonts w:hint="eastAsia" w:eastAsia="宋体"/>
                <w:lang w:val="en-US" w:eastAsia="zh-CN"/>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F5777">
            <w:pPr>
              <w:pStyle w:val="31"/>
              <w:rPr>
                <w:rFonts w:hint="default" w:eastAsia="宋体"/>
                <w:lang w:val="en-US" w:eastAsia="zh-CN"/>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B41AE">
            <w:pPr>
              <w:pStyle w:val="31"/>
              <w:rPr>
                <w:rFonts w:hint="default" w:eastAsia="宋体"/>
                <w:lang w:val="en-US" w:eastAsia="zh-CN"/>
              </w:rPr>
            </w:pPr>
            <w:r>
              <w:rPr>
                <w:rFonts w:hint="eastAsia"/>
                <w:lang w:val="en-US" w:eastAsia="zh-CN"/>
              </w:rPr>
              <w:t>HW08废矿物油与含矿物油废物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374B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900-199-08</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0AB40">
            <w:pPr>
              <w:pStyle w:val="31"/>
              <w:rPr>
                <w:rFonts w:hint="default" w:eastAsia="宋体"/>
                <w:lang w:val="en-US" w:eastAsia="zh-CN"/>
              </w:rPr>
            </w:pPr>
            <w:r>
              <w:rPr>
                <w:rFonts w:hint="eastAsia"/>
                <w:lang w:val="en-US" w:eastAsia="zh-CN"/>
              </w:rPr>
              <w:t>液态、半固态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6A73E">
            <w:pPr>
              <w:pStyle w:val="31"/>
              <w:rPr>
                <w:rFonts w:hint="eastAsia" w:eastAsia="宋体"/>
                <w:lang w:val="en-US" w:eastAsia="zh-CN"/>
              </w:rPr>
            </w:pPr>
            <w:r>
              <w:rPr>
                <w:rFonts w:hint="eastAsia"/>
                <w:lang w:val="en-US" w:eastAsia="zh-CN"/>
              </w:rPr>
              <w:t>废矿物油</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ACC10">
            <w:pPr>
              <w:pStyle w:val="31"/>
              <w:rPr>
                <w:rFonts w:hint="default" w:eastAsia="宋体"/>
                <w:lang w:val="en-US" w:eastAsia="zh-CN"/>
              </w:rPr>
            </w:pPr>
            <w:r>
              <w:rPr>
                <w:rFonts w:hint="eastAsia"/>
                <w:lang w:val="en-US" w:eastAsia="zh-CN"/>
              </w:rPr>
              <w:t>T,I</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37A2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1D2DC">
            <w:pPr>
              <w:pStyle w:val="31"/>
              <w:rPr>
                <w:rFonts w:hint="default" w:eastAsia="宋体"/>
                <w:lang w:val="en-US" w:eastAsia="zh-CN"/>
              </w:rPr>
            </w:pPr>
            <w:r>
              <w:rPr>
                <w:rFonts w:hint="eastAsia"/>
                <w:lang w:val="en-US" w:eastAsia="zh-CN"/>
              </w:rPr>
              <w:t>分区贮存在危险废物暂存间，委托有资质单位处置</w:t>
            </w:r>
          </w:p>
        </w:tc>
      </w:tr>
      <w:tr w14:paraId="6BBC3DF7">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DD42C">
            <w:pPr>
              <w:pStyle w:val="31"/>
              <w:rPr>
                <w:rFonts w:hint="eastAsia" w:eastAsia="宋体"/>
                <w:lang w:val="en-US" w:eastAsia="zh-CN"/>
              </w:rPr>
            </w:pPr>
            <w:r>
              <w:rPr>
                <w:rFonts w:hint="eastAsia"/>
                <w:lang w:val="en-US" w:eastAsia="zh-CN"/>
              </w:rPr>
              <w:t>2</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15AB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16023">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21A1F">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vAlign w:val="center"/>
          </w:tcPr>
          <w:p w14:paraId="7CE0F764">
            <w:pPr>
              <w:pStyle w:val="31"/>
              <w:rPr>
                <w:rFonts w:hint="default" w:eastAsia="宋体"/>
                <w:lang w:val="en-US" w:eastAsia="zh-CN"/>
              </w:rPr>
            </w:pPr>
            <w:r>
              <w:rPr>
                <w:rFonts w:hint="eastAsia"/>
                <w:lang w:val="en-US" w:eastAsia="zh-CN"/>
              </w:rPr>
              <w:t>HW31含铅废物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5D7FB94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900-052-31</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2CB42">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C51E3">
            <w:pPr>
              <w:pStyle w:val="31"/>
              <w:rPr>
                <w:rFonts w:hint="default" w:eastAsia="宋体"/>
                <w:lang w:val="en-US" w:eastAsia="zh-CN"/>
              </w:rPr>
            </w:pPr>
            <w:r>
              <w:rPr>
                <w:rFonts w:hint="eastAsia"/>
                <w:lang w:val="en-US" w:eastAsia="zh-CN"/>
              </w:rPr>
              <w:t>铅及其化合物</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E19B4">
            <w:pPr>
              <w:pStyle w:val="31"/>
              <w:rPr>
                <w:rFonts w:hint="default" w:eastAsia="宋体"/>
                <w:lang w:val="en-US" w:eastAsia="zh-CN"/>
              </w:rPr>
            </w:pPr>
            <w:r>
              <w:rPr>
                <w:rFonts w:hint="eastAsia"/>
                <w:lang w:val="en-US" w:eastAsia="zh-CN"/>
              </w:rPr>
              <w:t>T/C</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6C7CD69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0C426F80">
            <w:pPr>
              <w:pStyle w:val="31"/>
            </w:pPr>
          </w:p>
        </w:tc>
      </w:tr>
      <w:tr w14:paraId="7B66B3EC">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21CF9">
            <w:pPr>
              <w:pStyle w:val="31"/>
              <w:rPr>
                <w:rFonts w:hint="eastAsia" w:eastAsia="宋体"/>
                <w:lang w:val="en-US" w:eastAsia="zh-CN"/>
              </w:rPr>
            </w:pPr>
            <w:r>
              <w:rPr>
                <w:rFonts w:hint="eastAsia"/>
                <w:lang w:val="en-US" w:eastAsia="zh-CN"/>
              </w:rPr>
              <w:t>3</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E5A3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6EC8E">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DED02">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A555F">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HW08废矿物油与含矿物油废物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75A9E9B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900-249-08</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7E0E8">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BEC71">
            <w:pPr>
              <w:pStyle w:val="31"/>
              <w:rPr>
                <w:rFonts w:hint="eastAsia" w:eastAsia="宋体"/>
                <w:lang w:val="en-US" w:eastAsia="zh-CN"/>
              </w:rPr>
            </w:pPr>
            <w:r>
              <w:rPr>
                <w:rFonts w:hint="eastAsia"/>
                <w:lang w:val="en-US" w:eastAsia="zh-CN"/>
              </w:rPr>
              <w:t>废矿物油</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A5B75">
            <w:pPr>
              <w:pStyle w:val="31"/>
            </w:pPr>
            <w:r>
              <w:rPr>
                <w:rFonts w:hint="eastAsia"/>
                <w:lang w:val="en-US" w:eastAsia="zh-CN"/>
              </w:rPr>
              <w:t>T,I</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6483580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1DD47A5B">
            <w:pPr>
              <w:pStyle w:val="31"/>
            </w:pPr>
          </w:p>
        </w:tc>
      </w:tr>
      <w:tr w14:paraId="729183F4">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14DC9">
            <w:pPr>
              <w:pStyle w:val="31"/>
              <w:rPr>
                <w:rFonts w:hint="eastAsia" w:eastAsia="宋体"/>
                <w:lang w:val="en-US" w:eastAsia="zh-CN"/>
              </w:rPr>
            </w:pPr>
            <w:r>
              <w:rPr>
                <w:rFonts w:hint="eastAsia"/>
                <w:lang w:val="en-US" w:eastAsia="zh-CN"/>
              </w:rPr>
              <w:t>4</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1E4F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废漆渣（剥落油漆/涂料碎片）</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ECD7">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FB96B">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8F205">
            <w:pPr>
              <w:pStyle w:val="31"/>
              <w:rPr>
                <w:rFonts w:hint="default" w:eastAsia="宋体"/>
                <w:lang w:val="en-US" w:eastAsia="zh-CN"/>
              </w:rPr>
            </w:pPr>
            <w:r>
              <w:rPr>
                <w:rFonts w:hint="eastAsia"/>
                <w:lang w:val="en-US" w:eastAsia="zh-CN"/>
              </w:rPr>
              <w:t>HW12染料、涂料废物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7E8993D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900-252-12</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979C4">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14C50">
            <w:pPr>
              <w:pStyle w:val="31"/>
              <w:rPr>
                <w:rFonts w:hint="default" w:eastAsia="宋体"/>
                <w:lang w:val="en-US" w:eastAsia="zh-CN"/>
              </w:rPr>
            </w:pPr>
            <w:r>
              <w:rPr>
                <w:rFonts w:hint="eastAsia"/>
                <w:lang w:val="en-US" w:eastAsia="zh-CN"/>
              </w:rPr>
              <w:t>废油漆、涂料</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9797E">
            <w:pPr>
              <w:pStyle w:val="31"/>
              <w:rPr>
                <w:rFonts w:hint="default" w:eastAsia="宋体"/>
                <w:lang w:val="en-US" w:eastAsia="zh-CN"/>
              </w:rPr>
            </w:pPr>
            <w:r>
              <w:rPr>
                <w:rFonts w:hint="eastAsia"/>
                <w:lang w:val="en-US" w:eastAsia="zh-CN"/>
              </w:rPr>
              <w:t>T,I</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3FD6CE3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0.094</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2EB1B5A0">
            <w:pPr>
              <w:pStyle w:val="31"/>
            </w:pPr>
          </w:p>
        </w:tc>
      </w:tr>
      <w:tr w14:paraId="69D28FED">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016C2">
            <w:pPr>
              <w:pStyle w:val="31"/>
              <w:rPr>
                <w:rFonts w:hint="eastAsia" w:eastAsia="宋体"/>
                <w:lang w:val="en-US" w:eastAsia="zh-CN"/>
              </w:rPr>
            </w:pPr>
            <w:r>
              <w:rPr>
                <w:rFonts w:hint="eastAsia"/>
                <w:lang w:val="en-US" w:eastAsia="zh-CN"/>
              </w:rPr>
              <w:t>5</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5F8B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2DE44">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5BEA2">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vAlign w:val="center"/>
          </w:tcPr>
          <w:p w14:paraId="1F0EFDDB">
            <w:pPr>
              <w:pStyle w:val="31"/>
              <w:rPr>
                <w:rFonts w:hint="default" w:eastAsia="宋体"/>
                <w:lang w:val="en-US" w:eastAsia="zh-CN"/>
              </w:rPr>
            </w:pPr>
            <w:r>
              <w:rPr>
                <w:rFonts w:hint="eastAsia"/>
                <w:lang w:val="en-US" w:eastAsia="zh-CN"/>
              </w:rPr>
              <w:t>HW36石棉废物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1D2D8C7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373-002-36</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22C6F">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F868C">
            <w:pPr>
              <w:pStyle w:val="31"/>
              <w:rPr>
                <w:rFonts w:hint="default" w:eastAsia="宋体"/>
                <w:lang w:val="en-US" w:eastAsia="zh-CN"/>
              </w:rPr>
            </w:pPr>
            <w:r>
              <w:rPr>
                <w:rFonts w:hint="eastAsia"/>
                <w:lang w:val="en-US" w:eastAsia="zh-CN"/>
              </w:rPr>
              <w:t>废石棉</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99C2D">
            <w:pPr>
              <w:pStyle w:val="31"/>
              <w:rPr>
                <w:rFonts w:hint="eastAsia" w:eastAsia="宋体"/>
                <w:lang w:val="en-US" w:eastAsia="zh-CN"/>
              </w:rPr>
            </w:pPr>
            <w:r>
              <w:rPr>
                <w:rFonts w:hint="eastAsia"/>
                <w:lang w:val="en-US" w:eastAsia="zh-CN"/>
              </w:rPr>
              <w:t>T</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5A6932C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10CED51E">
            <w:pPr>
              <w:pStyle w:val="31"/>
            </w:pPr>
          </w:p>
        </w:tc>
      </w:tr>
      <w:tr w14:paraId="6F9F7E93">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8617F">
            <w:pPr>
              <w:pStyle w:val="31"/>
              <w:rPr>
                <w:rFonts w:hint="eastAsia" w:eastAsia="宋体"/>
                <w:lang w:val="en-US" w:eastAsia="zh-CN"/>
              </w:rPr>
            </w:pPr>
            <w:r>
              <w:rPr>
                <w:rFonts w:hint="eastAsia"/>
                <w:lang w:val="en-US" w:eastAsia="zh-CN"/>
              </w:rPr>
              <w:t>6</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11C4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6B326">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38D1A">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vAlign w:val="center"/>
          </w:tcPr>
          <w:p w14:paraId="0268DF30">
            <w:pPr>
              <w:pStyle w:val="31"/>
              <w:rPr>
                <w:rFonts w:hint="default" w:eastAsia="宋体"/>
                <w:lang w:val="en-US" w:eastAsia="zh-CN"/>
              </w:rPr>
            </w:pPr>
            <w:r>
              <w:rPr>
                <w:rFonts w:hint="eastAsia"/>
                <w:lang w:val="en-US" w:eastAsia="zh-CN"/>
              </w:rPr>
              <w:t>HW49其他废物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0C46E58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900-045-49</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FD1D3">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14018">
            <w:pPr>
              <w:pStyle w:val="31"/>
              <w:rPr>
                <w:rFonts w:hint="default" w:eastAsia="宋体"/>
                <w:lang w:val="en-US" w:eastAsia="zh-CN"/>
              </w:rPr>
            </w:pPr>
            <w:r>
              <w:rPr>
                <w:rFonts w:hint="eastAsia"/>
                <w:lang w:val="en-US" w:eastAsia="zh-CN"/>
              </w:rPr>
              <w:t>废电路板及电子元器件</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4A901">
            <w:pPr>
              <w:pStyle w:val="31"/>
              <w:rPr>
                <w:rFonts w:hint="eastAsia" w:eastAsia="宋体"/>
                <w:lang w:val="en-US" w:eastAsia="zh-CN"/>
              </w:rPr>
            </w:pPr>
            <w:r>
              <w:rPr>
                <w:rFonts w:hint="eastAsia"/>
                <w:lang w:val="en-US" w:eastAsia="zh-CN"/>
              </w:rPr>
              <w:t>T</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6C546A1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7D779517">
            <w:pPr>
              <w:pStyle w:val="31"/>
            </w:pPr>
          </w:p>
        </w:tc>
      </w:tr>
      <w:tr w14:paraId="67982535">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7CAE8">
            <w:pPr>
              <w:pStyle w:val="31"/>
              <w:rPr>
                <w:rFonts w:hint="eastAsia" w:eastAsia="宋体"/>
                <w:lang w:val="en-US" w:eastAsia="zh-CN"/>
              </w:rPr>
            </w:pPr>
            <w:r>
              <w:rPr>
                <w:rFonts w:hint="eastAsia"/>
                <w:lang w:val="en-US" w:eastAsia="zh-CN"/>
              </w:rPr>
              <w:t>7</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009B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16661">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17A38">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A8E29">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HW49其他废物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07EC903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900-999-49</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649BB">
            <w:pPr>
              <w:pStyle w:val="31"/>
              <w:rPr>
                <w:rFonts w:hint="eastAsia" w:eastAsia="宋体"/>
                <w:lang w:val="en-US" w:eastAsia="zh-CN"/>
              </w:rPr>
            </w:pPr>
            <w:r>
              <w:rPr>
                <w:rFonts w:hint="eastAsia"/>
                <w:lang w:val="en-US" w:eastAsia="zh-CN"/>
              </w:rPr>
              <w:t>气态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74F0C">
            <w:pPr>
              <w:pStyle w:val="31"/>
              <w:rPr>
                <w:rFonts w:hint="eastAsia" w:eastAsia="宋体"/>
                <w:lang w:val="en-US" w:eastAsia="zh-CN"/>
              </w:rPr>
            </w:pPr>
            <w:r>
              <w:rPr>
                <w:rFonts w:hint="eastAsia"/>
                <w:lang w:val="en-US" w:eastAsia="zh-CN"/>
              </w:rPr>
              <w:t>有机卤代烃</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0371A">
            <w:pPr>
              <w:pStyle w:val="31"/>
              <w:rPr>
                <w:rFonts w:hint="default" w:eastAsia="宋体"/>
                <w:lang w:val="en-US" w:eastAsia="zh-CN"/>
              </w:rPr>
            </w:pPr>
            <w:r>
              <w:rPr>
                <w:rFonts w:hint="eastAsia"/>
                <w:lang w:val="en-US" w:eastAsia="zh-CN"/>
              </w:rPr>
              <w:t>T/C/R</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501EE60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4C6C08BD">
            <w:pPr>
              <w:pStyle w:val="31"/>
            </w:pPr>
          </w:p>
        </w:tc>
      </w:tr>
      <w:tr w14:paraId="1D8D4D52">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84755">
            <w:pPr>
              <w:pStyle w:val="31"/>
              <w:rPr>
                <w:rFonts w:hint="eastAsia" w:eastAsia="宋体"/>
                <w:lang w:val="en-US" w:eastAsia="zh-CN"/>
              </w:rPr>
            </w:pPr>
            <w:r>
              <w:rPr>
                <w:rFonts w:hint="eastAsia"/>
                <w:lang w:val="en-US" w:eastAsia="zh-CN"/>
              </w:rPr>
              <w:t>8</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562FE">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37F50">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8267B">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937CA">
            <w:pPr>
              <w:pStyle w:val="31"/>
              <w:rPr>
                <w:rFonts w:hint="default" w:eastAsia="宋体"/>
                <w:lang w:val="en-US" w:eastAsia="zh-CN"/>
              </w:rPr>
            </w:pPr>
            <w:r>
              <w:rPr>
                <w:rFonts w:hint="eastAsia"/>
                <w:lang w:val="en-US" w:eastAsia="zh-CN"/>
              </w:rPr>
              <w:t>HW29含汞废物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37EE2B0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900-023-29</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4B17C">
            <w:pPr>
              <w:pStyle w:val="31"/>
              <w:rPr>
                <w:rFonts w:hint="eastAsia" w:eastAsia="宋体"/>
                <w:lang w:val="en-US" w:eastAsia="zh-CN"/>
              </w:rPr>
            </w:pPr>
            <w:r>
              <w:rPr>
                <w:rFonts w:hint="eastAsia"/>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9C002">
            <w:pPr>
              <w:pStyle w:val="31"/>
              <w:rPr>
                <w:rFonts w:hint="default" w:eastAsia="宋体"/>
                <w:lang w:val="en-US" w:eastAsia="zh-CN"/>
              </w:rPr>
            </w:pPr>
            <w:r>
              <w:rPr>
                <w:rFonts w:hint="eastAsia"/>
                <w:lang w:val="en-US" w:eastAsia="zh-CN"/>
              </w:rPr>
              <w:t>汞及其化合物</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7DE07">
            <w:pPr>
              <w:pStyle w:val="31"/>
              <w:rPr>
                <w:rFonts w:hint="eastAsia" w:eastAsia="宋体"/>
                <w:lang w:val="en-US" w:eastAsia="zh-CN"/>
              </w:rPr>
            </w:pPr>
            <w:r>
              <w:rPr>
                <w:rFonts w:hint="eastAsia"/>
                <w:lang w:val="en-US" w:eastAsia="zh-CN"/>
              </w:rPr>
              <w:t>T</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21ED691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2BE57A30">
            <w:pPr>
              <w:pStyle w:val="31"/>
            </w:pPr>
          </w:p>
        </w:tc>
      </w:tr>
      <w:tr w14:paraId="4054F930">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BFA03">
            <w:pPr>
              <w:pStyle w:val="31"/>
              <w:rPr>
                <w:rFonts w:hint="eastAsia" w:eastAsia="宋体"/>
                <w:lang w:val="en-US" w:eastAsia="zh-CN"/>
              </w:rPr>
            </w:pPr>
            <w:r>
              <w:rPr>
                <w:rFonts w:hint="eastAsia"/>
                <w:lang w:val="en-US" w:eastAsia="zh-CN"/>
              </w:rPr>
              <w:t>9</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319E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废燃料油</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5CACC">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1D512">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7C8AA">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HW08废矿物油与含矿物油废物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0C09F34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900-221-08</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6DC9B">
            <w:pPr>
              <w:pStyle w:val="31"/>
              <w:rPr>
                <w:rFonts w:hint="eastAsia" w:eastAsia="宋体"/>
                <w:lang w:val="en-US" w:eastAsia="zh-CN"/>
              </w:rPr>
            </w:pPr>
            <w:r>
              <w:rPr>
                <w:rFonts w:hint="eastAsia"/>
                <w:lang w:val="en-US" w:eastAsia="zh-CN"/>
              </w:rPr>
              <w:t>液态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A2325">
            <w:pPr>
              <w:pStyle w:val="31"/>
              <w:rPr>
                <w:rFonts w:hint="eastAsia" w:eastAsia="宋体"/>
                <w:lang w:val="en-US" w:eastAsia="zh-CN"/>
              </w:rPr>
            </w:pPr>
            <w:r>
              <w:rPr>
                <w:rFonts w:hint="eastAsia"/>
                <w:lang w:val="en-US" w:eastAsia="zh-CN"/>
              </w:rPr>
              <w:t>废矿物油</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2E73A">
            <w:pPr>
              <w:pStyle w:val="31"/>
            </w:pPr>
            <w:r>
              <w:rPr>
                <w:rFonts w:hint="eastAsia"/>
                <w:lang w:val="en-US" w:eastAsia="zh-CN"/>
              </w:rPr>
              <w:t>T,I</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309DA36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2A920EF8">
            <w:pPr>
              <w:pStyle w:val="31"/>
            </w:pPr>
          </w:p>
        </w:tc>
      </w:tr>
      <w:tr w14:paraId="4A152CE8">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tcPr>
          <w:p w14:paraId="16E89004">
            <w:pPr>
              <w:pStyle w:val="31"/>
              <w:rPr>
                <w:rFonts w:hint="default" w:eastAsia="宋体"/>
                <w:lang w:val="en-US" w:eastAsia="zh-CN"/>
              </w:rPr>
            </w:pPr>
            <w:r>
              <w:rPr>
                <w:rFonts w:hint="eastAsia"/>
                <w:lang w:val="en-US" w:eastAsia="zh-CN"/>
              </w:rPr>
              <w:t>10</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99A4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废水处理站废油、污泥</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18CAA">
            <w:pPr>
              <w:pStyle w:val="31"/>
              <w:rPr>
                <w:rFonts w:hint="default" w:eastAsia="宋体"/>
                <w:lang w:val="en-US" w:eastAsia="zh-CN"/>
              </w:rPr>
            </w:pPr>
            <w:r>
              <w:rPr>
                <w:rFonts w:hint="eastAsia"/>
                <w:lang w:val="en-US" w:eastAsia="zh-CN"/>
              </w:rPr>
              <w:t>废水处理站</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DFFA5">
            <w:pPr>
              <w:pStyle w:val="31"/>
              <w:rPr>
                <w:rFonts w:hint="default" w:eastAsia="宋体"/>
                <w:lang w:val="en-US" w:eastAsia="zh-CN"/>
              </w:rPr>
            </w:pPr>
            <w:r>
              <w:rPr>
                <w:rFonts w:hint="eastAsia"/>
                <w:lang w:val="en-US" w:eastAsia="zh-CN"/>
              </w:rPr>
              <w:t>废水处理</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52506">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HW08废矿物油与含矿物油废物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5A3A26F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900-210-08</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62FD2">
            <w:pPr>
              <w:pStyle w:val="31"/>
              <w:rPr>
                <w:rFonts w:hint="default" w:eastAsia="宋体"/>
                <w:lang w:val="en-US" w:eastAsia="zh-CN"/>
              </w:rPr>
            </w:pPr>
            <w:r>
              <w:rPr>
                <w:rFonts w:hint="eastAsia"/>
                <w:lang w:val="en-US" w:eastAsia="zh-CN"/>
              </w:rPr>
              <w:t>液态、半固态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54D74">
            <w:pPr>
              <w:pStyle w:val="31"/>
              <w:rPr>
                <w:rFonts w:hint="eastAsia" w:eastAsia="宋体"/>
                <w:lang w:val="en-US" w:eastAsia="zh-CN"/>
              </w:rPr>
            </w:pPr>
            <w:r>
              <w:rPr>
                <w:rFonts w:hint="eastAsia"/>
                <w:lang w:val="en-US" w:eastAsia="zh-CN"/>
              </w:rPr>
              <w:t>废矿物油</w:t>
            </w:r>
          </w:p>
        </w:tc>
        <w:tc>
          <w:tcPr>
            <w:tcW w:w="397" w:type="pct"/>
            <w:tcBorders>
              <w:top w:val="single" w:color="000000" w:sz="4" w:space="0"/>
              <w:left w:val="single" w:color="000000" w:sz="4" w:space="0"/>
              <w:bottom w:val="single" w:color="000000" w:sz="4" w:space="0"/>
              <w:right w:val="single" w:color="000000" w:sz="4" w:space="0"/>
            </w:tcBorders>
            <w:shd w:val="clear" w:color="auto" w:fill="auto"/>
          </w:tcPr>
          <w:p w14:paraId="78C91D86">
            <w:pPr>
              <w:pStyle w:val="31"/>
            </w:pPr>
            <w:r>
              <w:rPr>
                <w:rFonts w:hint="eastAsia"/>
                <w:lang w:val="en-US" w:eastAsia="zh-CN"/>
              </w:rPr>
              <w:t>T,I</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567E9B5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5219FD3F">
            <w:pPr>
              <w:pStyle w:val="31"/>
            </w:pPr>
          </w:p>
        </w:tc>
      </w:tr>
      <w:tr w14:paraId="25218C49">
        <w:tblPrEx>
          <w:tblCellMar>
            <w:top w:w="0" w:type="dxa"/>
            <w:left w:w="108" w:type="dxa"/>
            <w:bottom w:w="0" w:type="dxa"/>
            <w:right w:w="108" w:type="dxa"/>
          </w:tblCellMar>
        </w:tblPrEx>
        <w:trPr>
          <w:trHeight w:val="23" w:hRule="atLeast"/>
        </w:trPr>
        <w:tc>
          <w:tcPr>
            <w:tcW w:w="238" w:type="pct"/>
            <w:tcBorders>
              <w:top w:val="single" w:color="000000" w:sz="4" w:space="0"/>
              <w:left w:val="single" w:color="000000" w:sz="4" w:space="0"/>
              <w:bottom w:val="single" w:color="000000" w:sz="4" w:space="0"/>
              <w:right w:val="single" w:color="000000" w:sz="4" w:space="0"/>
            </w:tcBorders>
            <w:shd w:val="clear" w:color="auto" w:fill="auto"/>
          </w:tcPr>
          <w:p w14:paraId="2968A403">
            <w:pPr>
              <w:pStyle w:val="31"/>
              <w:rPr>
                <w:rFonts w:hint="default" w:eastAsia="宋体"/>
                <w:lang w:val="en-US" w:eastAsia="zh-CN"/>
              </w:rPr>
            </w:pPr>
            <w:r>
              <w:rPr>
                <w:rFonts w:hint="eastAsia"/>
                <w:lang w:val="en-US" w:eastAsia="zh-CN"/>
              </w:rPr>
              <w:t>11</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8D7D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含油抹布及手套</w:t>
            </w:r>
          </w:p>
        </w:tc>
        <w:tc>
          <w:tcPr>
            <w:tcW w:w="397" w:type="pct"/>
            <w:tcBorders>
              <w:top w:val="single" w:color="000000" w:sz="4" w:space="0"/>
              <w:left w:val="single" w:color="000000" w:sz="4" w:space="0"/>
              <w:bottom w:val="single" w:color="000000" w:sz="4" w:space="0"/>
              <w:right w:val="single" w:color="000000" w:sz="4" w:space="0"/>
            </w:tcBorders>
            <w:shd w:val="clear" w:color="auto" w:fill="auto"/>
          </w:tcPr>
          <w:p w14:paraId="072E0BC9">
            <w:pPr>
              <w:pStyle w:val="31"/>
              <w:rPr>
                <w:rFonts w:hint="eastAsia" w:eastAsia="宋体"/>
                <w:lang w:val="en-US" w:eastAsia="zh-CN"/>
              </w:rPr>
            </w:pPr>
            <w:r>
              <w:rPr>
                <w:rFonts w:hint="eastAsia"/>
                <w:lang w:val="en-US" w:eastAsia="zh-CN"/>
              </w:rPr>
              <w:t>拆解区</w:t>
            </w:r>
          </w:p>
        </w:tc>
        <w:tc>
          <w:tcPr>
            <w:tcW w:w="399" w:type="pct"/>
            <w:tcBorders>
              <w:top w:val="single" w:color="000000" w:sz="4" w:space="0"/>
              <w:left w:val="single" w:color="000000" w:sz="4" w:space="0"/>
              <w:bottom w:val="single" w:color="000000" w:sz="4" w:space="0"/>
              <w:right w:val="single" w:color="000000" w:sz="4" w:space="0"/>
            </w:tcBorders>
            <w:shd w:val="clear" w:color="auto" w:fill="auto"/>
          </w:tcPr>
          <w:p w14:paraId="0C86D0F9">
            <w:pPr>
              <w:pStyle w:val="31"/>
              <w:rPr>
                <w:rFonts w:hint="default" w:eastAsia="宋体" w:cs="Times New Roman"/>
                <w:sz w:val="20"/>
                <w:szCs w:val="20"/>
                <w:lang w:val="en-US" w:eastAsia="zh-CN"/>
              </w:rPr>
            </w:pPr>
            <w:r>
              <w:rPr>
                <w:rFonts w:hint="eastAsia" w:eastAsia="宋体" w:cs="Times New Roman"/>
                <w:sz w:val="20"/>
                <w:szCs w:val="20"/>
                <w:lang w:val="en-US" w:eastAsia="zh-CN"/>
              </w:rPr>
              <w:t>船舶拆解</w:t>
            </w:r>
          </w:p>
        </w:tc>
        <w:tc>
          <w:tcPr>
            <w:tcW w:w="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BA7B7">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HW49其他废物</w:t>
            </w:r>
          </w:p>
        </w:tc>
        <w:tc>
          <w:tcPr>
            <w:tcW w:w="555" w:type="pct"/>
            <w:tcBorders>
              <w:top w:val="single" w:color="000000" w:sz="4" w:space="0"/>
              <w:left w:val="single" w:color="000000" w:sz="4" w:space="0"/>
              <w:bottom w:val="single" w:color="000000" w:sz="4" w:space="0"/>
              <w:right w:val="single" w:color="000000" w:sz="4" w:space="0"/>
            </w:tcBorders>
            <w:shd w:val="clear" w:color="auto" w:fill="auto"/>
            <w:vAlign w:val="top"/>
          </w:tcPr>
          <w:p w14:paraId="792DE75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900-041-49</w:t>
            </w:r>
          </w:p>
        </w:tc>
        <w:tc>
          <w:tcPr>
            <w:tcW w:w="239" w:type="pct"/>
            <w:tcBorders>
              <w:top w:val="single" w:color="000000" w:sz="4" w:space="0"/>
              <w:left w:val="single" w:color="000000" w:sz="4" w:space="0"/>
              <w:bottom w:val="single" w:color="000000" w:sz="4" w:space="0"/>
              <w:right w:val="single" w:color="000000" w:sz="4" w:space="0"/>
            </w:tcBorders>
            <w:shd w:val="clear" w:color="auto" w:fill="auto"/>
          </w:tcPr>
          <w:p w14:paraId="711159A9">
            <w:pPr>
              <w:pStyle w:val="31"/>
              <w:rPr>
                <w:rFonts w:hint="eastAsia" w:eastAsia="宋体" w:cs="Times New Roman"/>
                <w:sz w:val="20"/>
                <w:szCs w:val="20"/>
                <w:lang w:val="en-US" w:eastAsia="zh-CN"/>
              </w:rPr>
            </w:pPr>
            <w:r>
              <w:rPr>
                <w:rFonts w:hint="eastAsia" w:eastAsia="宋体" w:cs="Times New Roman"/>
                <w:sz w:val="20"/>
                <w:szCs w:val="20"/>
                <w:lang w:val="en-US" w:eastAsia="zh-CN"/>
              </w:rPr>
              <w:t>固态</w:t>
            </w:r>
          </w:p>
        </w:tc>
        <w:tc>
          <w:tcPr>
            <w:tcW w:w="555" w:type="pct"/>
            <w:tcBorders>
              <w:top w:val="single" w:color="000000" w:sz="4" w:space="0"/>
              <w:left w:val="single" w:color="000000" w:sz="4" w:space="0"/>
              <w:bottom w:val="single" w:color="000000" w:sz="4" w:space="0"/>
              <w:right w:val="single" w:color="000000" w:sz="4" w:space="0"/>
            </w:tcBorders>
            <w:shd w:val="clear" w:color="auto" w:fill="auto"/>
          </w:tcPr>
          <w:p w14:paraId="41A98CE0">
            <w:pPr>
              <w:pStyle w:val="31"/>
              <w:rPr>
                <w:rFonts w:hint="eastAsia" w:eastAsia="宋体" w:cs="Times New Roman"/>
                <w:sz w:val="20"/>
                <w:szCs w:val="20"/>
                <w:lang w:val="en-US" w:eastAsia="zh-CN"/>
              </w:rPr>
            </w:pPr>
            <w:r>
              <w:rPr>
                <w:rFonts w:hint="eastAsia" w:eastAsia="宋体" w:cs="Times New Roman"/>
                <w:sz w:val="20"/>
                <w:szCs w:val="20"/>
                <w:lang w:val="en-US" w:eastAsia="zh-CN"/>
              </w:rPr>
              <w:t>废矿物油</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E372E">
            <w:pPr>
              <w:pStyle w:val="31"/>
              <w:rPr>
                <w:rFonts w:hint="default" w:eastAsia="宋体"/>
                <w:lang w:val="en-US" w:eastAsia="zh-CN"/>
              </w:rPr>
            </w:pPr>
            <w:r>
              <w:rPr>
                <w:rFonts w:hint="eastAsia"/>
                <w:lang w:val="en-US" w:eastAsia="zh-CN"/>
              </w:rPr>
              <w:t>T/In</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top"/>
          </w:tcPr>
          <w:p w14:paraId="0AE7B65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w:t>
            </w:r>
          </w:p>
        </w:tc>
        <w:tc>
          <w:tcPr>
            <w:tcW w:w="475" w:type="pct"/>
            <w:vMerge w:val="continue"/>
            <w:tcBorders>
              <w:top w:val="single" w:color="000000" w:sz="4" w:space="0"/>
              <w:left w:val="single" w:color="000000" w:sz="4" w:space="0"/>
              <w:bottom w:val="single" w:color="000000" w:sz="4" w:space="0"/>
              <w:right w:val="single" w:color="000000" w:sz="4" w:space="0"/>
            </w:tcBorders>
            <w:vAlign w:val="center"/>
          </w:tcPr>
          <w:p w14:paraId="764A8D74">
            <w:pPr>
              <w:pStyle w:val="31"/>
            </w:pPr>
          </w:p>
        </w:tc>
      </w:tr>
    </w:tbl>
    <w:p w14:paraId="03094D36">
      <w:pPr>
        <w:pStyle w:val="23"/>
        <w:bidi w:val="0"/>
        <w:rPr>
          <w:rFonts w:hint="eastAsia"/>
          <w:lang w:val="en-US" w:eastAsia="zh-CN"/>
        </w:rPr>
      </w:pPr>
      <w:r>
        <w:rPr>
          <w:rFonts w:hint="eastAsia"/>
          <w:lang w:val="en-US" w:eastAsia="zh-CN"/>
        </w:rPr>
        <w:t>表3.5-9  危险废物贮存场所基本情况</w:t>
      </w:r>
    </w:p>
    <w:tbl>
      <w:tblPr>
        <w:tblStyle w:val="15"/>
        <w:tblW w:w="4999" w:type="pct"/>
        <w:tblInd w:w="0" w:type="dxa"/>
        <w:tblLayout w:type="autofit"/>
        <w:tblCellMar>
          <w:top w:w="0" w:type="dxa"/>
          <w:left w:w="108" w:type="dxa"/>
          <w:bottom w:w="0" w:type="dxa"/>
          <w:right w:w="108" w:type="dxa"/>
        </w:tblCellMar>
      </w:tblPr>
      <w:tblGrid>
        <w:gridCol w:w="4113"/>
        <w:gridCol w:w="2666"/>
        <w:gridCol w:w="1382"/>
        <w:gridCol w:w="931"/>
        <w:gridCol w:w="933"/>
        <w:gridCol w:w="1382"/>
        <w:gridCol w:w="1382"/>
        <w:gridCol w:w="1382"/>
      </w:tblGrid>
      <w:tr w14:paraId="07B74077">
        <w:tblPrEx>
          <w:tblCellMar>
            <w:top w:w="0" w:type="dxa"/>
            <w:left w:w="108" w:type="dxa"/>
            <w:bottom w:w="0" w:type="dxa"/>
            <w:right w:w="108" w:type="dxa"/>
          </w:tblCellMar>
        </w:tblPrEx>
        <w:trPr>
          <w:trHeight w:val="425"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76B24">
            <w:pPr>
              <w:pStyle w:val="31"/>
            </w:pPr>
            <w:r>
              <w:t>危险废物</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62BA2">
            <w:pPr>
              <w:pStyle w:val="31"/>
            </w:pPr>
            <w:r>
              <w:t>贮存场所(设施)名称</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49A61">
            <w:pPr>
              <w:pStyle w:val="31"/>
            </w:pPr>
            <w:r>
              <w:t>位置</w:t>
            </w:r>
          </w:p>
        </w:tc>
        <w:tc>
          <w:tcPr>
            <w:tcW w:w="6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4F249">
            <w:pPr>
              <w:pStyle w:val="31"/>
            </w:pPr>
            <w:r>
              <w:t>建筑面积(m²)</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9BE4C">
            <w:pPr>
              <w:pStyle w:val="31"/>
            </w:pPr>
            <w:r>
              <w:t>贮存方式</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63D15">
            <w:pPr>
              <w:pStyle w:val="31"/>
            </w:pPr>
            <w:r>
              <w:t>贮存能力</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20F70">
            <w:pPr>
              <w:pStyle w:val="31"/>
            </w:pPr>
            <w:r>
              <w:t>贮存周期</w:t>
            </w:r>
          </w:p>
        </w:tc>
      </w:tr>
      <w:tr w14:paraId="1F3C504D">
        <w:tblPrEx>
          <w:tblCellMar>
            <w:top w:w="0" w:type="dxa"/>
            <w:left w:w="108" w:type="dxa"/>
            <w:bottom w:w="0" w:type="dxa"/>
            <w:right w:w="108" w:type="dxa"/>
          </w:tblCellMar>
        </w:tblPrEx>
        <w:trPr>
          <w:trHeight w:val="470"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0C39D">
            <w:pPr>
              <w:pStyle w:val="31"/>
            </w:pPr>
            <w:r>
              <w:t>HW08废矿物油与含矿物油废物</w:t>
            </w:r>
          </w:p>
        </w:tc>
        <w:tc>
          <w:tcPr>
            <w:tcW w:w="9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D2239">
            <w:pPr>
              <w:pStyle w:val="31"/>
            </w:pPr>
            <w:r>
              <w:t>危废贮存间</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A6A36B">
            <w:pPr>
              <w:pStyle w:val="31"/>
            </w:pPr>
            <w:r>
              <w:t>船台北侧</w:t>
            </w:r>
          </w:p>
        </w:tc>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D8415A">
            <w:pPr>
              <w:pStyle w:val="31"/>
              <w:rPr>
                <w:rFonts w:hint="default" w:eastAsia="宋体"/>
                <w:lang w:val="en-US" w:eastAsia="zh-CN"/>
              </w:rPr>
            </w:pPr>
            <w:r>
              <w:rPr>
                <w:rFonts w:hint="eastAsia"/>
                <w:lang w:val="en-US" w:eastAsia="zh-CN"/>
              </w:rPr>
              <w:t>20</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9C96D">
            <w:pPr>
              <w:pStyle w:val="31"/>
              <w:rPr>
                <w:rFonts w:hint="default" w:eastAsia="宋体"/>
                <w:lang w:val="en-US" w:eastAsia="zh-CN"/>
              </w:rPr>
            </w:pPr>
            <w:r>
              <w:rPr>
                <w:rFonts w:hint="eastAsia"/>
                <w:lang w:val="en-US" w:eastAsia="zh-CN"/>
              </w:rPr>
              <w:t>10</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FC860">
            <w:pPr>
              <w:pStyle w:val="31"/>
            </w:pPr>
            <w:r>
              <w:t>桶装</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C6EAEE">
            <w:pPr>
              <w:pStyle w:val="31"/>
            </w:pPr>
            <w:r>
              <w:rPr>
                <w:rFonts w:hint="eastAsia"/>
                <w:lang w:val="en-US" w:eastAsia="zh-CN"/>
              </w:rPr>
              <w:t>40</w:t>
            </w:r>
            <w:r>
              <w:t>t</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2FA791">
            <w:pPr>
              <w:pStyle w:val="31"/>
            </w:pPr>
            <w:r>
              <w:t>0.5年</w:t>
            </w:r>
          </w:p>
        </w:tc>
      </w:tr>
      <w:tr w14:paraId="4DFF795B">
        <w:tblPrEx>
          <w:tblCellMar>
            <w:top w:w="0" w:type="dxa"/>
            <w:left w:w="108" w:type="dxa"/>
            <w:bottom w:w="0" w:type="dxa"/>
            <w:right w:w="108" w:type="dxa"/>
          </w:tblCellMar>
        </w:tblPrEx>
        <w:trPr>
          <w:trHeight w:val="470"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15FA7">
            <w:pPr>
              <w:pStyle w:val="31"/>
            </w:pPr>
            <w:r>
              <w:t>HW12染料、涂料废物</w:t>
            </w:r>
          </w:p>
        </w:tc>
        <w:tc>
          <w:tcPr>
            <w:tcW w:w="940" w:type="pct"/>
            <w:vMerge w:val="continue"/>
            <w:tcBorders>
              <w:top w:val="single" w:color="000000" w:sz="4" w:space="0"/>
              <w:left w:val="single" w:color="000000" w:sz="4" w:space="0"/>
              <w:bottom w:val="single" w:color="000000" w:sz="4" w:space="0"/>
              <w:right w:val="single" w:color="000000" w:sz="4" w:space="0"/>
            </w:tcBorders>
            <w:vAlign w:val="center"/>
          </w:tcPr>
          <w:p w14:paraId="4C1F8706">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708BC698">
            <w:pPr>
              <w:pStyle w:val="31"/>
            </w:pPr>
          </w:p>
        </w:tc>
        <w:tc>
          <w:tcPr>
            <w:tcW w:w="328" w:type="pct"/>
            <w:vMerge w:val="continue"/>
            <w:tcBorders>
              <w:top w:val="single" w:color="000000" w:sz="4" w:space="0"/>
              <w:left w:val="single" w:color="000000" w:sz="4" w:space="0"/>
              <w:bottom w:val="single" w:color="000000" w:sz="4" w:space="0"/>
              <w:right w:val="single" w:color="000000" w:sz="4" w:space="0"/>
            </w:tcBorders>
            <w:vAlign w:val="center"/>
          </w:tcPr>
          <w:p w14:paraId="3D4EB81E">
            <w:pPr>
              <w:pStyle w:val="31"/>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DF22F">
            <w:pPr>
              <w:pStyle w:val="31"/>
              <w:rPr>
                <w:rFonts w:hint="eastAsia" w:eastAsia="宋体"/>
                <w:lang w:val="en-US" w:eastAsia="zh-CN"/>
              </w:rPr>
            </w:pPr>
            <w:r>
              <w:rPr>
                <w:rFonts w:hint="eastAsia"/>
                <w:lang w:val="en-US" w:eastAsia="zh-CN"/>
              </w:rPr>
              <w:t>1</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A3D54">
            <w:pPr>
              <w:pStyle w:val="31"/>
            </w:pPr>
            <w:r>
              <w:t>袋装</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0E0F7E9C">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0378D7E7">
            <w:pPr>
              <w:pStyle w:val="31"/>
            </w:pPr>
          </w:p>
        </w:tc>
      </w:tr>
      <w:tr w14:paraId="600772F7">
        <w:tblPrEx>
          <w:tblCellMar>
            <w:top w:w="0" w:type="dxa"/>
            <w:left w:w="108" w:type="dxa"/>
            <w:bottom w:w="0" w:type="dxa"/>
            <w:right w:w="108" w:type="dxa"/>
          </w:tblCellMar>
        </w:tblPrEx>
        <w:trPr>
          <w:trHeight w:val="460"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F79FD">
            <w:pPr>
              <w:pStyle w:val="31"/>
            </w:pPr>
            <w:r>
              <w:t>HW29含汞废物</w:t>
            </w:r>
          </w:p>
        </w:tc>
        <w:tc>
          <w:tcPr>
            <w:tcW w:w="940" w:type="pct"/>
            <w:vMerge w:val="continue"/>
            <w:tcBorders>
              <w:top w:val="single" w:color="000000" w:sz="4" w:space="0"/>
              <w:left w:val="single" w:color="000000" w:sz="4" w:space="0"/>
              <w:bottom w:val="single" w:color="000000" w:sz="4" w:space="0"/>
              <w:right w:val="single" w:color="000000" w:sz="4" w:space="0"/>
            </w:tcBorders>
            <w:vAlign w:val="center"/>
          </w:tcPr>
          <w:p w14:paraId="0457C843">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36AA74A7">
            <w:pPr>
              <w:pStyle w:val="31"/>
            </w:pPr>
          </w:p>
        </w:tc>
        <w:tc>
          <w:tcPr>
            <w:tcW w:w="328" w:type="pct"/>
            <w:vMerge w:val="continue"/>
            <w:tcBorders>
              <w:top w:val="single" w:color="000000" w:sz="4" w:space="0"/>
              <w:left w:val="single" w:color="000000" w:sz="4" w:space="0"/>
              <w:bottom w:val="single" w:color="000000" w:sz="4" w:space="0"/>
              <w:right w:val="single" w:color="000000" w:sz="4" w:space="0"/>
            </w:tcBorders>
            <w:vAlign w:val="center"/>
          </w:tcPr>
          <w:p w14:paraId="4449FAFE">
            <w:pPr>
              <w:pStyle w:val="31"/>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A1831">
            <w:pPr>
              <w:pStyle w:val="31"/>
              <w:rPr>
                <w:rFonts w:hint="eastAsia" w:eastAsia="宋体"/>
                <w:lang w:val="en-US" w:eastAsia="zh-CN"/>
              </w:rPr>
            </w:pPr>
            <w:r>
              <w:rPr>
                <w:rFonts w:hint="eastAsia"/>
                <w:lang w:val="en-US" w:eastAsia="zh-CN"/>
              </w:rPr>
              <w:t>1</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EB152">
            <w:pPr>
              <w:pStyle w:val="31"/>
            </w:pPr>
            <w:r>
              <w:t>袋装</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4B5588D4">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2B6F1864">
            <w:pPr>
              <w:pStyle w:val="31"/>
            </w:pPr>
          </w:p>
        </w:tc>
      </w:tr>
      <w:tr w14:paraId="48F89CDB">
        <w:tblPrEx>
          <w:tblCellMar>
            <w:top w:w="0" w:type="dxa"/>
            <w:left w:w="108" w:type="dxa"/>
            <w:bottom w:w="0" w:type="dxa"/>
            <w:right w:w="108" w:type="dxa"/>
          </w:tblCellMar>
        </w:tblPrEx>
        <w:trPr>
          <w:trHeight w:val="470"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2683E">
            <w:pPr>
              <w:pStyle w:val="31"/>
            </w:pPr>
            <w:r>
              <w:t>HW31含铅废物</w:t>
            </w:r>
          </w:p>
        </w:tc>
        <w:tc>
          <w:tcPr>
            <w:tcW w:w="940" w:type="pct"/>
            <w:vMerge w:val="continue"/>
            <w:tcBorders>
              <w:top w:val="single" w:color="000000" w:sz="4" w:space="0"/>
              <w:left w:val="single" w:color="000000" w:sz="4" w:space="0"/>
              <w:bottom w:val="single" w:color="000000" w:sz="4" w:space="0"/>
              <w:right w:val="single" w:color="000000" w:sz="4" w:space="0"/>
            </w:tcBorders>
            <w:vAlign w:val="center"/>
          </w:tcPr>
          <w:p w14:paraId="5AF5C553">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219FE0D7">
            <w:pPr>
              <w:pStyle w:val="31"/>
            </w:pPr>
          </w:p>
        </w:tc>
        <w:tc>
          <w:tcPr>
            <w:tcW w:w="328" w:type="pct"/>
            <w:vMerge w:val="continue"/>
            <w:tcBorders>
              <w:top w:val="single" w:color="000000" w:sz="4" w:space="0"/>
              <w:left w:val="single" w:color="000000" w:sz="4" w:space="0"/>
              <w:bottom w:val="single" w:color="000000" w:sz="4" w:space="0"/>
              <w:right w:val="single" w:color="000000" w:sz="4" w:space="0"/>
            </w:tcBorders>
            <w:vAlign w:val="center"/>
          </w:tcPr>
          <w:p w14:paraId="0D8149DC">
            <w:pPr>
              <w:pStyle w:val="31"/>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4EFA">
            <w:pPr>
              <w:pStyle w:val="31"/>
              <w:rPr>
                <w:rFonts w:hint="eastAsia" w:eastAsia="宋体"/>
                <w:lang w:val="en-US" w:eastAsia="zh-CN"/>
              </w:rPr>
            </w:pPr>
            <w:r>
              <w:rPr>
                <w:rFonts w:hint="eastAsia"/>
                <w:lang w:val="en-US" w:eastAsia="zh-CN"/>
              </w:rPr>
              <w:t>1</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B47C7">
            <w:pPr>
              <w:pStyle w:val="31"/>
            </w:pPr>
            <w:r>
              <w:t>塑料桶装</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49FD6260">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18B3E8D9">
            <w:pPr>
              <w:pStyle w:val="31"/>
            </w:pPr>
          </w:p>
        </w:tc>
      </w:tr>
      <w:tr w14:paraId="73F2D664">
        <w:tblPrEx>
          <w:tblCellMar>
            <w:top w:w="0" w:type="dxa"/>
            <w:left w:w="108" w:type="dxa"/>
            <w:bottom w:w="0" w:type="dxa"/>
            <w:right w:w="108" w:type="dxa"/>
          </w:tblCellMar>
        </w:tblPrEx>
        <w:trPr>
          <w:trHeight w:val="460"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6571A">
            <w:pPr>
              <w:pStyle w:val="31"/>
            </w:pPr>
            <w:r>
              <w:t>HW36石棉废物</w:t>
            </w:r>
          </w:p>
        </w:tc>
        <w:tc>
          <w:tcPr>
            <w:tcW w:w="940" w:type="pct"/>
            <w:vMerge w:val="continue"/>
            <w:tcBorders>
              <w:top w:val="single" w:color="000000" w:sz="4" w:space="0"/>
              <w:left w:val="single" w:color="000000" w:sz="4" w:space="0"/>
              <w:bottom w:val="single" w:color="000000" w:sz="4" w:space="0"/>
              <w:right w:val="single" w:color="000000" w:sz="4" w:space="0"/>
            </w:tcBorders>
            <w:vAlign w:val="center"/>
          </w:tcPr>
          <w:p w14:paraId="7C68363E">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44F5D266">
            <w:pPr>
              <w:pStyle w:val="31"/>
            </w:pPr>
          </w:p>
        </w:tc>
        <w:tc>
          <w:tcPr>
            <w:tcW w:w="328" w:type="pct"/>
            <w:vMerge w:val="continue"/>
            <w:tcBorders>
              <w:top w:val="single" w:color="000000" w:sz="4" w:space="0"/>
              <w:left w:val="single" w:color="000000" w:sz="4" w:space="0"/>
              <w:bottom w:val="single" w:color="000000" w:sz="4" w:space="0"/>
              <w:right w:val="single" w:color="000000" w:sz="4" w:space="0"/>
            </w:tcBorders>
            <w:vAlign w:val="center"/>
          </w:tcPr>
          <w:p w14:paraId="25955FDC">
            <w:pPr>
              <w:pStyle w:val="31"/>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02021">
            <w:pPr>
              <w:pStyle w:val="31"/>
              <w:rPr>
                <w:rFonts w:hint="eastAsia" w:eastAsia="宋体"/>
                <w:lang w:val="en-US" w:eastAsia="zh-CN"/>
              </w:rPr>
            </w:pPr>
            <w:r>
              <w:rPr>
                <w:rFonts w:hint="eastAsia"/>
                <w:lang w:val="en-US" w:eastAsia="zh-CN"/>
              </w:rPr>
              <w:t>1</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B355D">
            <w:pPr>
              <w:pStyle w:val="31"/>
            </w:pPr>
            <w:r>
              <w:t>双层袋装</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6D8B24B2">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0E0BC0DF">
            <w:pPr>
              <w:pStyle w:val="31"/>
            </w:pPr>
          </w:p>
        </w:tc>
      </w:tr>
      <w:tr w14:paraId="70EFCE2E">
        <w:tblPrEx>
          <w:tblCellMar>
            <w:top w:w="0" w:type="dxa"/>
            <w:left w:w="108" w:type="dxa"/>
            <w:bottom w:w="0" w:type="dxa"/>
            <w:right w:w="108" w:type="dxa"/>
          </w:tblCellMar>
        </w:tblPrEx>
        <w:trPr>
          <w:trHeight w:val="435" w:hRule="atLeast"/>
        </w:trPr>
        <w:tc>
          <w:tcPr>
            <w:tcW w:w="1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7C10D">
            <w:pPr>
              <w:pStyle w:val="31"/>
            </w:pPr>
            <w:r>
              <w:t>HW49其他废物</w:t>
            </w:r>
          </w:p>
        </w:tc>
        <w:tc>
          <w:tcPr>
            <w:tcW w:w="940" w:type="pct"/>
            <w:vMerge w:val="continue"/>
            <w:tcBorders>
              <w:top w:val="single" w:color="000000" w:sz="4" w:space="0"/>
              <w:left w:val="single" w:color="000000" w:sz="4" w:space="0"/>
              <w:bottom w:val="single" w:color="000000" w:sz="4" w:space="0"/>
              <w:right w:val="single" w:color="000000" w:sz="4" w:space="0"/>
            </w:tcBorders>
            <w:vAlign w:val="center"/>
          </w:tcPr>
          <w:p w14:paraId="1855D9FB">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309825E3">
            <w:pPr>
              <w:pStyle w:val="31"/>
            </w:pPr>
          </w:p>
        </w:tc>
        <w:tc>
          <w:tcPr>
            <w:tcW w:w="328" w:type="pct"/>
            <w:vMerge w:val="continue"/>
            <w:tcBorders>
              <w:top w:val="single" w:color="000000" w:sz="4" w:space="0"/>
              <w:left w:val="single" w:color="000000" w:sz="4" w:space="0"/>
              <w:bottom w:val="single" w:color="000000" w:sz="4" w:space="0"/>
              <w:right w:val="single" w:color="000000" w:sz="4" w:space="0"/>
            </w:tcBorders>
            <w:vAlign w:val="center"/>
          </w:tcPr>
          <w:p w14:paraId="57F235AD">
            <w:pPr>
              <w:pStyle w:val="31"/>
            </w:pP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890A4">
            <w:pPr>
              <w:pStyle w:val="31"/>
              <w:rPr>
                <w:rFonts w:hint="eastAsia" w:eastAsia="宋体"/>
                <w:lang w:val="en-US" w:eastAsia="zh-CN"/>
              </w:rPr>
            </w:pPr>
            <w:r>
              <w:rPr>
                <w:rFonts w:hint="eastAsia"/>
                <w:lang w:val="en-US" w:eastAsia="zh-CN"/>
              </w:rPr>
              <w:t>1</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2213E">
            <w:pPr>
              <w:pStyle w:val="31"/>
            </w:pPr>
            <w:r>
              <w:t>袋装</w:t>
            </w: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26C1F083">
            <w:pPr>
              <w:pStyle w:val="31"/>
            </w:pPr>
          </w:p>
        </w:tc>
        <w:tc>
          <w:tcPr>
            <w:tcW w:w="487" w:type="pct"/>
            <w:vMerge w:val="continue"/>
            <w:tcBorders>
              <w:top w:val="single" w:color="000000" w:sz="4" w:space="0"/>
              <w:left w:val="single" w:color="000000" w:sz="4" w:space="0"/>
              <w:bottom w:val="single" w:color="000000" w:sz="4" w:space="0"/>
              <w:right w:val="single" w:color="000000" w:sz="4" w:space="0"/>
            </w:tcBorders>
            <w:vAlign w:val="center"/>
          </w:tcPr>
          <w:p w14:paraId="793492C7">
            <w:pPr>
              <w:pStyle w:val="31"/>
            </w:pPr>
          </w:p>
        </w:tc>
      </w:tr>
    </w:tbl>
    <w:p w14:paraId="42E3798F">
      <w:pPr>
        <w:pStyle w:val="33"/>
        <w:rPr>
          <w:rFonts w:hint="eastAsia"/>
        </w:rPr>
      </w:pPr>
      <w:bookmarkStart w:id="119" w:name="_Toc23030"/>
      <w:r>
        <w:rPr>
          <w:rFonts w:hint="eastAsia"/>
        </w:rPr>
        <w:t>3.</w:t>
      </w:r>
      <w:r>
        <w:rPr>
          <w:rFonts w:hint="eastAsia"/>
          <w:lang w:val="en-US" w:eastAsia="zh-CN"/>
        </w:rPr>
        <w:t>5</w:t>
      </w:r>
      <w:r>
        <w:rPr>
          <w:rFonts w:hint="eastAsia"/>
        </w:rPr>
        <w:t>.5</w:t>
      </w:r>
      <w:r>
        <w:rPr>
          <w:rFonts w:hint="eastAsia"/>
          <w:lang w:val="en-US" w:eastAsia="zh-CN"/>
        </w:rPr>
        <w:t>扩建工程</w:t>
      </w:r>
      <w:r>
        <w:rPr>
          <w:rFonts w:hint="eastAsia"/>
        </w:rPr>
        <w:t>污染源强汇总</w:t>
      </w:r>
      <w:bookmarkEnd w:id="119"/>
    </w:p>
    <w:p w14:paraId="1F583F4B">
      <w:pPr>
        <w:pStyle w:val="23"/>
        <w:bidi w:val="0"/>
        <w:rPr>
          <w:rFonts w:hint="eastAsia"/>
          <w:lang w:val="en-US" w:eastAsia="zh-CN"/>
        </w:rPr>
      </w:pPr>
      <w:r>
        <w:rPr>
          <w:rFonts w:hint="eastAsia"/>
          <w:lang w:val="en-US" w:eastAsia="zh-CN"/>
        </w:rPr>
        <w:t>表3.5-10  扩建工程污染源强汇总</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0"/>
        <w:gridCol w:w="1257"/>
        <w:gridCol w:w="3206"/>
        <w:gridCol w:w="1515"/>
        <w:gridCol w:w="3963"/>
        <w:gridCol w:w="1362"/>
        <w:gridCol w:w="1731"/>
      </w:tblGrid>
      <w:tr w14:paraId="4C5C2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 w:type="pct"/>
            <w:gridSpan w:val="2"/>
            <w:vAlign w:val="center"/>
          </w:tcPr>
          <w:p w14:paraId="5A36E209">
            <w:pPr>
              <w:pStyle w:val="31"/>
              <w:bidi w:val="0"/>
              <w:jc w:val="center"/>
              <w:rPr>
                <w:rFonts w:hint="eastAsia"/>
                <w:lang w:val="en-US" w:eastAsia="zh-CN"/>
              </w:rPr>
            </w:pPr>
            <w:r>
              <w:rPr>
                <w:rFonts w:hint="eastAsia"/>
                <w:lang w:val="en-US" w:eastAsia="zh-CN"/>
              </w:rPr>
              <w:t>类别</w:t>
            </w:r>
          </w:p>
        </w:tc>
        <w:tc>
          <w:tcPr>
            <w:tcW w:w="1130" w:type="pct"/>
            <w:vAlign w:val="center"/>
          </w:tcPr>
          <w:p w14:paraId="300AC28A">
            <w:pPr>
              <w:pStyle w:val="31"/>
              <w:bidi w:val="0"/>
              <w:jc w:val="center"/>
              <w:rPr>
                <w:rFonts w:hint="default"/>
                <w:lang w:val="en-US" w:eastAsia="zh-CN"/>
              </w:rPr>
            </w:pPr>
            <w:r>
              <w:rPr>
                <w:rFonts w:hint="eastAsia"/>
                <w:lang w:val="en-US" w:eastAsia="zh-CN"/>
              </w:rPr>
              <w:t>污染物名称</w:t>
            </w:r>
          </w:p>
        </w:tc>
        <w:tc>
          <w:tcPr>
            <w:tcW w:w="534" w:type="pct"/>
            <w:vAlign w:val="center"/>
          </w:tcPr>
          <w:p w14:paraId="433DD4AB">
            <w:pPr>
              <w:pStyle w:val="31"/>
              <w:bidi w:val="0"/>
              <w:jc w:val="center"/>
              <w:rPr>
                <w:rFonts w:hint="default"/>
                <w:lang w:val="en-US" w:eastAsia="zh-CN"/>
              </w:rPr>
            </w:pPr>
            <w:r>
              <w:rPr>
                <w:rFonts w:hint="eastAsia"/>
                <w:lang w:val="en-US" w:eastAsia="zh-CN"/>
              </w:rPr>
              <w:t>产生量t/a</w:t>
            </w:r>
          </w:p>
        </w:tc>
        <w:tc>
          <w:tcPr>
            <w:tcW w:w="1397" w:type="pct"/>
            <w:vAlign w:val="center"/>
          </w:tcPr>
          <w:p w14:paraId="013296AD">
            <w:pPr>
              <w:pStyle w:val="31"/>
              <w:bidi w:val="0"/>
              <w:jc w:val="center"/>
              <w:rPr>
                <w:rFonts w:hint="default"/>
                <w:lang w:val="en-US" w:eastAsia="zh-CN"/>
              </w:rPr>
            </w:pPr>
            <w:r>
              <w:rPr>
                <w:rFonts w:hint="eastAsia"/>
                <w:lang w:val="en-US" w:eastAsia="zh-CN"/>
              </w:rPr>
              <w:t>处理措施</w:t>
            </w:r>
          </w:p>
        </w:tc>
        <w:tc>
          <w:tcPr>
            <w:tcW w:w="480" w:type="pct"/>
            <w:vAlign w:val="center"/>
          </w:tcPr>
          <w:p w14:paraId="0410933B">
            <w:pPr>
              <w:pStyle w:val="31"/>
              <w:bidi w:val="0"/>
              <w:jc w:val="center"/>
              <w:rPr>
                <w:rFonts w:hint="default"/>
                <w:lang w:val="en-US" w:eastAsia="zh-CN"/>
              </w:rPr>
            </w:pPr>
            <w:r>
              <w:rPr>
                <w:rFonts w:hint="eastAsia"/>
                <w:lang w:val="en-US" w:eastAsia="zh-CN"/>
              </w:rPr>
              <w:t>排放量t/a</w:t>
            </w:r>
          </w:p>
        </w:tc>
        <w:tc>
          <w:tcPr>
            <w:tcW w:w="610" w:type="pct"/>
            <w:vAlign w:val="center"/>
          </w:tcPr>
          <w:p w14:paraId="69BFEB9A">
            <w:pPr>
              <w:pStyle w:val="31"/>
              <w:bidi w:val="0"/>
              <w:jc w:val="center"/>
              <w:rPr>
                <w:rFonts w:hint="default"/>
                <w:lang w:val="en-US" w:eastAsia="zh-CN"/>
              </w:rPr>
            </w:pPr>
            <w:r>
              <w:rPr>
                <w:rFonts w:hint="eastAsia"/>
                <w:lang w:val="en-US" w:eastAsia="zh-CN"/>
              </w:rPr>
              <w:t>排放方式及排放去向（固废处置去向）</w:t>
            </w:r>
          </w:p>
        </w:tc>
      </w:tr>
      <w:tr w14:paraId="652F7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vAlign w:val="center"/>
          </w:tcPr>
          <w:p w14:paraId="2AA2A67E">
            <w:pPr>
              <w:pStyle w:val="31"/>
              <w:bidi w:val="0"/>
              <w:jc w:val="center"/>
              <w:rPr>
                <w:rFonts w:hint="default"/>
                <w:lang w:val="en-US" w:eastAsia="zh-CN"/>
              </w:rPr>
            </w:pPr>
            <w:r>
              <w:rPr>
                <w:rFonts w:hint="eastAsia"/>
                <w:lang w:val="en-US" w:eastAsia="zh-CN"/>
              </w:rPr>
              <w:t>废气</w:t>
            </w:r>
          </w:p>
        </w:tc>
        <w:tc>
          <w:tcPr>
            <w:tcW w:w="443" w:type="pct"/>
            <w:shd w:val="clear" w:color="auto" w:fill="auto"/>
            <w:vAlign w:val="center"/>
          </w:tcPr>
          <w:p w14:paraId="1C6713A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切割废气</w:t>
            </w:r>
          </w:p>
        </w:tc>
        <w:tc>
          <w:tcPr>
            <w:tcW w:w="1130" w:type="pct"/>
            <w:shd w:val="clear" w:color="auto" w:fill="auto"/>
            <w:vAlign w:val="center"/>
          </w:tcPr>
          <w:p w14:paraId="19EC619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颗粒物</w:t>
            </w:r>
          </w:p>
        </w:tc>
        <w:tc>
          <w:tcPr>
            <w:tcW w:w="534" w:type="pct"/>
            <w:shd w:val="clear" w:color="auto" w:fill="auto"/>
            <w:vAlign w:val="center"/>
          </w:tcPr>
          <w:p w14:paraId="4F15B5E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c>
          <w:tcPr>
            <w:tcW w:w="1397" w:type="pct"/>
            <w:shd w:val="clear" w:color="auto" w:fill="auto"/>
            <w:vAlign w:val="center"/>
          </w:tcPr>
          <w:p w14:paraId="01B2D2C5">
            <w:pPr>
              <w:pStyle w:val="31"/>
              <w:bidi w:val="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移动式烟尘净化器</w:t>
            </w:r>
          </w:p>
        </w:tc>
        <w:tc>
          <w:tcPr>
            <w:tcW w:w="480" w:type="pct"/>
            <w:shd w:val="clear" w:color="auto" w:fill="auto"/>
            <w:vAlign w:val="center"/>
          </w:tcPr>
          <w:p w14:paraId="0EF4980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0.001</w:t>
            </w:r>
          </w:p>
        </w:tc>
        <w:tc>
          <w:tcPr>
            <w:tcW w:w="610" w:type="pct"/>
            <w:vMerge w:val="restart"/>
            <w:vAlign w:val="center"/>
          </w:tcPr>
          <w:p w14:paraId="2E3F39F8">
            <w:pPr>
              <w:pStyle w:val="31"/>
              <w:bidi w:val="0"/>
              <w:jc w:val="center"/>
              <w:rPr>
                <w:rFonts w:hint="default"/>
                <w:lang w:val="en-US" w:eastAsia="zh-CN"/>
              </w:rPr>
            </w:pPr>
            <w:r>
              <w:rPr>
                <w:rFonts w:hint="eastAsia"/>
                <w:lang w:val="en-US" w:eastAsia="zh-CN"/>
              </w:rPr>
              <w:t>无组织排放至环境空气中</w:t>
            </w:r>
          </w:p>
        </w:tc>
      </w:tr>
      <w:tr w14:paraId="5E5D4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E7F9F90">
            <w:pPr>
              <w:pStyle w:val="31"/>
              <w:bidi w:val="0"/>
              <w:jc w:val="center"/>
              <w:rPr>
                <w:rFonts w:hint="default"/>
                <w:lang w:val="en-US" w:eastAsia="zh-CN"/>
              </w:rPr>
            </w:pPr>
          </w:p>
        </w:tc>
        <w:tc>
          <w:tcPr>
            <w:tcW w:w="443" w:type="pct"/>
            <w:shd w:val="clear" w:color="auto" w:fill="auto"/>
            <w:vAlign w:val="center"/>
          </w:tcPr>
          <w:p w14:paraId="461546A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废油收集废气</w:t>
            </w:r>
          </w:p>
        </w:tc>
        <w:tc>
          <w:tcPr>
            <w:tcW w:w="1130" w:type="pct"/>
            <w:shd w:val="clear" w:color="auto" w:fill="auto"/>
            <w:vAlign w:val="center"/>
          </w:tcPr>
          <w:p w14:paraId="7DA711F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NMHC</w:t>
            </w:r>
          </w:p>
        </w:tc>
        <w:tc>
          <w:tcPr>
            <w:tcW w:w="534" w:type="pct"/>
            <w:shd w:val="clear" w:color="auto" w:fill="auto"/>
            <w:vAlign w:val="center"/>
          </w:tcPr>
          <w:p w14:paraId="4280A17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0.0002</w:t>
            </w:r>
          </w:p>
        </w:tc>
        <w:tc>
          <w:tcPr>
            <w:tcW w:w="1397" w:type="pct"/>
            <w:shd w:val="clear" w:color="auto" w:fill="auto"/>
            <w:vAlign w:val="center"/>
          </w:tcPr>
          <w:p w14:paraId="52E8EA1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80" w:type="pct"/>
            <w:shd w:val="clear" w:color="auto" w:fill="auto"/>
            <w:vAlign w:val="center"/>
          </w:tcPr>
          <w:p w14:paraId="4239873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0.0002</w:t>
            </w:r>
          </w:p>
        </w:tc>
        <w:tc>
          <w:tcPr>
            <w:tcW w:w="610" w:type="pct"/>
            <w:vMerge w:val="continue"/>
            <w:vAlign w:val="center"/>
          </w:tcPr>
          <w:p w14:paraId="00039A2F">
            <w:pPr>
              <w:pStyle w:val="31"/>
              <w:bidi w:val="0"/>
              <w:jc w:val="center"/>
              <w:rPr>
                <w:rFonts w:hint="default"/>
                <w:lang w:val="en-US" w:eastAsia="zh-CN"/>
              </w:rPr>
            </w:pPr>
          </w:p>
        </w:tc>
      </w:tr>
      <w:tr w14:paraId="70126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7E4DC86">
            <w:pPr>
              <w:pStyle w:val="31"/>
              <w:bidi w:val="0"/>
              <w:jc w:val="center"/>
              <w:rPr>
                <w:rFonts w:hint="default"/>
                <w:lang w:val="en-US" w:eastAsia="zh-CN"/>
              </w:rPr>
            </w:pPr>
          </w:p>
        </w:tc>
        <w:tc>
          <w:tcPr>
            <w:tcW w:w="443" w:type="pct"/>
            <w:shd w:val="clear" w:color="auto" w:fill="auto"/>
            <w:vAlign w:val="center"/>
          </w:tcPr>
          <w:p w14:paraId="1A8E704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油箱残油收集废气</w:t>
            </w:r>
          </w:p>
        </w:tc>
        <w:tc>
          <w:tcPr>
            <w:tcW w:w="1130" w:type="pct"/>
            <w:shd w:val="clear" w:color="auto" w:fill="auto"/>
            <w:vAlign w:val="center"/>
          </w:tcPr>
          <w:p w14:paraId="232041D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NMHC</w:t>
            </w:r>
          </w:p>
        </w:tc>
        <w:tc>
          <w:tcPr>
            <w:tcW w:w="534" w:type="pct"/>
            <w:shd w:val="clear" w:color="auto" w:fill="auto"/>
            <w:vAlign w:val="center"/>
          </w:tcPr>
          <w:p w14:paraId="7C91B7B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0.0002</w:t>
            </w:r>
          </w:p>
        </w:tc>
        <w:tc>
          <w:tcPr>
            <w:tcW w:w="1397" w:type="pct"/>
            <w:shd w:val="clear" w:color="auto" w:fill="auto"/>
            <w:vAlign w:val="center"/>
          </w:tcPr>
          <w:p w14:paraId="7DE3308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80" w:type="pct"/>
            <w:shd w:val="clear" w:color="auto" w:fill="auto"/>
            <w:vAlign w:val="center"/>
          </w:tcPr>
          <w:p w14:paraId="187E7D4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0.0002</w:t>
            </w:r>
          </w:p>
        </w:tc>
        <w:tc>
          <w:tcPr>
            <w:tcW w:w="610" w:type="pct"/>
            <w:vMerge w:val="continue"/>
            <w:vAlign w:val="center"/>
          </w:tcPr>
          <w:p w14:paraId="360D1960">
            <w:pPr>
              <w:pStyle w:val="31"/>
              <w:bidi w:val="0"/>
              <w:jc w:val="center"/>
              <w:rPr>
                <w:rFonts w:hint="default"/>
                <w:lang w:val="en-US" w:eastAsia="zh-CN"/>
              </w:rPr>
            </w:pPr>
          </w:p>
        </w:tc>
      </w:tr>
      <w:tr w14:paraId="259E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12BCCF7">
            <w:pPr>
              <w:pStyle w:val="31"/>
              <w:bidi w:val="0"/>
              <w:jc w:val="center"/>
              <w:rPr>
                <w:rFonts w:hint="default"/>
                <w:lang w:val="en-US" w:eastAsia="zh-CN"/>
              </w:rPr>
            </w:pPr>
          </w:p>
        </w:tc>
        <w:tc>
          <w:tcPr>
            <w:tcW w:w="443" w:type="pct"/>
            <w:shd w:val="clear" w:color="auto" w:fill="auto"/>
            <w:vAlign w:val="center"/>
          </w:tcPr>
          <w:p w14:paraId="7DFF841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危废贮存间废气</w:t>
            </w:r>
          </w:p>
        </w:tc>
        <w:tc>
          <w:tcPr>
            <w:tcW w:w="1130" w:type="pct"/>
            <w:shd w:val="clear" w:color="auto" w:fill="auto"/>
            <w:vAlign w:val="center"/>
          </w:tcPr>
          <w:p w14:paraId="75E17AE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NMHC</w:t>
            </w:r>
          </w:p>
        </w:tc>
        <w:tc>
          <w:tcPr>
            <w:tcW w:w="534" w:type="pct"/>
            <w:shd w:val="clear" w:color="auto" w:fill="auto"/>
            <w:vAlign w:val="center"/>
          </w:tcPr>
          <w:p w14:paraId="3C8C654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0.04</w:t>
            </w:r>
          </w:p>
        </w:tc>
        <w:tc>
          <w:tcPr>
            <w:tcW w:w="1397" w:type="pct"/>
            <w:shd w:val="clear" w:color="auto" w:fill="auto"/>
            <w:vAlign w:val="center"/>
          </w:tcPr>
          <w:p w14:paraId="11AEECC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80" w:type="pct"/>
            <w:shd w:val="clear" w:color="auto" w:fill="auto"/>
            <w:vAlign w:val="center"/>
          </w:tcPr>
          <w:p w14:paraId="7B3DC46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0.04</w:t>
            </w:r>
          </w:p>
        </w:tc>
        <w:tc>
          <w:tcPr>
            <w:tcW w:w="610" w:type="pct"/>
            <w:vMerge w:val="continue"/>
            <w:vAlign w:val="center"/>
          </w:tcPr>
          <w:p w14:paraId="2B836CF4">
            <w:pPr>
              <w:pStyle w:val="31"/>
              <w:bidi w:val="0"/>
              <w:jc w:val="center"/>
              <w:rPr>
                <w:rFonts w:hint="default"/>
                <w:lang w:val="en-US" w:eastAsia="zh-CN"/>
              </w:rPr>
            </w:pPr>
          </w:p>
        </w:tc>
      </w:tr>
      <w:tr w14:paraId="6808E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54A4A4E">
            <w:pPr>
              <w:pStyle w:val="31"/>
              <w:bidi w:val="0"/>
              <w:jc w:val="center"/>
              <w:rPr>
                <w:rFonts w:hint="default"/>
                <w:lang w:val="en-US" w:eastAsia="zh-CN"/>
              </w:rPr>
            </w:pPr>
          </w:p>
        </w:tc>
        <w:tc>
          <w:tcPr>
            <w:tcW w:w="443" w:type="pct"/>
            <w:shd w:val="clear" w:color="auto" w:fill="auto"/>
            <w:vAlign w:val="center"/>
          </w:tcPr>
          <w:p w14:paraId="249DBB7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制冷剂废气</w:t>
            </w:r>
          </w:p>
        </w:tc>
        <w:tc>
          <w:tcPr>
            <w:tcW w:w="1130" w:type="pct"/>
            <w:shd w:val="clear" w:color="auto" w:fill="auto"/>
            <w:vAlign w:val="center"/>
          </w:tcPr>
          <w:p w14:paraId="2F8AB0C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氟利昂</w:t>
            </w:r>
          </w:p>
        </w:tc>
        <w:tc>
          <w:tcPr>
            <w:tcW w:w="534" w:type="pct"/>
            <w:shd w:val="clear" w:color="auto" w:fill="auto"/>
            <w:vAlign w:val="center"/>
          </w:tcPr>
          <w:p w14:paraId="2DF750B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极少量</w:t>
            </w:r>
          </w:p>
        </w:tc>
        <w:tc>
          <w:tcPr>
            <w:tcW w:w="1397" w:type="pct"/>
            <w:shd w:val="clear" w:color="auto" w:fill="auto"/>
            <w:vAlign w:val="center"/>
          </w:tcPr>
          <w:p w14:paraId="18CD657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480" w:type="pct"/>
            <w:shd w:val="clear" w:color="auto" w:fill="auto"/>
            <w:vAlign w:val="center"/>
          </w:tcPr>
          <w:p w14:paraId="5EEC430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极少量</w:t>
            </w:r>
          </w:p>
        </w:tc>
        <w:tc>
          <w:tcPr>
            <w:tcW w:w="610" w:type="pct"/>
            <w:vMerge w:val="continue"/>
            <w:vAlign w:val="center"/>
          </w:tcPr>
          <w:p w14:paraId="331ACC1B">
            <w:pPr>
              <w:pStyle w:val="31"/>
              <w:bidi w:val="0"/>
              <w:jc w:val="center"/>
              <w:rPr>
                <w:rFonts w:hint="default"/>
                <w:lang w:val="en-US" w:eastAsia="zh-CN"/>
              </w:rPr>
            </w:pPr>
          </w:p>
        </w:tc>
      </w:tr>
      <w:tr w14:paraId="54105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vAlign w:val="center"/>
          </w:tcPr>
          <w:p w14:paraId="6D4E5BB5">
            <w:pPr>
              <w:pStyle w:val="31"/>
              <w:bidi w:val="0"/>
              <w:jc w:val="center"/>
              <w:rPr>
                <w:rFonts w:hint="default"/>
                <w:lang w:val="en-US" w:eastAsia="zh-CN"/>
              </w:rPr>
            </w:pPr>
            <w:r>
              <w:rPr>
                <w:rFonts w:hint="eastAsia"/>
                <w:lang w:val="en-US" w:eastAsia="zh-CN"/>
              </w:rPr>
              <w:t>废水</w:t>
            </w:r>
          </w:p>
        </w:tc>
        <w:tc>
          <w:tcPr>
            <w:tcW w:w="443" w:type="pct"/>
            <w:vAlign w:val="center"/>
          </w:tcPr>
          <w:p w14:paraId="3F7966E1">
            <w:pPr>
              <w:pStyle w:val="31"/>
              <w:bidi w:val="0"/>
              <w:jc w:val="center"/>
              <w:rPr>
                <w:rFonts w:hint="default"/>
                <w:lang w:val="en-US" w:eastAsia="zh-CN"/>
              </w:rPr>
            </w:pPr>
            <w:r>
              <w:rPr>
                <w:rFonts w:hint="eastAsia"/>
                <w:lang w:val="en-US" w:eastAsia="zh-CN"/>
              </w:rPr>
              <w:t>生活污水</w:t>
            </w:r>
          </w:p>
        </w:tc>
        <w:tc>
          <w:tcPr>
            <w:tcW w:w="1130" w:type="pct"/>
            <w:vAlign w:val="center"/>
          </w:tcPr>
          <w:p w14:paraId="3F493718">
            <w:pPr>
              <w:pStyle w:val="31"/>
              <w:bidi w:val="0"/>
              <w:jc w:val="center"/>
              <w:rPr>
                <w:rFonts w:hint="default"/>
                <w:lang w:val="en-US" w:eastAsia="zh-CN"/>
              </w:rPr>
            </w:pPr>
            <w:r>
              <w:rPr>
                <w:rFonts w:hint="eastAsia"/>
                <w:lang w:val="en-US" w:eastAsia="zh-CN"/>
              </w:rPr>
              <w:t>废水量</w:t>
            </w:r>
          </w:p>
        </w:tc>
        <w:tc>
          <w:tcPr>
            <w:tcW w:w="534" w:type="pct"/>
            <w:vAlign w:val="center"/>
          </w:tcPr>
          <w:p w14:paraId="04A46E05">
            <w:pPr>
              <w:pStyle w:val="31"/>
              <w:bidi w:val="0"/>
              <w:jc w:val="center"/>
              <w:rPr>
                <w:rFonts w:hint="default"/>
                <w:lang w:val="en-US" w:eastAsia="zh-CN"/>
              </w:rPr>
            </w:pPr>
            <w:r>
              <w:rPr>
                <w:rFonts w:hint="eastAsia"/>
                <w:lang w:val="en-US" w:eastAsia="zh-CN"/>
              </w:rPr>
              <w:t>108</w:t>
            </w:r>
          </w:p>
        </w:tc>
        <w:tc>
          <w:tcPr>
            <w:tcW w:w="1397" w:type="pct"/>
            <w:vAlign w:val="center"/>
          </w:tcPr>
          <w:p w14:paraId="7AEB1BA8">
            <w:pPr>
              <w:pStyle w:val="31"/>
              <w:bidi w:val="0"/>
              <w:jc w:val="center"/>
              <w:rPr>
                <w:rFonts w:hint="default"/>
                <w:lang w:val="en-US" w:eastAsia="zh-CN"/>
              </w:rPr>
            </w:pPr>
            <w:r>
              <w:rPr>
                <w:rFonts w:hint="eastAsia"/>
                <w:lang w:val="en-US" w:eastAsia="zh-CN"/>
              </w:rPr>
              <w:t>化粪池</w:t>
            </w:r>
          </w:p>
        </w:tc>
        <w:tc>
          <w:tcPr>
            <w:tcW w:w="480" w:type="pct"/>
            <w:vAlign w:val="center"/>
          </w:tcPr>
          <w:p w14:paraId="2C7BCB54">
            <w:pPr>
              <w:pStyle w:val="31"/>
              <w:bidi w:val="0"/>
              <w:jc w:val="center"/>
              <w:rPr>
                <w:rFonts w:hint="default"/>
                <w:lang w:val="en-US" w:eastAsia="zh-CN"/>
              </w:rPr>
            </w:pPr>
            <w:r>
              <w:rPr>
                <w:rFonts w:hint="eastAsia"/>
                <w:lang w:val="en-US" w:eastAsia="zh-CN"/>
              </w:rPr>
              <w:t>0</w:t>
            </w:r>
          </w:p>
        </w:tc>
        <w:tc>
          <w:tcPr>
            <w:tcW w:w="610" w:type="pct"/>
            <w:vAlign w:val="center"/>
          </w:tcPr>
          <w:p w14:paraId="307A652E">
            <w:pPr>
              <w:pStyle w:val="31"/>
              <w:bidi w:val="0"/>
              <w:jc w:val="center"/>
              <w:rPr>
                <w:rFonts w:hint="default"/>
                <w:lang w:val="en-US" w:eastAsia="zh-CN"/>
              </w:rPr>
            </w:pPr>
            <w:r>
              <w:rPr>
                <w:rFonts w:hint="eastAsia"/>
                <w:lang w:val="en-US" w:eastAsia="zh-CN"/>
              </w:rPr>
              <w:t>定期清掏用作农肥</w:t>
            </w:r>
          </w:p>
        </w:tc>
      </w:tr>
      <w:tr w14:paraId="32C03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4B77C551">
            <w:pPr>
              <w:pStyle w:val="31"/>
              <w:bidi w:val="0"/>
              <w:jc w:val="center"/>
              <w:rPr>
                <w:rFonts w:hint="default"/>
                <w:lang w:val="en-US" w:eastAsia="zh-CN"/>
              </w:rPr>
            </w:pPr>
          </w:p>
        </w:tc>
        <w:tc>
          <w:tcPr>
            <w:tcW w:w="443" w:type="pct"/>
            <w:vAlign w:val="center"/>
          </w:tcPr>
          <w:p w14:paraId="0BEFA0FD">
            <w:pPr>
              <w:pStyle w:val="31"/>
              <w:bidi w:val="0"/>
              <w:jc w:val="center"/>
              <w:rPr>
                <w:rFonts w:hint="default"/>
                <w:lang w:val="en-US" w:eastAsia="zh-CN"/>
              </w:rPr>
            </w:pPr>
            <w:r>
              <w:rPr>
                <w:rFonts w:hint="eastAsia"/>
                <w:lang w:val="en-US" w:eastAsia="zh-CN"/>
              </w:rPr>
              <w:t>舱底含油污水</w:t>
            </w:r>
          </w:p>
        </w:tc>
        <w:tc>
          <w:tcPr>
            <w:tcW w:w="1130" w:type="pct"/>
            <w:vAlign w:val="center"/>
          </w:tcPr>
          <w:p w14:paraId="3B1E7DE4">
            <w:pPr>
              <w:pStyle w:val="31"/>
              <w:bidi w:val="0"/>
              <w:jc w:val="center"/>
              <w:rPr>
                <w:rFonts w:hint="default"/>
                <w:lang w:val="en-US" w:eastAsia="zh-CN"/>
              </w:rPr>
            </w:pPr>
            <w:r>
              <w:rPr>
                <w:rFonts w:hint="eastAsia"/>
                <w:lang w:val="en-US" w:eastAsia="zh-CN"/>
              </w:rPr>
              <w:t>废水量</w:t>
            </w:r>
          </w:p>
        </w:tc>
        <w:tc>
          <w:tcPr>
            <w:tcW w:w="534" w:type="pct"/>
            <w:vAlign w:val="center"/>
          </w:tcPr>
          <w:p w14:paraId="5AE8856E">
            <w:pPr>
              <w:pStyle w:val="31"/>
              <w:bidi w:val="0"/>
              <w:jc w:val="center"/>
              <w:rPr>
                <w:rFonts w:hint="default"/>
                <w:lang w:val="en-US" w:eastAsia="zh-CN"/>
              </w:rPr>
            </w:pPr>
            <w:r>
              <w:rPr>
                <w:rFonts w:hint="eastAsia"/>
                <w:lang w:val="en-US" w:eastAsia="zh-CN"/>
              </w:rPr>
              <w:t>51.88</w:t>
            </w:r>
          </w:p>
        </w:tc>
        <w:tc>
          <w:tcPr>
            <w:tcW w:w="1397" w:type="pct"/>
            <w:vAlign w:val="center"/>
          </w:tcPr>
          <w:p w14:paraId="2500D57E">
            <w:pPr>
              <w:pStyle w:val="31"/>
              <w:bidi w:val="0"/>
              <w:jc w:val="center"/>
              <w:rPr>
                <w:rFonts w:hint="default"/>
                <w:lang w:val="en-US" w:eastAsia="zh-CN"/>
              </w:rPr>
            </w:pPr>
            <w:r>
              <w:rPr>
                <w:rFonts w:hint="eastAsia"/>
                <w:lang w:val="en-US" w:eastAsia="zh-CN"/>
              </w:rPr>
              <w:t>吨桶收集</w:t>
            </w:r>
          </w:p>
        </w:tc>
        <w:tc>
          <w:tcPr>
            <w:tcW w:w="480" w:type="pct"/>
            <w:vAlign w:val="center"/>
          </w:tcPr>
          <w:p w14:paraId="06E45DA1">
            <w:pPr>
              <w:pStyle w:val="31"/>
              <w:bidi w:val="0"/>
              <w:jc w:val="center"/>
              <w:rPr>
                <w:rFonts w:hint="default"/>
                <w:lang w:val="en-US" w:eastAsia="zh-CN"/>
              </w:rPr>
            </w:pPr>
            <w:r>
              <w:rPr>
                <w:rFonts w:hint="eastAsia"/>
                <w:lang w:val="en-US" w:eastAsia="zh-CN"/>
              </w:rPr>
              <w:t>0</w:t>
            </w:r>
          </w:p>
        </w:tc>
        <w:tc>
          <w:tcPr>
            <w:tcW w:w="610" w:type="pct"/>
            <w:vAlign w:val="center"/>
          </w:tcPr>
          <w:p w14:paraId="47407D41">
            <w:pPr>
              <w:pStyle w:val="31"/>
              <w:bidi w:val="0"/>
              <w:jc w:val="center"/>
              <w:rPr>
                <w:rFonts w:hint="default"/>
                <w:lang w:val="en-US" w:eastAsia="zh-CN"/>
              </w:rPr>
            </w:pPr>
            <w:r>
              <w:rPr>
                <w:rFonts w:hint="eastAsia"/>
                <w:lang w:val="en-US" w:eastAsia="zh-CN"/>
              </w:rPr>
              <w:t>委托有资质的单位处置</w:t>
            </w:r>
          </w:p>
        </w:tc>
      </w:tr>
      <w:tr w14:paraId="2C54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4E4F923D">
            <w:pPr>
              <w:pStyle w:val="31"/>
              <w:bidi w:val="0"/>
              <w:jc w:val="center"/>
              <w:rPr>
                <w:rFonts w:hint="default"/>
                <w:lang w:val="en-US" w:eastAsia="zh-CN"/>
              </w:rPr>
            </w:pPr>
          </w:p>
        </w:tc>
        <w:tc>
          <w:tcPr>
            <w:tcW w:w="443" w:type="pct"/>
            <w:vAlign w:val="center"/>
          </w:tcPr>
          <w:p w14:paraId="637B2B5A">
            <w:pPr>
              <w:pStyle w:val="31"/>
              <w:bidi w:val="0"/>
              <w:jc w:val="center"/>
              <w:rPr>
                <w:rFonts w:hint="default"/>
                <w:lang w:val="en-US" w:eastAsia="zh-CN"/>
              </w:rPr>
            </w:pPr>
            <w:r>
              <w:rPr>
                <w:rFonts w:hint="eastAsia"/>
                <w:lang w:val="en-US" w:eastAsia="zh-CN"/>
              </w:rPr>
              <w:t>石棉拆解废水</w:t>
            </w:r>
          </w:p>
        </w:tc>
        <w:tc>
          <w:tcPr>
            <w:tcW w:w="1130" w:type="pct"/>
            <w:vAlign w:val="center"/>
          </w:tcPr>
          <w:p w14:paraId="6CC59268">
            <w:pPr>
              <w:pStyle w:val="31"/>
              <w:bidi w:val="0"/>
              <w:jc w:val="center"/>
              <w:rPr>
                <w:rFonts w:hint="default"/>
                <w:lang w:val="en-US" w:eastAsia="zh-CN"/>
              </w:rPr>
            </w:pPr>
            <w:r>
              <w:rPr>
                <w:rFonts w:hint="eastAsia"/>
                <w:lang w:val="en-US" w:eastAsia="zh-CN"/>
              </w:rPr>
              <w:t>废水量</w:t>
            </w:r>
          </w:p>
        </w:tc>
        <w:tc>
          <w:tcPr>
            <w:tcW w:w="534" w:type="pct"/>
            <w:vAlign w:val="center"/>
          </w:tcPr>
          <w:p w14:paraId="6631DF23">
            <w:pPr>
              <w:pStyle w:val="31"/>
              <w:bidi w:val="0"/>
              <w:jc w:val="center"/>
              <w:rPr>
                <w:rFonts w:hint="default"/>
                <w:lang w:val="en-US" w:eastAsia="zh-CN"/>
              </w:rPr>
            </w:pPr>
            <w:r>
              <w:rPr>
                <w:rFonts w:hint="eastAsia"/>
                <w:lang w:val="en-US" w:eastAsia="zh-CN"/>
              </w:rPr>
              <w:t>0</w:t>
            </w:r>
          </w:p>
        </w:tc>
        <w:tc>
          <w:tcPr>
            <w:tcW w:w="1397" w:type="pct"/>
            <w:vAlign w:val="center"/>
          </w:tcPr>
          <w:p w14:paraId="3E906628">
            <w:pPr>
              <w:pStyle w:val="31"/>
              <w:bidi w:val="0"/>
              <w:jc w:val="center"/>
              <w:rPr>
                <w:rFonts w:hint="default"/>
                <w:lang w:val="en-US" w:eastAsia="zh-CN"/>
              </w:rPr>
            </w:pPr>
            <w:r>
              <w:rPr>
                <w:rFonts w:hint="eastAsia"/>
                <w:lang w:val="en-US" w:eastAsia="zh-CN"/>
              </w:rPr>
              <w:t>/</w:t>
            </w:r>
          </w:p>
        </w:tc>
        <w:tc>
          <w:tcPr>
            <w:tcW w:w="480" w:type="pct"/>
            <w:vAlign w:val="center"/>
          </w:tcPr>
          <w:p w14:paraId="63581CE6">
            <w:pPr>
              <w:pStyle w:val="31"/>
              <w:bidi w:val="0"/>
              <w:jc w:val="center"/>
              <w:rPr>
                <w:rFonts w:hint="default"/>
                <w:lang w:val="en-US" w:eastAsia="zh-CN"/>
              </w:rPr>
            </w:pPr>
            <w:r>
              <w:rPr>
                <w:rFonts w:hint="eastAsia"/>
                <w:lang w:val="en-US" w:eastAsia="zh-CN"/>
              </w:rPr>
              <w:t>0</w:t>
            </w:r>
          </w:p>
        </w:tc>
        <w:tc>
          <w:tcPr>
            <w:tcW w:w="610" w:type="pct"/>
            <w:vAlign w:val="center"/>
          </w:tcPr>
          <w:p w14:paraId="5116586D">
            <w:pPr>
              <w:pStyle w:val="31"/>
              <w:bidi w:val="0"/>
              <w:jc w:val="center"/>
              <w:rPr>
                <w:rFonts w:hint="default"/>
                <w:lang w:val="en-US" w:eastAsia="zh-CN"/>
              </w:rPr>
            </w:pPr>
            <w:r>
              <w:rPr>
                <w:rFonts w:hint="eastAsia"/>
                <w:lang w:val="en-US" w:eastAsia="zh-CN"/>
              </w:rPr>
              <w:t>蒸发损耗，或进入废石棉中</w:t>
            </w:r>
          </w:p>
        </w:tc>
      </w:tr>
      <w:tr w14:paraId="4EA6F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50BFE171">
            <w:pPr>
              <w:pStyle w:val="31"/>
              <w:bidi w:val="0"/>
              <w:jc w:val="center"/>
              <w:rPr>
                <w:rFonts w:hint="default"/>
                <w:lang w:val="en-US" w:eastAsia="zh-CN"/>
              </w:rPr>
            </w:pPr>
          </w:p>
        </w:tc>
        <w:tc>
          <w:tcPr>
            <w:tcW w:w="443" w:type="pct"/>
            <w:vMerge w:val="restart"/>
            <w:vAlign w:val="center"/>
          </w:tcPr>
          <w:p w14:paraId="2621208B">
            <w:pPr>
              <w:pStyle w:val="31"/>
              <w:bidi w:val="0"/>
              <w:jc w:val="center"/>
              <w:rPr>
                <w:rFonts w:hint="default"/>
                <w:lang w:val="en-US" w:eastAsia="zh-CN"/>
              </w:rPr>
            </w:pPr>
            <w:r>
              <w:rPr>
                <w:rFonts w:hint="eastAsia"/>
                <w:lang w:val="en-US" w:eastAsia="zh-CN"/>
              </w:rPr>
              <w:t>船舶清洗废水、船台清洗废水、压舱废水、初期雨水</w:t>
            </w:r>
          </w:p>
        </w:tc>
        <w:tc>
          <w:tcPr>
            <w:tcW w:w="1130" w:type="pct"/>
            <w:vAlign w:val="center"/>
          </w:tcPr>
          <w:p w14:paraId="06F5A18D">
            <w:pPr>
              <w:pStyle w:val="31"/>
              <w:bidi w:val="0"/>
              <w:jc w:val="center"/>
              <w:rPr>
                <w:rFonts w:hint="default"/>
                <w:lang w:val="en-US" w:eastAsia="zh-CN"/>
              </w:rPr>
            </w:pPr>
            <w:r>
              <w:rPr>
                <w:rFonts w:hint="eastAsia"/>
                <w:lang w:val="en-US" w:eastAsia="zh-CN"/>
              </w:rPr>
              <w:t>废水量</w:t>
            </w:r>
          </w:p>
        </w:tc>
        <w:tc>
          <w:tcPr>
            <w:tcW w:w="534" w:type="pct"/>
            <w:vAlign w:val="center"/>
          </w:tcPr>
          <w:p w14:paraId="29CD5851">
            <w:pPr>
              <w:pStyle w:val="31"/>
              <w:bidi w:val="0"/>
              <w:jc w:val="center"/>
              <w:rPr>
                <w:rFonts w:hint="default"/>
                <w:lang w:val="en-US" w:eastAsia="zh-CN"/>
              </w:rPr>
            </w:pPr>
            <w:r>
              <w:rPr>
                <w:rFonts w:hint="eastAsia"/>
                <w:lang w:val="en-US" w:eastAsia="zh-CN"/>
              </w:rPr>
              <w:t>5498.2</w:t>
            </w:r>
          </w:p>
        </w:tc>
        <w:tc>
          <w:tcPr>
            <w:tcW w:w="1397" w:type="pct"/>
            <w:vMerge w:val="restart"/>
            <w:vAlign w:val="center"/>
          </w:tcPr>
          <w:p w14:paraId="5213DDC8">
            <w:pPr>
              <w:pStyle w:val="31"/>
              <w:bidi w:val="0"/>
              <w:jc w:val="center"/>
              <w:rPr>
                <w:rFonts w:hint="default"/>
                <w:vertAlign w:val="baseline"/>
                <w:lang w:val="en-US" w:eastAsia="zh-CN"/>
              </w:rPr>
            </w:pPr>
            <w:r>
              <w:rPr>
                <w:rFonts w:hint="eastAsia"/>
                <w:lang w:val="en-US" w:eastAsia="zh-CN"/>
              </w:rPr>
              <w:t>船台靠湘江侧设置导流沟，将废水导流至初期雨水池（50m</w:t>
            </w:r>
            <w:r>
              <w:rPr>
                <w:rFonts w:hint="eastAsia"/>
                <w:vertAlign w:val="superscript"/>
                <w:lang w:val="en-US" w:eastAsia="zh-CN"/>
              </w:rPr>
              <w:t>3</w:t>
            </w:r>
            <w:r>
              <w:rPr>
                <w:rFonts w:hint="eastAsia"/>
                <w:lang w:val="en-US" w:eastAsia="zh-CN"/>
              </w:rPr>
              <w:t>），初期雨水池内设置自动水泵及液位监控设施，超过液位后自动将废水抽至废水处理站处理，废水处理达到《污水综合排放标准》（GB8978-1996）一级标准</w:t>
            </w:r>
          </w:p>
        </w:tc>
        <w:tc>
          <w:tcPr>
            <w:tcW w:w="480" w:type="pct"/>
            <w:vAlign w:val="center"/>
          </w:tcPr>
          <w:p w14:paraId="60893516">
            <w:pPr>
              <w:pStyle w:val="31"/>
              <w:bidi w:val="0"/>
              <w:jc w:val="center"/>
              <w:rPr>
                <w:rFonts w:hint="default"/>
                <w:lang w:val="en-US" w:eastAsia="zh-CN"/>
              </w:rPr>
            </w:pPr>
            <w:r>
              <w:rPr>
                <w:rFonts w:hint="eastAsia"/>
                <w:lang w:val="en-US" w:eastAsia="zh-CN"/>
              </w:rPr>
              <w:t>4168.53</w:t>
            </w:r>
          </w:p>
        </w:tc>
        <w:tc>
          <w:tcPr>
            <w:tcW w:w="610" w:type="pct"/>
            <w:vMerge w:val="restart"/>
            <w:vAlign w:val="center"/>
          </w:tcPr>
          <w:p w14:paraId="28D91F1C">
            <w:pPr>
              <w:pStyle w:val="31"/>
              <w:bidi w:val="0"/>
              <w:jc w:val="center"/>
              <w:rPr>
                <w:rFonts w:hint="eastAsia"/>
                <w:lang w:val="en-US" w:eastAsia="zh-CN"/>
              </w:rPr>
            </w:pPr>
            <w:r>
              <w:rPr>
                <w:rFonts w:hint="eastAsia"/>
                <w:lang w:val="en-US" w:eastAsia="zh-CN"/>
              </w:rPr>
              <w:t>处理达标的废水优先回用于生产，不能回用部分通过罐车运输至三樟镇污水处理厂处理，回用水量为1329.67m</w:t>
            </w:r>
            <w:r>
              <w:rPr>
                <w:rFonts w:hint="eastAsia"/>
                <w:vertAlign w:val="superscript"/>
                <w:lang w:val="en-US" w:eastAsia="zh-CN"/>
              </w:rPr>
              <w:t>3</w:t>
            </w:r>
            <w:r>
              <w:rPr>
                <w:rFonts w:hint="eastAsia"/>
                <w:vertAlign w:val="baseline"/>
                <w:lang w:val="en-US" w:eastAsia="zh-CN"/>
              </w:rPr>
              <w:t>/a，外排量为4168.53m</w:t>
            </w:r>
            <w:r>
              <w:rPr>
                <w:rFonts w:hint="eastAsia"/>
                <w:vertAlign w:val="superscript"/>
                <w:lang w:val="en-US" w:eastAsia="zh-CN"/>
              </w:rPr>
              <w:t>3</w:t>
            </w:r>
            <w:r>
              <w:rPr>
                <w:rFonts w:hint="eastAsia"/>
                <w:vertAlign w:val="baseline"/>
                <w:lang w:val="en-US" w:eastAsia="zh-CN"/>
              </w:rPr>
              <w:t>/a</w:t>
            </w:r>
          </w:p>
        </w:tc>
      </w:tr>
      <w:tr w14:paraId="633F9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BF8B8C7">
            <w:pPr>
              <w:pStyle w:val="31"/>
              <w:bidi w:val="0"/>
              <w:jc w:val="center"/>
              <w:rPr>
                <w:rFonts w:hint="default"/>
                <w:lang w:val="en-US" w:eastAsia="zh-CN"/>
              </w:rPr>
            </w:pPr>
          </w:p>
        </w:tc>
        <w:tc>
          <w:tcPr>
            <w:tcW w:w="443" w:type="pct"/>
            <w:vMerge w:val="continue"/>
            <w:vAlign w:val="center"/>
          </w:tcPr>
          <w:p w14:paraId="5039E3D5">
            <w:pPr>
              <w:pStyle w:val="31"/>
              <w:bidi w:val="0"/>
              <w:jc w:val="center"/>
              <w:rPr>
                <w:rFonts w:hint="eastAsia"/>
                <w:lang w:val="en-US" w:eastAsia="zh-CN"/>
              </w:rPr>
            </w:pPr>
          </w:p>
        </w:tc>
        <w:tc>
          <w:tcPr>
            <w:tcW w:w="1130" w:type="pct"/>
            <w:vAlign w:val="center"/>
          </w:tcPr>
          <w:p w14:paraId="47D4AE70">
            <w:pPr>
              <w:pStyle w:val="31"/>
              <w:bidi w:val="0"/>
              <w:jc w:val="center"/>
              <w:rPr>
                <w:rFonts w:hint="default"/>
                <w:lang w:val="en-US" w:eastAsia="zh-CN"/>
              </w:rPr>
            </w:pPr>
            <w:r>
              <w:rPr>
                <w:rFonts w:hint="eastAsia"/>
                <w:lang w:val="en-US" w:eastAsia="zh-CN"/>
              </w:rPr>
              <w:t>pH值</w:t>
            </w:r>
          </w:p>
        </w:tc>
        <w:tc>
          <w:tcPr>
            <w:tcW w:w="534" w:type="pct"/>
            <w:vAlign w:val="center"/>
          </w:tcPr>
          <w:p w14:paraId="33DACCAB">
            <w:pPr>
              <w:pStyle w:val="31"/>
              <w:bidi w:val="0"/>
              <w:jc w:val="center"/>
              <w:rPr>
                <w:rFonts w:hint="default"/>
                <w:lang w:val="en-US" w:eastAsia="zh-CN"/>
              </w:rPr>
            </w:pPr>
            <w:r>
              <w:rPr>
                <w:rFonts w:hint="eastAsia"/>
                <w:lang w:val="en-US" w:eastAsia="zh-CN"/>
              </w:rPr>
              <w:t>/</w:t>
            </w:r>
          </w:p>
        </w:tc>
        <w:tc>
          <w:tcPr>
            <w:tcW w:w="1397" w:type="pct"/>
            <w:vMerge w:val="continue"/>
            <w:vAlign w:val="center"/>
          </w:tcPr>
          <w:p w14:paraId="3768BFF3">
            <w:pPr>
              <w:pStyle w:val="31"/>
              <w:bidi w:val="0"/>
              <w:jc w:val="center"/>
              <w:rPr>
                <w:rFonts w:hint="eastAsia"/>
                <w:lang w:val="en-US" w:eastAsia="zh-CN"/>
              </w:rPr>
            </w:pPr>
          </w:p>
        </w:tc>
        <w:tc>
          <w:tcPr>
            <w:tcW w:w="480" w:type="pct"/>
            <w:vAlign w:val="center"/>
          </w:tcPr>
          <w:p w14:paraId="45068BAD">
            <w:pPr>
              <w:pStyle w:val="31"/>
              <w:bidi w:val="0"/>
              <w:jc w:val="center"/>
              <w:rPr>
                <w:rFonts w:hint="default"/>
                <w:lang w:val="en-US" w:eastAsia="zh-CN"/>
              </w:rPr>
            </w:pPr>
            <w:r>
              <w:rPr>
                <w:rFonts w:hint="eastAsia"/>
                <w:lang w:val="en-US" w:eastAsia="zh-CN"/>
              </w:rPr>
              <w:t>/</w:t>
            </w:r>
          </w:p>
        </w:tc>
        <w:tc>
          <w:tcPr>
            <w:tcW w:w="610" w:type="pct"/>
            <w:vMerge w:val="continue"/>
            <w:vAlign w:val="center"/>
          </w:tcPr>
          <w:p w14:paraId="28176791">
            <w:pPr>
              <w:pStyle w:val="31"/>
              <w:bidi w:val="0"/>
              <w:jc w:val="center"/>
              <w:rPr>
                <w:rFonts w:hint="eastAsia"/>
                <w:lang w:val="en-US" w:eastAsia="zh-CN"/>
              </w:rPr>
            </w:pPr>
          </w:p>
        </w:tc>
      </w:tr>
      <w:tr w14:paraId="6D72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0DBDFFD0">
            <w:pPr>
              <w:pStyle w:val="31"/>
              <w:bidi w:val="0"/>
              <w:jc w:val="center"/>
              <w:rPr>
                <w:rFonts w:hint="default"/>
                <w:lang w:val="en-US" w:eastAsia="zh-CN"/>
              </w:rPr>
            </w:pPr>
          </w:p>
        </w:tc>
        <w:tc>
          <w:tcPr>
            <w:tcW w:w="443" w:type="pct"/>
            <w:vMerge w:val="continue"/>
            <w:vAlign w:val="center"/>
          </w:tcPr>
          <w:p w14:paraId="47D71728">
            <w:pPr>
              <w:pStyle w:val="31"/>
              <w:bidi w:val="0"/>
              <w:jc w:val="center"/>
              <w:rPr>
                <w:rFonts w:hint="eastAsia"/>
                <w:lang w:val="en-US" w:eastAsia="zh-CN"/>
              </w:rPr>
            </w:pPr>
          </w:p>
        </w:tc>
        <w:tc>
          <w:tcPr>
            <w:tcW w:w="1130" w:type="pct"/>
            <w:vAlign w:val="center"/>
          </w:tcPr>
          <w:p w14:paraId="0ECC27BF">
            <w:pPr>
              <w:pStyle w:val="31"/>
              <w:bidi w:val="0"/>
              <w:jc w:val="center"/>
              <w:rPr>
                <w:rFonts w:hint="default"/>
                <w:lang w:val="en-US" w:eastAsia="zh-CN"/>
              </w:rPr>
            </w:pPr>
            <w:r>
              <w:rPr>
                <w:rFonts w:hint="eastAsia"/>
                <w:lang w:val="en-US" w:eastAsia="zh-CN"/>
              </w:rPr>
              <w:t>COD</w:t>
            </w:r>
          </w:p>
        </w:tc>
        <w:tc>
          <w:tcPr>
            <w:tcW w:w="534" w:type="pct"/>
            <w:vAlign w:val="center"/>
          </w:tcPr>
          <w:p w14:paraId="32454C69">
            <w:pPr>
              <w:pStyle w:val="31"/>
              <w:bidi w:val="0"/>
              <w:jc w:val="center"/>
              <w:rPr>
                <w:rFonts w:hint="default"/>
                <w:lang w:val="en-US" w:eastAsia="zh-CN"/>
              </w:rPr>
            </w:pPr>
            <w:r>
              <w:rPr>
                <w:rFonts w:hint="eastAsia"/>
                <w:lang w:val="en-US" w:eastAsia="zh-CN"/>
              </w:rPr>
              <w:t>1.173</w:t>
            </w:r>
          </w:p>
        </w:tc>
        <w:tc>
          <w:tcPr>
            <w:tcW w:w="1397" w:type="pct"/>
            <w:vMerge w:val="continue"/>
            <w:vAlign w:val="center"/>
          </w:tcPr>
          <w:p w14:paraId="18AEDE34">
            <w:pPr>
              <w:pStyle w:val="31"/>
              <w:bidi w:val="0"/>
              <w:jc w:val="center"/>
              <w:rPr>
                <w:rFonts w:hint="eastAsia"/>
                <w:lang w:val="en-US" w:eastAsia="zh-CN"/>
              </w:rPr>
            </w:pPr>
          </w:p>
        </w:tc>
        <w:tc>
          <w:tcPr>
            <w:tcW w:w="480" w:type="pct"/>
            <w:shd w:val="clear" w:color="auto" w:fill="auto"/>
            <w:vAlign w:val="center"/>
          </w:tcPr>
          <w:p w14:paraId="390426E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0.089</w:t>
            </w:r>
          </w:p>
        </w:tc>
        <w:tc>
          <w:tcPr>
            <w:tcW w:w="610" w:type="pct"/>
            <w:vMerge w:val="continue"/>
            <w:vAlign w:val="center"/>
          </w:tcPr>
          <w:p w14:paraId="602C151D">
            <w:pPr>
              <w:pStyle w:val="31"/>
              <w:bidi w:val="0"/>
              <w:jc w:val="center"/>
              <w:rPr>
                <w:rFonts w:hint="eastAsia"/>
                <w:lang w:val="en-US" w:eastAsia="zh-CN"/>
              </w:rPr>
            </w:pPr>
          </w:p>
        </w:tc>
      </w:tr>
      <w:tr w14:paraId="55184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6B11110">
            <w:pPr>
              <w:pStyle w:val="31"/>
              <w:bidi w:val="0"/>
              <w:jc w:val="center"/>
              <w:rPr>
                <w:rFonts w:hint="default"/>
                <w:lang w:val="en-US" w:eastAsia="zh-CN"/>
              </w:rPr>
            </w:pPr>
          </w:p>
        </w:tc>
        <w:tc>
          <w:tcPr>
            <w:tcW w:w="443" w:type="pct"/>
            <w:vMerge w:val="continue"/>
            <w:vAlign w:val="center"/>
          </w:tcPr>
          <w:p w14:paraId="4AD948FC">
            <w:pPr>
              <w:pStyle w:val="31"/>
              <w:bidi w:val="0"/>
              <w:jc w:val="center"/>
              <w:rPr>
                <w:rFonts w:hint="eastAsia"/>
                <w:lang w:val="en-US" w:eastAsia="zh-CN"/>
              </w:rPr>
            </w:pPr>
          </w:p>
        </w:tc>
        <w:tc>
          <w:tcPr>
            <w:tcW w:w="1130" w:type="pct"/>
            <w:vAlign w:val="center"/>
          </w:tcPr>
          <w:p w14:paraId="5D2E1F35">
            <w:pPr>
              <w:pStyle w:val="31"/>
              <w:bidi w:val="0"/>
              <w:jc w:val="center"/>
              <w:rPr>
                <w:rFonts w:hint="default"/>
                <w:vertAlign w:val="baseline"/>
                <w:lang w:val="en-US" w:eastAsia="zh-CN"/>
              </w:rPr>
            </w:pPr>
            <w:r>
              <w:rPr>
                <w:rFonts w:hint="eastAsia"/>
                <w:lang w:val="en-US" w:eastAsia="zh-CN"/>
              </w:rPr>
              <w:t>BOD</w:t>
            </w:r>
            <w:r>
              <w:rPr>
                <w:rFonts w:hint="eastAsia"/>
                <w:vertAlign w:val="subscript"/>
                <w:lang w:val="en-US" w:eastAsia="zh-CN"/>
              </w:rPr>
              <w:t>5</w:t>
            </w:r>
          </w:p>
        </w:tc>
        <w:tc>
          <w:tcPr>
            <w:tcW w:w="534" w:type="pct"/>
            <w:vAlign w:val="center"/>
          </w:tcPr>
          <w:p w14:paraId="46D29618">
            <w:pPr>
              <w:pStyle w:val="31"/>
              <w:bidi w:val="0"/>
              <w:jc w:val="center"/>
              <w:rPr>
                <w:rFonts w:hint="default"/>
                <w:lang w:val="en-US" w:eastAsia="zh-CN"/>
              </w:rPr>
            </w:pPr>
            <w:r>
              <w:rPr>
                <w:rFonts w:hint="eastAsia"/>
                <w:lang w:val="en-US" w:eastAsia="zh-CN"/>
              </w:rPr>
              <w:t>0.935</w:t>
            </w:r>
          </w:p>
        </w:tc>
        <w:tc>
          <w:tcPr>
            <w:tcW w:w="1397" w:type="pct"/>
            <w:vMerge w:val="continue"/>
            <w:vAlign w:val="center"/>
          </w:tcPr>
          <w:p w14:paraId="4D3D85EE">
            <w:pPr>
              <w:pStyle w:val="31"/>
              <w:bidi w:val="0"/>
              <w:jc w:val="center"/>
              <w:rPr>
                <w:rFonts w:hint="eastAsia"/>
                <w:lang w:val="en-US" w:eastAsia="zh-CN"/>
              </w:rPr>
            </w:pPr>
          </w:p>
        </w:tc>
        <w:tc>
          <w:tcPr>
            <w:tcW w:w="480" w:type="pct"/>
            <w:shd w:val="clear" w:color="auto" w:fill="auto"/>
            <w:vAlign w:val="center"/>
          </w:tcPr>
          <w:p w14:paraId="73F8D64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0.071</w:t>
            </w:r>
          </w:p>
        </w:tc>
        <w:tc>
          <w:tcPr>
            <w:tcW w:w="610" w:type="pct"/>
            <w:vMerge w:val="continue"/>
            <w:vAlign w:val="center"/>
          </w:tcPr>
          <w:p w14:paraId="09C18217">
            <w:pPr>
              <w:pStyle w:val="31"/>
              <w:bidi w:val="0"/>
              <w:jc w:val="center"/>
              <w:rPr>
                <w:rFonts w:hint="eastAsia"/>
                <w:lang w:val="en-US" w:eastAsia="zh-CN"/>
              </w:rPr>
            </w:pPr>
          </w:p>
        </w:tc>
      </w:tr>
      <w:tr w14:paraId="59463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01CF9297">
            <w:pPr>
              <w:pStyle w:val="31"/>
              <w:bidi w:val="0"/>
              <w:jc w:val="center"/>
              <w:rPr>
                <w:rFonts w:hint="default"/>
                <w:lang w:val="en-US" w:eastAsia="zh-CN"/>
              </w:rPr>
            </w:pPr>
          </w:p>
        </w:tc>
        <w:tc>
          <w:tcPr>
            <w:tcW w:w="443" w:type="pct"/>
            <w:vMerge w:val="continue"/>
            <w:vAlign w:val="center"/>
          </w:tcPr>
          <w:p w14:paraId="23368072">
            <w:pPr>
              <w:pStyle w:val="31"/>
              <w:bidi w:val="0"/>
              <w:jc w:val="center"/>
              <w:rPr>
                <w:rFonts w:hint="eastAsia"/>
                <w:lang w:val="en-US" w:eastAsia="zh-CN"/>
              </w:rPr>
            </w:pPr>
          </w:p>
        </w:tc>
        <w:tc>
          <w:tcPr>
            <w:tcW w:w="1130" w:type="pct"/>
            <w:vAlign w:val="center"/>
          </w:tcPr>
          <w:p w14:paraId="69E7B831">
            <w:pPr>
              <w:pStyle w:val="31"/>
              <w:bidi w:val="0"/>
              <w:jc w:val="center"/>
              <w:rPr>
                <w:rFonts w:hint="default"/>
                <w:lang w:val="en-US" w:eastAsia="zh-CN"/>
              </w:rPr>
            </w:pPr>
            <w:r>
              <w:rPr>
                <w:rFonts w:hint="eastAsia"/>
                <w:lang w:val="en-US" w:eastAsia="zh-CN"/>
              </w:rPr>
              <w:t>氨氮</w:t>
            </w:r>
          </w:p>
        </w:tc>
        <w:tc>
          <w:tcPr>
            <w:tcW w:w="534" w:type="pct"/>
            <w:vAlign w:val="center"/>
          </w:tcPr>
          <w:p w14:paraId="49CD4EDC">
            <w:pPr>
              <w:pStyle w:val="31"/>
              <w:bidi w:val="0"/>
              <w:jc w:val="center"/>
              <w:rPr>
                <w:rFonts w:hint="default"/>
                <w:lang w:val="en-US" w:eastAsia="zh-CN"/>
              </w:rPr>
            </w:pPr>
            <w:r>
              <w:rPr>
                <w:rFonts w:hint="eastAsia"/>
                <w:lang w:val="en-US" w:eastAsia="zh-CN"/>
              </w:rPr>
              <w:t>0.165</w:t>
            </w:r>
          </w:p>
        </w:tc>
        <w:tc>
          <w:tcPr>
            <w:tcW w:w="1397" w:type="pct"/>
            <w:vMerge w:val="continue"/>
            <w:vAlign w:val="center"/>
          </w:tcPr>
          <w:p w14:paraId="1B70713A">
            <w:pPr>
              <w:pStyle w:val="31"/>
              <w:bidi w:val="0"/>
              <w:jc w:val="center"/>
              <w:rPr>
                <w:rFonts w:hint="eastAsia"/>
                <w:lang w:val="en-US" w:eastAsia="zh-CN"/>
              </w:rPr>
            </w:pPr>
          </w:p>
        </w:tc>
        <w:tc>
          <w:tcPr>
            <w:tcW w:w="480" w:type="pct"/>
            <w:shd w:val="clear" w:color="auto" w:fill="auto"/>
            <w:vAlign w:val="center"/>
          </w:tcPr>
          <w:p w14:paraId="481627F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0.050</w:t>
            </w:r>
          </w:p>
        </w:tc>
        <w:tc>
          <w:tcPr>
            <w:tcW w:w="610" w:type="pct"/>
            <w:vMerge w:val="continue"/>
            <w:vAlign w:val="center"/>
          </w:tcPr>
          <w:p w14:paraId="386747F4">
            <w:pPr>
              <w:pStyle w:val="31"/>
              <w:bidi w:val="0"/>
              <w:jc w:val="center"/>
              <w:rPr>
                <w:rFonts w:hint="eastAsia"/>
                <w:lang w:val="en-US" w:eastAsia="zh-CN"/>
              </w:rPr>
            </w:pPr>
          </w:p>
        </w:tc>
      </w:tr>
      <w:tr w14:paraId="4FE91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396A45A8">
            <w:pPr>
              <w:pStyle w:val="31"/>
              <w:bidi w:val="0"/>
              <w:jc w:val="center"/>
              <w:rPr>
                <w:rFonts w:hint="default"/>
                <w:lang w:val="en-US" w:eastAsia="zh-CN"/>
              </w:rPr>
            </w:pPr>
          </w:p>
        </w:tc>
        <w:tc>
          <w:tcPr>
            <w:tcW w:w="443" w:type="pct"/>
            <w:vMerge w:val="continue"/>
            <w:vAlign w:val="center"/>
          </w:tcPr>
          <w:p w14:paraId="5141C085">
            <w:pPr>
              <w:pStyle w:val="31"/>
              <w:bidi w:val="0"/>
              <w:jc w:val="center"/>
              <w:rPr>
                <w:rFonts w:hint="eastAsia"/>
                <w:lang w:val="en-US" w:eastAsia="zh-CN"/>
              </w:rPr>
            </w:pPr>
          </w:p>
        </w:tc>
        <w:tc>
          <w:tcPr>
            <w:tcW w:w="1130" w:type="pct"/>
            <w:vAlign w:val="center"/>
          </w:tcPr>
          <w:p w14:paraId="642E4C75">
            <w:pPr>
              <w:pStyle w:val="31"/>
              <w:bidi w:val="0"/>
              <w:jc w:val="center"/>
              <w:rPr>
                <w:rFonts w:hint="default"/>
                <w:lang w:val="en-US" w:eastAsia="zh-CN"/>
              </w:rPr>
            </w:pPr>
            <w:r>
              <w:rPr>
                <w:rFonts w:hint="eastAsia"/>
                <w:lang w:val="en-US" w:eastAsia="zh-CN"/>
              </w:rPr>
              <w:t>SS</w:t>
            </w:r>
          </w:p>
        </w:tc>
        <w:tc>
          <w:tcPr>
            <w:tcW w:w="534" w:type="pct"/>
            <w:vAlign w:val="center"/>
          </w:tcPr>
          <w:p w14:paraId="2855D0D0">
            <w:pPr>
              <w:pStyle w:val="31"/>
              <w:bidi w:val="0"/>
              <w:jc w:val="center"/>
              <w:rPr>
                <w:rFonts w:hint="default"/>
                <w:lang w:val="en-US" w:eastAsia="zh-CN"/>
              </w:rPr>
            </w:pPr>
            <w:r>
              <w:rPr>
                <w:rFonts w:hint="eastAsia"/>
                <w:lang w:val="en-US" w:eastAsia="zh-CN"/>
              </w:rPr>
              <w:t>6.598</w:t>
            </w:r>
          </w:p>
        </w:tc>
        <w:tc>
          <w:tcPr>
            <w:tcW w:w="1397" w:type="pct"/>
            <w:vMerge w:val="continue"/>
            <w:vAlign w:val="center"/>
          </w:tcPr>
          <w:p w14:paraId="3D765B31">
            <w:pPr>
              <w:pStyle w:val="31"/>
              <w:bidi w:val="0"/>
              <w:jc w:val="center"/>
              <w:rPr>
                <w:rFonts w:hint="eastAsia"/>
                <w:lang w:val="en-US" w:eastAsia="zh-CN"/>
              </w:rPr>
            </w:pPr>
          </w:p>
        </w:tc>
        <w:tc>
          <w:tcPr>
            <w:tcW w:w="480" w:type="pct"/>
            <w:shd w:val="clear" w:color="auto" w:fill="auto"/>
            <w:vAlign w:val="center"/>
          </w:tcPr>
          <w:p w14:paraId="6D6737E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0.250</w:t>
            </w:r>
          </w:p>
        </w:tc>
        <w:tc>
          <w:tcPr>
            <w:tcW w:w="610" w:type="pct"/>
            <w:vMerge w:val="continue"/>
            <w:vAlign w:val="center"/>
          </w:tcPr>
          <w:p w14:paraId="120C6158">
            <w:pPr>
              <w:pStyle w:val="31"/>
              <w:bidi w:val="0"/>
              <w:jc w:val="center"/>
              <w:rPr>
                <w:rFonts w:hint="eastAsia"/>
                <w:lang w:val="en-US" w:eastAsia="zh-CN"/>
              </w:rPr>
            </w:pPr>
          </w:p>
        </w:tc>
      </w:tr>
      <w:tr w14:paraId="7FA5B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56B1B416">
            <w:pPr>
              <w:pStyle w:val="31"/>
              <w:bidi w:val="0"/>
              <w:jc w:val="center"/>
              <w:rPr>
                <w:rFonts w:hint="default"/>
                <w:lang w:val="en-US" w:eastAsia="zh-CN"/>
              </w:rPr>
            </w:pPr>
          </w:p>
        </w:tc>
        <w:tc>
          <w:tcPr>
            <w:tcW w:w="443" w:type="pct"/>
            <w:vMerge w:val="continue"/>
            <w:vAlign w:val="center"/>
          </w:tcPr>
          <w:p w14:paraId="7F9B9283">
            <w:pPr>
              <w:pStyle w:val="31"/>
              <w:bidi w:val="0"/>
              <w:jc w:val="center"/>
              <w:rPr>
                <w:rFonts w:hint="eastAsia"/>
                <w:lang w:val="en-US" w:eastAsia="zh-CN"/>
              </w:rPr>
            </w:pPr>
          </w:p>
        </w:tc>
        <w:tc>
          <w:tcPr>
            <w:tcW w:w="1130" w:type="pct"/>
            <w:vAlign w:val="center"/>
          </w:tcPr>
          <w:p w14:paraId="6C6A9741">
            <w:pPr>
              <w:pStyle w:val="31"/>
              <w:bidi w:val="0"/>
              <w:jc w:val="center"/>
              <w:rPr>
                <w:rFonts w:hint="default"/>
                <w:lang w:val="en-US" w:eastAsia="zh-CN"/>
              </w:rPr>
            </w:pPr>
            <w:r>
              <w:rPr>
                <w:rFonts w:hint="eastAsia"/>
                <w:lang w:val="en-US" w:eastAsia="zh-CN"/>
              </w:rPr>
              <w:t>石油类</w:t>
            </w:r>
          </w:p>
        </w:tc>
        <w:tc>
          <w:tcPr>
            <w:tcW w:w="534" w:type="pct"/>
            <w:vAlign w:val="center"/>
          </w:tcPr>
          <w:p w14:paraId="2EFF4BAF">
            <w:pPr>
              <w:pStyle w:val="31"/>
              <w:bidi w:val="0"/>
              <w:jc w:val="center"/>
              <w:rPr>
                <w:rFonts w:hint="default"/>
                <w:lang w:val="en-US" w:eastAsia="zh-CN"/>
              </w:rPr>
            </w:pPr>
            <w:r>
              <w:rPr>
                <w:rFonts w:hint="eastAsia"/>
                <w:lang w:val="en-US" w:eastAsia="zh-CN"/>
              </w:rPr>
              <w:t>0.093</w:t>
            </w:r>
          </w:p>
        </w:tc>
        <w:tc>
          <w:tcPr>
            <w:tcW w:w="1397" w:type="pct"/>
            <w:vMerge w:val="continue"/>
            <w:vAlign w:val="center"/>
          </w:tcPr>
          <w:p w14:paraId="7B21BD81">
            <w:pPr>
              <w:pStyle w:val="31"/>
              <w:bidi w:val="0"/>
              <w:jc w:val="center"/>
              <w:rPr>
                <w:rFonts w:hint="eastAsia"/>
                <w:lang w:val="en-US" w:eastAsia="zh-CN"/>
              </w:rPr>
            </w:pPr>
          </w:p>
        </w:tc>
        <w:tc>
          <w:tcPr>
            <w:tcW w:w="480" w:type="pct"/>
            <w:vAlign w:val="center"/>
          </w:tcPr>
          <w:p w14:paraId="4ECF877D">
            <w:pPr>
              <w:pStyle w:val="31"/>
              <w:bidi w:val="0"/>
              <w:jc w:val="center"/>
              <w:rPr>
                <w:rFonts w:hint="default"/>
                <w:lang w:val="en-US" w:eastAsia="zh-CN"/>
              </w:rPr>
            </w:pPr>
            <w:r>
              <w:rPr>
                <w:rFonts w:hint="eastAsia"/>
                <w:lang w:val="en-US" w:eastAsia="zh-CN"/>
              </w:rPr>
              <w:t>0.007</w:t>
            </w:r>
          </w:p>
        </w:tc>
        <w:tc>
          <w:tcPr>
            <w:tcW w:w="610" w:type="pct"/>
            <w:vMerge w:val="continue"/>
            <w:vAlign w:val="center"/>
          </w:tcPr>
          <w:p w14:paraId="71B738D1">
            <w:pPr>
              <w:pStyle w:val="31"/>
              <w:bidi w:val="0"/>
              <w:jc w:val="center"/>
              <w:rPr>
                <w:rFonts w:hint="eastAsia"/>
                <w:lang w:val="en-US" w:eastAsia="zh-CN"/>
              </w:rPr>
            </w:pPr>
          </w:p>
        </w:tc>
      </w:tr>
      <w:tr w14:paraId="08466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Align w:val="center"/>
          </w:tcPr>
          <w:p w14:paraId="04B5A992">
            <w:pPr>
              <w:pStyle w:val="31"/>
              <w:bidi w:val="0"/>
              <w:jc w:val="center"/>
              <w:rPr>
                <w:rFonts w:hint="default"/>
                <w:lang w:val="en-US" w:eastAsia="zh-CN"/>
              </w:rPr>
            </w:pPr>
            <w:r>
              <w:rPr>
                <w:rFonts w:hint="eastAsia"/>
                <w:lang w:val="en-US" w:eastAsia="zh-CN"/>
              </w:rPr>
              <w:t>噪声</w:t>
            </w:r>
          </w:p>
        </w:tc>
        <w:tc>
          <w:tcPr>
            <w:tcW w:w="443" w:type="pct"/>
            <w:vAlign w:val="center"/>
          </w:tcPr>
          <w:p w14:paraId="4E8F9E43">
            <w:pPr>
              <w:pStyle w:val="31"/>
              <w:bidi w:val="0"/>
              <w:jc w:val="center"/>
              <w:rPr>
                <w:rFonts w:hint="default"/>
                <w:lang w:val="en-US" w:eastAsia="zh-CN"/>
              </w:rPr>
            </w:pPr>
            <w:r>
              <w:rPr>
                <w:rFonts w:hint="eastAsia"/>
                <w:lang w:val="en-US" w:eastAsia="zh-CN"/>
              </w:rPr>
              <w:t>设备噪声</w:t>
            </w:r>
          </w:p>
        </w:tc>
        <w:tc>
          <w:tcPr>
            <w:tcW w:w="1130" w:type="pct"/>
            <w:vAlign w:val="center"/>
          </w:tcPr>
          <w:p w14:paraId="278C106B">
            <w:pPr>
              <w:pStyle w:val="31"/>
              <w:bidi w:val="0"/>
              <w:jc w:val="center"/>
              <w:rPr>
                <w:rFonts w:hint="default"/>
                <w:lang w:val="en-US" w:eastAsia="zh-CN"/>
              </w:rPr>
            </w:pPr>
            <w:r>
              <w:rPr>
                <w:rFonts w:hint="eastAsia"/>
                <w:lang w:val="en-US" w:eastAsia="zh-CN"/>
              </w:rPr>
              <w:t>设备噪声</w:t>
            </w:r>
          </w:p>
        </w:tc>
        <w:tc>
          <w:tcPr>
            <w:tcW w:w="534" w:type="pct"/>
            <w:vAlign w:val="center"/>
          </w:tcPr>
          <w:p w14:paraId="056C96F0">
            <w:pPr>
              <w:pStyle w:val="31"/>
              <w:bidi w:val="0"/>
              <w:jc w:val="center"/>
              <w:rPr>
                <w:rFonts w:hint="default"/>
                <w:lang w:val="en-US" w:eastAsia="zh-CN"/>
              </w:rPr>
            </w:pPr>
            <w:r>
              <w:rPr>
                <w:rFonts w:hint="eastAsia"/>
                <w:lang w:val="en-US" w:eastAsia="zh-CN"/>
              </w:rPr>
              <w:t>70~85dB(A)</w:t>
            </w:r>
          </w:p>
        </w:tc>
        <w:tc>
          <w:tcPr>
            <w:tcW w:w="1397" w:type="pct"/>
            <w:vAlign w:val="center"/>
          </w:tcPr>
          <w:p w14:paraId="7EE4DE06">
            <w:pPr>
              <w:pStyle w:val="31"/>
              <w:bidi w:val="0"/>
              <w:jc w:val="center"/>
              <w:rPr>
                <w:rFonts w:hint="default"/>
                <w:lang w:val="en-US" w:eastAsia="zh-CN"/>
              </w:rPr>
            </w:pPr>
            <w:r>
              <w:rPr>
                <w:rFonts w:hint="eastAsia"/>
                <w:lang w:val="en-US" w:eastAsia="zh-CN"/>
              </w:rPr>
              <w:t>基础减振、空压机设置消声器及隔声罩、废气处理设施风机采用软管连接及消声器</w:t>
            </w:r>
          </w:p>
        </w:tc>
        <w:tc>
          <w:tcPr>
            <w:tcW w:w="480" w:type="pct"/>
            <w:vAlign w:val="center"/>
          </w:tcPr>
          <w:p w14:paraId="3BFD4B29">
            <w:pPr>
              <w:pStyle w:val="31"/>
              <w:bidi w:val="0"/>
              <w:jc w:val="center"/>
              <w:rPr>
                <w:rFonts w:hint="default"/>
                <w:lang w:val="en-US" w:eastAsia="zh-CN"/>
              </w:rPr>
            </w:pPr>
            <w:r>
              <w:rPr>
                <w:rFonts w:hint="eastAsia"/>
                <w:lang w:val="en-US" w:eastAsia="zh-CN"/>
              </w:rPr>
              <w:t>60~75dB(A)</w:t>
            </w:r>
          </w:p>
        </w:tc>
        <w:tc>
          <w:tcPr>
            <w:tcW w:w="610" w:type="pct"/>
            <w:vAlign w:val="center"/>
          </w:tcPr>
          <w:p w14:paraId="3F1F3484">
            <w:pPr>
              <w:pStyle w:val="31"/>
              <w:bidi w:val="0"/>
              <w:jc w:val="center"/>
              <w:rPr>
                <w:rFonts w:hint="default"/>
                <w:lang w:val="en-US" w:eastAsia="zh-CN"/>
              </w:rPr>
            </w:pPr>
            <w:r>
              <w:rPr>
                <w:rFonts w:hint="eastAsia"/>
                <w:lang w:val="en-US" w:eastAsia="zh-CN"/>
              </w:rPr>
              <w:t>/</w:t>
            </w:r>
          </w:p>
        </w:tc>
      </w:tr>
      <w:tr w14:paraId="2F2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restart"/>
            <w:vAlign w:val="center"/>
          </w:tcPr>
          <w:p w14:paraId="11830AA0">
            <w:pPr>
              <w:pStyle w:val="31"/>
              <w:bidi w:val="0"/>
              <w:jc w:val="center"/>
              <w:rPr>
                <w:rFonts w:hint="default"/>
                <w:lang w:val="en-US" w:eastAsia="zh-CN"/>
              </w:rPr>
            </w:pPr>
            <w:r>
              <w:rPr>
                <w:rFonts w:hint="eastAsia"/>
                <w:lang w:val="en-US" w:eastAsia="zh-CN"/>
              </w:rPr>
              <w:t>固体废物</w:t>
            </w:r>
          </w:p>
        </w:tc>
        <w:tc>
          <w:tcPr>
            <w:tcW w:w="443" w:type="pct"/>
            <w:vAlign w:val="center"/>
          </w:tcPr>
          <w:p w14:paraId="26F5F17F">
            <w:pPr>
              <w:pStyle w:val="31"/>
              <w:bidi w:val="0"/>
              <w:jc w:val="center"/>
              <w:rPr>
                <w:rFonts w:hint="default"/>
                <w:lang w:val="en-US" w:eastAsia="zh-CN"/>
              </w:rPr>
            </w:pPr>
            <w:r>
              <w:rPr>
                <w:rFonts w:hint="eastAsia"/>
                <w:lang w:val="en-US" w:eastAsia="zh-CN"/>
              </w:rPr>
              <w:t>生活垃圾</w:t>
            </w:r>
          </w:p>
        </w:tc>
        <w:tc>
          <w:tcPr>
            <w:tcW w:w="1130" w:type="pct"/>
            <w:shd w:val="clear" w:color="auto" w:fill="auto"/>
            <w:vAlign w:val="center"/>
          </w:tcPr>
          <w:p w14:paraId="60CCB66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生活垃圾</w:t>
            </w:r>
          </w:p>
        </w:tc>
        <w:tc>
          <w:tcPr>
            <w:tcW w:w="534" w:type="pct"/>
            <w:shd w:val="clear" w:color="auto" w:fill="auto"/>
            <w:vAlign w:val="center"/>
          </w:tcPr>
          <w:p w14:paraId="564A5C5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3</w:t>
            </w:r>
          </w:p>
        </w:tc>
        <w:tc>
          <w:tcPr>
            <w:tcW w:w="1397" w:type="pct"/>
            <w:vAlign w:val="center"/>
          </w:tcPr>
          <w:p w14:paraId="1243D33E">
            <w:pPr>
              <w:pStyle w:val="31"/>
              <w:bidi w:val="0"/>
              <w:jc w:val="center"/>
              <w:rPr>
                <w:rFonts w:hint="default"/>
                <w:lang w:val="en-US" w:eastAsia="zh-CN"/>
              </w:rPr>
            </w:pPr>
            <w:r>
              <w:rPr>
                <w:rFonts w:hint="eastAsia"/>
                <w:lang w:val="en-US" w:eastAsia="zh-CN"/>
              </w:rPr>
              <w:t>分类垃圾桶收集</w:t>
            </w:r>
          </w:p>
        </w:tc>
        <w:tc>
          <w:tcPr>
            <w:tcW w:w="480" w:type="pct"/>
            <w:vAlign w:val="center"/>
          </w:tcPr>
          <w:p w14:paraId="78A1EB3A">
            <w:pPr>
              <w:pStyle w:val="31"/>
              <w:bidi w:val="0"/>
              <w:jc w:val="center"/>
              <w:rPr>
                <w:rFonts w:hint="default"/>
                <w:lang w:val="en-US" w:eastAsia="zh-CN"/>
              </w:rPr>
            </w:pPr>
            <w:r>
              <w:rPr>
                <w:rFonts w:hint="eastAsia"/>
                <w:lang w:val="en-US" w:eastAsia="zh-CN"/>
              </w:rPr>
              <w:t>0</w:t>
            </w:r>
          </w:p>
        </w:tc>
        <w:tc>
          <w:tcPr>
            <w:tcW w:w="610" w:type="pct"/>
            <w:vAlign w:val="center"/>
          </w:tcPr>
          <w:p w14:paraId="260381E7">
            <w:pPr>
              <w:pStyle w:val="31"/>
              <w:bidi w:val="0"/>
              <w:jc w:val="center"/>
              <w:rPr>
                <w:rFonts w:hint="default"/>
                <w:lang w:val="en-US" w:eastAsia="zh-CN"/>
              </w:rPr>
            </w:pPr>
            <w:r>
              <w:rPr>
                <w:rFonts w:hint="eastAsia"/>
                <w:lang w:val="en-US" w:eastAsia="zh-CN"/>
              </w:rPr>
              <w:t>委托环卫部门处置</w:t>
            </w:r>
          </w:p>
        </w:tc>
      </w:tr>
      <w:tr w14:paraId="65FE8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7F7C878">
            <w:pPr>
              <w:pStyle w:val="31"/>
              <w:bidi w:val="0"/>
              <w:jc w:val="center"/>
              <w:rPr>
                <w:rFonts w:hint="default"/>
                <w:lang w:val="en-US" w:eastAsia="zh-CN"/>
              </w:rPr>
            </w:pPr>
          </w:p>
        </w:tc>
        <w:tc>
          <w:tcPr>
            <w:tcW w:w="443" w:type="pct"/>
            <w:vMerge w:val="restart"/>
            <w:vAlign w:val="center"/>
          </w:tcPr>
          <w:p w14:paraId="1AC58047">
            <w:pPr>
              <w:pStyle w:val="31"/>
              <w:bidi w:val="0"/>
              <w:jc w:val="center"/>
              <w:rPr>
                <w:rFonts w:hint="eastAsia"/>
                <w:lang w:val="en-US" w:eastAsia="zh-CN"/>
              </w:rPr>
            </w:pPr>
            <w:r>
              <w:rPr>
                <w:rFonts w:hint="eastAsia"/>
                <w:lang w:val="en-US" w:eastAsia="zh-CN"/>
              </w:rPr>
              <w:t>一般工业</w:t>
            </w:r>
          </w:p>
          <w:p w14:paraId="7A291DB7">
            <w:pPr>
              <w:pStyle w:val="31"/>
              <w:bidi w:val="0"/>
              <w:jc w:val="center"/>
              <w:rPr>
                <w:rFonts w:hint="default"/>
                <w:lang w:val="en-US" w:eastAsia="zh-CN"/>
              </w:rPr>
            </w:pPr>
            <w:r>
              <w:rPr>
                <w:rFonts w:hint="eastAsia"/>
                <w:lang w:val="en-US" w:eastAsia="zh-CN"/>
              </w:rPr>
              <w:t>固体废物</w:t>
            </w:r>
          </w:p>
        </w:tc>
        <w:tc>
          <w:tcPr>
            <w:tcW w:w="1130" w:type="pct"/>
            <w:shd w:val="clear" w:color="auto" w:fill="auto"/>
            <w:vAlign w:val="center"/>
          </w:tcPr>
          <w:p w14:paraId="2D032386">
            <w:pPr>
              <w:pStyle w:val="31"/>
              <w:bidi w:val="0"/>
              <w:ind w:firstLine="0" w:firstLineChars="0"/>
              <w:jc w:val="center"/>
              <w:rPr>
                <w:rFonts w:hint="eastAsia" w:ascii="Times New Roman" w:hAnsi="Times New Roman" w:eastAsia="宋体" w:cstheme="minorBidi"/>
                <w:kern w:val="2"/>
                <w:sz w:val="21"/>
                <w:szCs w:val="21"/>
                <w:u w:val="none"/>
                <w:lang w:val="en-US" w:eastAsia="zh-CN" w:bidi="ar-SA"/>
                <w14:ligatures w14:val="standardContextual"/>
              </w:rPr>
            </w:pPr>
            <w:r>
              <w:rPr>
                <w:u w:val="none"/>
              </w:rPr>
              <w:t>钢板、钢材碎料及铁锈铁渣等</w:t>
            </w:r>
          </w:p>
        </w:tc>
        <w:tc>
          <w:tcPr>
            <w:tcW w:w="534" w:type="pct"/>
            <w:shd w:val="clear" w:color="auto" w:fill="auto"/>
            <w:vAlign w:val="center"/>
          </w:tcPr>
          <w:p w14:paraId="151249D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2923.21</w:t>
            </w:r>
          </w:p>
        </w:tc>
        <w:tc>
          <w:tcPr>
            <w:tcW w:w="1397" w:type="pct"/>
            <w:vMerge w:val="restart"/>
            <w:vAlign w:val="center"/>
          </w:tcPr>
          <w:p w14:paraId="033553B7">
            <w:pPr>
              <w:pStyle w:val="31"/>
              <w:bidi w:val="0"/>
              <w:jc w:val="center"/>
              <w:rPr>
                <w:rFonts w:hint="default"/>
                <w:lang w:val="en-US" w:eastAsia="zh-CN"/>
              </w:rPr>
            </w:pPr>
            <w:r>
              <w:rPr>
                <w:rFonts w:hint="eastAsia"/>
                <w:lang w:val="en-US" w:eastAsia="zh-CN"/>
              </w:rPr>
              <w:t>场地内短时间暂存（不超过1周），及时通过汽车外运</w:t>
            </w:r>
          </w:p>
        </w:tc>
        <w:tc>
          <w:tcPr>
            <w:tcW w:w="480" w:type="pct"/>
            <w:vAlign w:val="center"/>
          </w:tcPr>
          <w:p w14:paraId="58A4F545">
            <w:pPr>
              <w:bidi w:val="0"/>
              <w:jc w:val="center"/>
              <w:rPr>
                <w:rFonts w:hint="eastAsia"/>
                <w:lang w:val="en-US" w:eastAsia="zh-CN"/>
              </w:rPr>
            </w:pPr>
            <w:r>
              <w:rPr>
                <w:rFonts w:hint="eastAsia"/>
                <w:lang w:val="en-US" w:eastAsia="zh-CN"/>
              </w:rPr>
              <w:t>0</w:t>
            </w:r>
          </w:p>
        </w:tc>
        <w:tc>
          <w:tcPr>
            <w:tcW w:w="610" w:type="pct"/>
            <w:vMerge w:val="restart"/>
            <w:vAlign w:val="center"/>
          </w:tcPr>
          <w:p w14:paraId="44C43523">
            <w:pPr>
              <w:pStyle w:val="31"/>
              <w:bidi w:val="0"/>
              <w:jc w:val="center"/>
              <w:rPr>
                <w:rFonts w:hint="default"/>
                <w:lang w:val="en-US" w:eastAsia="zh-CN"/>
              </w:rPr>
            </w:pPr>
            <w:r>
              <w:rPr>
                <w:rFonts w:hint="eastAsia"/>
                <w:lang w:val="en-US" w:eastAsia="zh-CN"/>
              </w:rPr>
              <w:t>外售</w:t>
            </w:r>
          </w:p>
        </w:tc>
      </w:tr>
      <w:tr w14:paraId="22BA7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587F1CC7">
            <w:pPr>
              <w:pStyle w:val="31"/>
              <w:bidi w:val="0"/>
              <w:jc w:val="center"/>
              <w:rPr>
                <w:rFonts w:hint="default"/>
                <w:lang w:val="en-US" w:eastAsia="zh-CN"/>
              </w:rPr>
            </w:pPr>
          </w:p>
        </w:tc>
        <w:tc>
          <w:tcPr>
            <w:tcW w:w="443" w:type="pct"/>
            <w:vMerge w:val="continue"/>
            <w:vAlign w:val="center"/>
          </w:tcPr>
          <w:p w14:paraId="48C317AF">
            <w:pPr>
              <w:pStyle w:val="31"/>
              <w:bidi w:val="0"/>
              <w:jc w:val="center"/>
              <w:rPr>
                <w:rFonts w:hint="eastAsia"/>
                <w:lang w:val="en-US" w:eastAsia="zh-CN"/>
              </w:rPr>
            </w:pPr>
          </w:p>
        </w:tc>
        <w:tc>
          <w:tcPr>
            <w:tcW w:w="1130" w:type="pct"/>
            <w:shd w:val="clear" w:color="auto" w:fill="auto"/>
            <w:vAlign w:val="center"/>
          </w:tcPr>
          <w:p w14:paraId="7DA1C5EF">
            <w:pPr>
              <w:pStyle w:val="31"/>
              <w:bidi w:val="0"/>
              <w:ind w:firstLine="0" w:firstLineChars="0"/>
              <w:jc w:val="center"/>
              <w:rPr>
                <w:rFonts w:hint="eastAsia" w:ascii="Times New Roman" w:hAnsi="Times New Roman" w:eastAsia="宋体" w:cstheme="minorBidi"/>
                <w:kern w:val="2"/>
                <w:sz w:val="21"/>
                <w:szCs w:val="21"/>
                <w:u w:val="none"/>
                <w:lang w:val="en-US" w:eastAsia="zh-CN" w:bidi="ar-SA"/>
                <w14:ligatures w14:val="standardContextual"/>
              </w:rPr>
            </w:pPr>
            <w:r>
              <w:rPr>
                <w:u w:val="none"/>
              </w:rPr>
              <w:t>木材家具</w:t>
            </w:r>
          </w:p>
        </w:tc>
        <w:tc>
          <w:tcPr>
            <w:tcW w:w="534" w:type="pct"/>
            <w:shd w:val="clear" w:color="auto" w:fill="auto"/>
            <w:vAlign w:val="center"/>
          </w:tcPr>
          <w:p w14:paraId="0FBB11A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25.79</w:t>
            </w:r>
          </w:p>
        </w:tc>
        <w:tc>
          <w:tcPr>
            <w:tcW w:w="1397" w:type="pct"/>
            <w:vMerge w:val="continue"/>
            <w:vAlign w:val="center"/>
          </w:tcPr>
          <w:p w14:paraId="7C512084">
            <w:pPr>
              <w:pStyle w:val="31"/>
              <w:bidi w:val="0"/>
              <w:jc w:val="center"/>
              <w:rPr>
                <w:rFonts w:hint="eastAsia"/>
                <w:lang w:val="en-US" w:eastAsia="zh-CN"/>
              </w:rPr>
            </w:pPr>
          </w:p>
        </w:tc>
        <w:tc>
          <w:tcPr>
            <w:tcW w:w="480" w:type="pct"/>
            <w:vAlign w:val="center"/>
          </w:tcPr>
          <w:p w14:paraId="2D2E2018">
            <w:pPr>
              <w:bidi w:val="0"/>
              <w:jc w:val="center"/>
              <w:rPr>
                <w:rFonts w:hint="eastAsia"/>
                <w:lang w:val="en-US" w:eastAsia="zh-CN"/>
              </w:rPr>
            </w:pPr>
            <w:r>
              <w:rPr>
                <w:rFonts w:hint="eastAsia"/>
                <w:lang w:val="en-US" w:eastAsia="zh-CN"/>
              </w:rPr>
              <w:t>0</w:t>
            </w:r>
          </w:p>
        </w:tc>
        <w:tc>
          <w:tcPr>
            <w:tcW w:w="610" w:type="pct"/>
            <w:vMerge w:val="continue"/>
            <w:vAlign w:val="center"/>
          </w:tcPr>
          <w:p w14:paraId="42F5C099">
            <w:pPr>
              <w:pStyle w:val="31"/>
              <w:bidi w:val="0"/>
              <w:jc w:val="center"/>
              <w:rPr>
                <w:rFonts w:hint="eastAsia"/>
                <w:lang w:val="en-US" w:eastAsia="zh-CN"/>
              </w:rPr>
            </w:pPr>
          </w:p>
        </w:tc>
      </w:tr>
      <w:tr w14:paraId="34A37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5F35FCB1">
            <w:pPr>
              <w:pStyle w:val="31"/>
              <w:bidi w:val="0"/>
              <w:jc w:val="center"/>
              <w:rPr>
                <w:rFonts w:hint="default"/>
                <w:lang w:val="en-US" w:eastAsia="zh-CN"/>
              </w:rPr>
            </w:pPr>
          </w:p>
        </w:tc>
        <w:tc>
          <w:tcPr>
            <w:tcW w:w="443" w:type="pct"/>
            <w:vMerge w:val="continue"/>
            <w:vAlign w:val="center"/>
          </w:tcPr>
          <w:p w14:paraId="6C5134CE">
            <w:pPr>
              <w:pStyle w:val="31"/>
              <w:bidi w:val="0"/>
              <w:jc w:val="center"/>
              <w:rPr>
                <w:rFonts w:hint="eastAsia"/>
                <w:lang w:val="en-US" w:eastAsia="zh-CN"/>
              </w:rPr>
            </w:pPr>
          </w:p>
        </w:tc>
        <w:tc>
          <w:tcPr>
            <w:tcW w:w="1130" w:type="pct"/>
            <w:shd w:val="clear" w:color="auto" w:fill="auto"/>
            <w:vAlign w:val="center"/>
          </w:tcPr>
          <w:p w14:paraId="2F2DE2F6">
            <w:pPr>
              <w:pStyle w:val="31"/>
              <w:bidi w:val="0"/>
              <w:ind w:firstLine="0" w:firstLineChars="0"/>
              <w:jc w:val="center"/>
              <w:rPr>
                <w:rFonts w:hint="eastAsia" w:ascii="Times New Roman" w:hAnsi="Times New Roman" w:eastAsia="宋体" w:cstheme="minorBidi"/>
                <w:kern w:val="2"/>
                <w:sz w:val="21"/>
                <w:szCs w:val="21"/>
                <w:u w:val="none"/>
                <w:lang w:val="en-US" w:eastAsia="zh-CN" w:bidi="ar-SA"/>
                <w14:ligatures w14:val="standardContextual"/>
              </w:rPr>
            </w:pPr>
            <w:r>
              <w:rPr>
                <w:u w:val="none"/>
              </w:rPr>
              <w:t>有色金属（含螺旋桨铜、铝碎料、铜碎料等）</w:t>
            </w:r>
          </w:p>
        </w:tc>
        <w:tc>
          <w:tcPr>
            <w:tcW w:w="534" w:type="pct"/>
            <w:shd w:val="clear" w:color="auto" w:fill="auto"/>
            <w:vAlign w:val="center"/>
          </w:tcPr>
          <w:p w14:paraId="30F0A26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42.99</w:t>
            </w:r>
          </w:p>
        </w:tc>
        <w:tc>
          <w:tcPr>
            <w:tcW w:w="1397" w:type="pct"/>
            <w:vMerge w:val="continue"/>
            <w:vAlign w:val="center"/>
          </w:tcPr>
          <w:p w14:paraId="70E81E45">
            <w:pPr>
              <w:pStyle w:val="31"/>
              <w:bidi w:val="0"/>
              <w:jc w:val="center"/>
              <w:rPr>
                <w:rFonts w:hint="eastAsia"/>
                <w:lang w:val="en-US" w:eastAsia="zh-CN"/>
              </w:rPr>
            </w:pPr>
          </w:p>
        </w:tc>
        <w:tc>
          <w:tcPr>
            <w:tcW w:w="480" w:type="pct"/>
            <w:vAlign w:val="center"/>
          </w:tcPr>
          <w:p w14:paraId="0125B0D1">
            <w:pPr>
              <w:bidi w:val="0"/>
              <w:jc w:val="center"/>
              <w:rPr>
                <w:rFonts w:hint="eastAsia"/>
                <w:lang w:val="en-US" w:eastAsia="zh-CN"/>
              </w:rPr>
            </w:pPr>
            <w:r>
              <w:rPr>
                <w:rFonts w:hint="eastAsia"/>
                <w:lang w:val="en-US" w:eastAsia="zh-CN"/>
              </w:rPr>
              <w:t>0</w:t>
            </w:r>
          </w:p>
        </w:tc>
        <w:tc>
          <w:tcPr>
            <w:tcW w:w="610" w:type="pct"/>
            <w:vMerge w:val="continue"/>
            <w:vAlign w:val="center"/>
          </w:tcPr>
          <w:p w14:paraId="697F52AF">
            <w:pPr>
              <w:pStyle w:val="31"/>
              <w:bidi w:val="0"/>
              <w:jc w:val="center"/>
              <w:rPr>
                <w:rFonts w:hint="eastAsia"/>
                <w:lang w:val="en-US" w:eastAsia="zh-CN"/>
              </w:rPr>
            </w:pPr>
          </w:p>
        </w:tc>
      </w:tr>
      <w:tr w14:paraId="4877A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0C64DC0">
            <w:pPr>
              <w:pStyle w:val="31"/>
              <w:bidi w:val="0"/>
              <w:jc w:val="center"/>
              <w:rPr>
                <w:rFonts w:hint="default"/>
                <w:lang w:val="en-US" w:eastAsia="zh-CN"/>
              </w:rPr>
            </w:pPr>
          </w:p>
        </w:tc>
        <w:tc>
          <w:tcPr>
            <w:tcW w:w="443" w:type="pct"/>
            <w:vMerge w:val="continue"/>
            <w:vAlign w:val="center"/>
          </w:tcPr>
          <w:p w14:paraId="14A69A71">
            <w:pPr>
              <w:pStyle w:val="31"/>
              <w:bidi w:val="0"/>
              <w:jc w:val="center"/>
              <w:rPr>
                <w:rFonts w:hint="eastAsia"/>
                <w:lang w:val="en-US" w:eastAsia="zh-CN"/>
              </w:rPr>
            </w:pPr>
          </w:p>
        </w:tc>
        <w:tc>
          <w:tcPr>
            <w:tcW w:w="1130" w:type="pct"/>
            <w:shd w:val="clear" w:color="auto" w:fill="auto"/>
            <w:vAlign w:val="center"/>
          </w:tcPr>
          <w:p w14:paraId="0CA07109">
            <w:pPr>
              <w:pStyle w:val="31"/>
              <w:bidi w:val="0"/>
              <w:ind w:firstLine="0" w:firstLineChars="0"/>
              <w:jc w:val="center"/>
              <w:rPr>
                <w:rFonts w:hint="eastAsia" w:ascii="Times New Roman" w:hAnsi="Times New Roman" w:eastAsia="宋体" w:cstheme="minorBidi"/>
                <w:kern w:val="2"/>
                <w:sz w:val="21"/>
                <w:szCs w:val="21"/>
                <w:u w:val="none"/>
                <w:lang w:val="en-US" w:eastAsia="zh-CN" w:bidi="ar-SA"/>
                <w14:ligatures w14:val="standardContextual"/>
              </w:rPr>
            </w:pPr>
            <w:r>
              <w:rPr>
                <w:u w:val="none"/>
              </w:rPr>
              <w:t>电线电缆</w:t>
            </w:r>
          </w:p>
        </w:tc>
        <w:tc>
          <w:tcPr>
            <w:tcW w:w="534" w:type="pct"/>
            <w:shd w:val="clear" w:color="auto" w:fill="auto"/>
            <w:vAlign w:val="center"/>
          </w:tcPr>
          <w:p w14:paraId="6A5CCDB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17.20</w:t>
            </w:r>
          </w:p>
        </w:tc>
        <w:tc>
          <w:tcPr>
            <w:tcW w:w="1397" w:type="pct"/>
            <w:vMerge w:val="continue"/>
            <w:vAlign w:val="center"/>
          </w:tcPr>
          <w:p w14:paraId="192647F5">
            <w:pPr>
              <w:pStyle w:val="31"/>
              <w:bidi w:val="0"/>
              <w:jc w:val="center"/>
              <w:rPr>
                <w:rFonts w:hint="eastAsia"/>
                <w:lang w:val="en-US" w:eastAsia="zh-CN"/>
              </w:rPr>
            </w:pPr>
          </w:p>
        </w:tc>
        <w:tc>
          <w:tcPr>
            <w:tcW w:w="480" w:type="pct"/>
            <w:vAlign w:val="center"/>
          </w:tcPr>
          <w:p w14:paraId="6161C7CF">
            <w:pPr>
              <w:bidi w:val="0"/>
              <w:jc w:val="center"/>
              <w:rPr>
                <w:rFonts w:hint="eastAsia"/>
                <w:lang w:val="en-US" w:eastAsia="zh-CN"/>
              </w:rPr>
            </w:pPr>
            <w:r>
              <w:rPr>
                <w:rFonts w:hint="eastAsia"/>
                <w:lang w:val="en-US" w:eastAsia="zh-CN"/>
              </w:rPr>
              <w:t>0</w:t>
            </w:r>
          </w:p>
        </w:tc>
        <w:tc>
          <w:tcPr>
            <w:tcW w:w="610" w:type="pct"/>
            <w:vMerge w:val="continue"/>
            <w:vAlign w:val="center"/>
          </w:tcPr>
          <w:p w14:paraId="4B5F9B56">
            <w:pPr>
              <w:pStyle w:val="31"/>
              <w:bidi w:val="0"/>
              <w:jc w:val="center"/>
              <w:rPr>
                <w:rFonts w:hint="eastAsia"/>
                <w:lang w:val="en-US" w:eastAsia="zh-CN"/>
              </w:rPr>
            </w:pPr>
          </w:p>
        </w:tc>
      </w:tr>
      <w:tr w14:paraId="481D5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886E173">
            <w:pPr>
              <w:pStyle w:val="31"/>
              <w:bidi w:val="0"/>
              <w:jc w:val="center"/>
              <w:rPr>
                <w:rFonts w:hint="default"/>
                <w:lang w:val="en-US" w:eastAsia="zh-CN"/>
              </w:rPr>
            </w:pPr>
          </w:p>
        </w:tc>
        <w:tc>
          <w:tcPr>
            <w:tcW w:w="443" w:type="pct"/>
            <w:vMerge w:val="continue"/>
            <w:vAlign w:val="center"/>
          </w:tcPr>
          <w:p w14:paraId="66A9501D">
            <w:pPr>
              <w:pStyle w:val="31"/>
              <w:bidi w:val="0"/>
              <w:jc w:val="center"/>
              <w:rPr>
                <w:rFonts w:hint="eastAsia"/>
                <w:lang w:val="en-US" w:eastAsia="zh-CN"/>
              </w:rPr>
            </w:pPr>
          </w:p>
        </w:tc>
        <w:tc>
          <w:tcPr>
            <w:tcW w:w="1130" w:type="pct"/>
            <w:shd w:val="clear" w:color="auto" w:fill="auto"/>
            <w:vAlign w:val="center"/>
          </w:tcPr>
          <w:p w14:paraId="6D77B371">
            <w:pPr>
              <w:pStyle w:val="31"/>
              <w:bidi w:val="0"/>
              <w:ind w:firstLine="0" w:firstLineChars="0"/>
              <w:jc w:val="center"/>
              <w:rPr>
                <w:rFonts w:hint="eastAsia" w:ascii="Times New Roman" w:hAnsi="Times New Roman" w:eastAsia="宋体" w:cstheme="minorBidi"/>
                <w:kern w:val="2"/>
                <w:sz w:val="21"/>
                <w:szCs w:val="21"/>
                <w:u w:val="none"/>
                <w:lang w:val="en-US" w:eastAsia="zh-CN" w:bidi="ar-SA"/>
                <w14:ligatures w14:val="standardContextual"/>
              </w:rPr>
            </w:pPr>
            <w:r>
              <w:rPr>
                <w:u w:val="none"/>
              </w:rPr>
              <w:t>机械设备及仪器仪表（起货机、绞缆机、起重机、机修设备、主机、发电机组、通讯导航仪器、水泵等）</w:t>
            </w:r>
          </w:p>
        </w:tc>
        <w:tc>
          <w:tcPr>
            <w:tcW w:w="534" w:type="pct"/>
            <w:shd w:val="clear" w:color="auto" w:fill="auto"/>
            <w:vAlign w:val="center"/>
          </w:tcPr>
          <w:p w14:paraId="1DB6506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429.88</w:t>
            </w:r>
          </w:p>
        </w:tc>
        <w:tc>
          <w:tcPr>
            <w:tcW w:w="1397" w:type="pct"/>
            <w:vMerge w:val="continue"/>
            <w:vAlign w:val="center"/>
          </w:tcPr>
          <w:p w14:paraId="68F40AE4">
            <w:pPr>
              <w:pStyle w:val="31"/>
              <w:bidi w:val="0"/>
              <w:jc w:val="center"/>
              <w:rPr>
                <w:rFonts w:hint="eastAsia"/>
                <w:lang w:val="en-US" w:eastAsia="zh-CN"/>
              </w:rPr>
            </w:pPr>
          </w:p>
        </w:tc>
        <w:tc>
          <w:tcPr>
            <w:tcW w:w="480" w:type="pct"/>
            <w:vAlign w:val="center"/>
          </w:tcPr>
          <w:p w14:paraId="15063D41">
            <w:pPr>
              <w:bidi w:val="0"/>
              <w:jc w:val="center"/>
              <w:rPr>
                <w:rFonts w:hint="eastAsia"/>
                <w:lang w:val="en-US" w:eastAsia="zh-CN"/>
              </w:rPr>
            </w:pPr>
            <w:r>
              <w:rPr>
                <w:rFonts w:hint="eastAsia"/>
                <w:lang w:val="en-US" w:eastAsia="zh-CN"/>
              </w:rPr>
              <w:t>0</w:t>
            </w:r>
          </w:p>
        </w:tc>
        <w:tc>
          <w:tcPr>
            <w:tcW w:w="610" w:type="pct"/>
            <w:vMerge w:val="continue"/>
            <w:vAlign w:val="center"/>
          </w:tcPr>
          <w:p w14:paraId="78B854AE">
            <w:pPr>
              <w:pStyle w:val="31"/>
              <w:bidi w:val="0"/>
              <w:jc w:val="center"/>
              <w:rPr>
                <w:rFonts w:hint="eastAsia"/>
                <w:lang w:val="en-US" w:eastAsia="zh-CN"/>
              </w:rPr>
            </w:pPr>
          </w:p>
        </w:tc>
      </w:tr>
      <w:tr w14:paraId="4BCFA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21AD59A">
            <w:pPr>
              <w:pStyle w:val="31"/>
              <w:bidi w:val="0"/>
              <w:jc w:val="center"/>
              <w:rPr>
                <w:rFonts w:hint="default"/>
                <w:lang w:val="en-US" w:eastAsia="zh-CN"/>
              </w:rPr>
            </w:pPr>
          </w:p>
        </w:tc>
        <w:tc>
          <w:tcPr>
            <w:tcW w:w="443" w:type="pct"/>
            <w:vMerge w:val="continue"/>
            <w:vAlign w:val="center"/>
          </w:tcPr>
          <w:p w14:paraId="39F42D2D">
            <w:pPr>
              <w:pStyle w:val="31"/>
              <w:bidi w:val="0"/>
              <w:jc w:val="center"/>
              <w:rPr>
                <w:rFonts w:hint="eastAsia"/>
                <w:lang w:val="en-US" w:eastAsia="zh-CN"/>
              </w:rPr>
            </w:pPr>
          </w:p>
        </w:tc>
        <w:tc>
          <w:tcPr>
            <w:tcW w:w="1130" w:type="pct"/>
            <w:shd w:val="clear" w:color="auto" w:fill="auto"/>
            <w:vAlign w:val="center"/>
          </w:tcPr>
          <w:p w14:paraId="550F42E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不可回收一般固废</w:t>
            </w:r>
          </w:p>
        </w:tc>
        <w:tc>
          <w:tcPr>
            <w:tcW w:w="534" w:type="pct"/>
            <w:shd w:val="clear" w:color="auto" w:fill="auto"/>
            <w:vAlign w:val="center"/>
          </w:tcPr>
          <w:p w14:paraId="64E7420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0.34</w:t>
            </w:r>
          </w:p>
        </w:tc>
        <w:tc>
          <w:tcPr>
            <w:tcW w:w="1397" w:type="pct"/>
            <w:vAlign w:val="center"/>
          </w:tcPr>
          <w:p w14:paraId="75D73F1B">
            <w:pPr>
              <w:pStyle w:val="31"/>
              <w:bidi w:val="0"/>
              <w:jc w:val="center"/>
              <w:rPr>
                <w:rFonts w:hint="default"/>
                <w:lang w:val="en-US" w:eastAsia="zh-CN"/>
              </w:rPr>
            </w:pPr>
            <w:r>
              <w:rPr>
                <w:rFonts w:hint="eastAsia"/>
                <w:lang w:val="en-US" w:eastAsia="zh-CN"/>
              </w:rPr>
              <w:t>一般固废暂存间暂存</w:t>
            </w:r>
          </w:p>
        </w:tc>
        <w:tc>
          <w:tcPr>
            <w:tcW w:w="480" w:type="pct"/>
            <w:vAlign w:val="center"/>
          </w:tcPr>
          <w:p w14:paraId="35B48628">
            <w:pPr>
              <w:pStyle w:val="31"/>
              <w:bidi w:val="0"/>
              <w:jc w:val="center"/>
              <w:rPr>
                <w:rFonts w:hint="default"/>
                <w:lang w:val="en-US" w:eastAsia="zh-CN"/>
              </w:rPr>
            </w:pPr>
            <w:r>
              <w:rPr>
                <w:rFonts w:hint="eastAsia"/>
                <w:lang w:val="en-US" w:eastAsia="zh-CN"/>
              </w:rPr>
              <w:t>0</w:t>
            </w:r>
          </w:p>
        </w:tc>
        <w:tc>
          <w:tcPr>
            <w:tcW w:w="610" w:type="pct"/>
            <w:vAlign w:val="center"/>
          </w:tcPr>
          <w:p w14:paraId="08CF3CE4">
            <w:pPr>
              <w:pStyle w:val="31"/>
              <w:bidi w:val="0"/>
              <w:jc w:val="center"/>
              <w:rPr>
                <w:rFonts w:hint="default"/>
                <w:lang w:val="en-US" w:eastAsia="zh-CN"/>
              </w:rPr>
            </w:pPr>
            <w:r>
              <w:rPr>
                <w:rFonts w:hint="eastAsia"/>
                <w:lang w:val="en-US" w:eastAsia="zh-CN"/>
              </w:rPr>
              <w:t>委托环卫部门处置</w:t>
            </w:r>
          </w:p>
        </w:tc>
      </w:tr>
      <w:tr w14:paraId="5A62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762502D6">
            <w:pPr>
              <w:pStyle w:val="31"/>
              <w:bidi w:val="0"/>
              <w:jc w:val="center"/>
              <w:rPr>
                <w:rFonts w:hint="default"/>
                <w:lang w:val="en-US" w:eastAsia="zh-CN"/>
              </w:rPr>
            </w:pPr>
          </w:p>
        </w:tc>
        <w:tc>
          <w:tcPr>
            <w:tcW w:w="443" w:type="pct"/>
            <w:vMerge w:val="restart"/>
            <w:vAlign w:val="center"/>
          </w:tcPr>
          <w:p w14:paraId="4ADE6941">
            <w:pPr>
              <w:pStyle w:val="31"/>
              <w:bidi w:val="0"/>
              <w:jc w:val="center"/>
              <w:rPr>
                <w:rFonts w:hint="default"/>
                <w:lang w:val="en-US" w:eastAsia="zh-CN"/>
              </w:rPr>
            </w:pPr>
            <w:r>
              <w:rPr>
                <w:rFonts w:hint="eastAsia"/>
                <w:lang w:val="en-US" w:eastAsia="zh-CN"/>
              </w:rPr>
              <w:t>危险废物</w:t>
            </w:r>
          </w:p>
        </w:tc>
        <w:tc>
          <w:tcPr>
            <w:tcW w:w="1130" w:type="pct"/>
            <w:shd w:val="clear" w:color="auto" w:fill="auto"/>
            <w:vAlign w:val="center"/>
          </w:tcPr>
          <w:p w14:paraId="221C556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534" w:type="pct"/>
            <w:shd w:val="clear" w:color="auto" w:fill="auto"/>
            <w:vAlign w:val="center"/>
          </w:tcPr>
          <w:p w14:paraId="2689CC6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c>
          <w:tcPr>
            <w:tcW w:w="1397" w:type="pct"/>
            <w:vMerge w:val="restart"/>
            <w:vAlign w:val="center"/>
          </w:tcPr>
          <w:p w14:paraId="55044E5D">
            <w:pPr>
              <w:pStyle w:val="31"/>
              <w:bidi w:val="0"/>
              <w:jc w:val="center"/>
              <w:rPr>
                <w:rFonts w:hint="default"/>
                <w:lang w:val="en-US" w:eastAsia="zh-CN"/>
              </w:rPr>
            </w:pPr>
            <w:r>
              <w:rPr>
                <w:rFonts w:hint="eastAsia"/>
                <w:lang w:val="en-US" w:eastAsia="zh-CN"/>
              </w:rPr>
              <w:t>危废暂存间分区暂存</w:t>
            </w:r>
          </w:p>
        </w:tc>
        <w:tc>
          <w:tcPr>
            <w:tcW w:w="480" w:type="pct"/>
            <w:vAlign w:val="center"/>
          </w:tcPr>
          <w:p w14:paraId="5A799415">
            <w:pPr>
              <w:pStyle w:val="31"/>
              <w:bidi w:val="0"/>
              <w:jc w:val="center"/>
              <w:rPr>
                <w:rFonts w:hint="default"/>
                <w:lang w:val="en-US" w:eastAsia="zh-CN"/>
              </w:rPr>
            </w:pPr>
            <w:r>
              <w:rPr>
                <w:rFonts w:hint="eastAsia"/>
                <w:lang w:val="en-US" w:eastAsia="zh-CN"/>
              </w:rPr>
              <w:t>0</w:t>
            </w:r>
          </w:p>
        </w:tc>
        <w:tc>
          <w:tcPr>
            <w:tcW w:w="610" w:type="pct"/>
            <w:vMerge w:val="restart"/>
            <w:vAlign w:val="center"/>
          </w:tcPr>
          <w:p w14:paraId="3F722DF3">
            <w:pPr>
              <w:pStyle w:val="31"/>
              <w:bidi w:val="0"/>
              <w:jc w:val="center"/>
              <w:rPr>
                <w:rFonts w:hint="default"/>
                <w:lang w:val="en-US" w:eastAsia="zh-CN"/>
              </w:rPr>
            </w:pPr>
            <w:r>
              <w:rPr>
                <w:rFonts w:hint="eastAsia"/>
                <w:lang w:val="en-US" w:eastAsia="zh-CN"/>
              </w:rPr>
              <w:t>委托有资质单位处置</w:t>
            </w:r>
          </w:p>
        </w:tc>
      </w:tr>
      <w:tr w14:paraId="2F0DC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DA88587">
            <w:pPr>
              <w:pStyle w:val="31"/>
              <w:bidi w:val="0"/>
              <w:jc w:val="center"/>
              <w:rPr>
                <w:rFonts w:hint="default"/>
                <w:lang w:val="en-US" w:eastAsia="zh-CN"/>
              </w:rPr>
            </w:pPr>
          </w:p>
        </w:tc>
        <w:tc>
          <w:tcPr>
            <w:tcW w:w="443" w:type="pct"/>
            <w:vMerge w:val="continue"/>
            <w:vAlign w:val="center"/>
          </w:tcPr>
          <w:p w14:paraId="0A64A445">
            <w:pPr>
              <w:pStyle w:val="31"/>
              <w:bidi w:val="0"/>
              <w:jc w:val="center"/>
              <w:rPr>
                <w:rFonts w:hint="eastAsia"/>
                <w:lang w:val="en-US" w:eastAsia="zh-CN"/>
              </w:rPr>
            </w:pPr>
          </w:p>
        </w:tc>
        <w:tc>
          <w:tcPr>
            <w:tcW w:w="1130" w:type="pct"/>
            <w:shd w:val="clear" w:color="auto" w:fill="auto"/>
            <w:vAlign w:val="center"/>
          </w:tcPr>
          <w:p w14:paraId="5878B59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534" w:type="pct"/>
            <w:shd w:val="clear" w:color="auto" w:fill="auto"/>
            <w:vAlign w:val="center"/>
          </w:tcPr>
          <w:p w14:paraId="1A9E465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c>
          <w:tcPr>
            <w:tcW w:w="1397" w:type="pct"/>
            <w:vMerge w:val="continue"/>
            <w:vAlign w:val="center"/>
          </w:tcPr>
          <w:p w14:paraId="0C012854">
            <w:pPr>
              <w:pStyle w:val="31"/>
              <w:bidi w:val="0"/>
              <w:jc w:val="center"/>
              <w:rPr>
                <w:rFonts w:hint="eastAsia"/>
                <w:lang w:val="en-US" w:eastAsia="zh-CN"/>
              </w:rPr>
            </w:pPr>
          </w:p>
        </w:tc>
        <w:tc>
          <w:tcPr>
            <w:tcW w:w="480" w:type="pct"/>
            <w:vAlign w:val="center"/>
          </w:tcPr>
          <w:p w14:paraId="1D1F401A">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1522C9CD">
            <w:pPr>
              <w:pStyle w:val="31"/>
              <w:bidi w:val="0"/>
              <w:jc w:val="center"/>
              <w:rPr>
                <w:rFonts w:hint="eastAsia"/>
                <w:lang w:val="en-US" w:eastAsia="zh-CN"/>
              </w:rPr>
            </w:pPr>
          </w:p>
        </w:tc>
      </w:tr>
      <w:tr w14:paraId="606F4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43E538B5">
            <w:pPr>
              <w:pStyle w:val="31"/>
              <w:bidi w:val="0"/>
              <w:jc w:val="center"/>
              <w:rPr>
                <w:rFonts w:hint="default"/>
                <w:lang w:val="en-US" w:eastAsia="zh-CN"/>
              </w:rPr>
            </w:pPr>
          </w:p>
        </w:tc>
        <w:tc>
          <w:tcPr>
            <w:tcW w:w="443" w:type="pct"/>
            <w:vMerge w:val="continue"/>
            <w:vAlign w:val="center"/>
          </w:tcPr>
          <w:p w14:paraId="2FD6C62D">
            <w:pPr>
              <w:pStyle w:val="31"/>
              <w:bidi w:val="0"/>
              <w:jc w:val="center"/>
              <w:rPr>
                <w:rFonts w:hint="eastAsia"/>
                <w:lang w:val="en-US" w:eastAsia="zh-CN"/>
              </w:rPr>
            </w:pPr>
          </w:p>
        </w:tc>
        <w:tc>
          <w:tcPr>
            <w:tcW w:w="1130" w:type="pct"/>
            <w:shd w:val="clear" w:color="auto" w:fill="auto"/>
            <w:vAlign w:val="center"/>
          </w:tcPr>
          <w:p w14:paraId="2D531BA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534" w:type="pct"/>
            <w:shd w:val="clear" w:color="auto" w:fill="auto"/>
            <w:vAlign w:val="center"/>
          </w:tcPr>
          <w:p w14:paraId="30F54F9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c>
          <w:tcPr>
            <w:tcW w:w="1397" w:type="pct"/>
            <w:vMerge w:val="continue"/>
            <w:vAlign w:val="center"/>
          </w:tcPr>
          <w:p w14:paraId="64772069">
            <w:pPr>
              <w:pStyle w:val="31"/>
              <w:bidi w:val="0"/>
              <w:jc w:val="center"/>
              <w:rPr>
                <w:rFonts w:hint="eastAsia"/>
                <w:lang w:val="en-US" w:eastAsia="zh-CN"/>
              </w:rPr>
            </w:pPr>
          </w:p>
        </w:tc>
        <w:tc>
          <w:tcPr>
            <w:tcW w:w="480" w:type="pct"/>
            <w:vAlign w:val="center"/>
          </w:tcPr>
          <w:p w14:paraId="67C25E88">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2AF8F402">
            <w:pPr>
              <w:pStyle w:val="31"/>
              <w:bidi w:val="0"/>
              <w:jc w:val="center"/>
              <w:rPr>
                <w:rFonts w:hint="eastAsia"/>
                <w:lang w:val="en-US" w:eastAsia="zh-CN"/>
              </w:rPr>
            </w:pPr>
          </w:p>
        </w:tc>
      </w:tr>
      <w:tr w14:paraId="70EAE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7DB4FCAC">
            <w:pPr>
              <w:pStyle w:val="31"/>
              <w:bidi w:val="0"/>
              <w:jc w:val="center"/>
              <w:rPr>
                <w:rFonts w:hint="default"/>
                <w:lang w:val="en-US" w:eastAsia="zh-CN"/>
              </w:rPr>
            </w:pPr>
          </w:p>
        </w:tc>
        <w:tc>
          <w:tcPr>
            <w:tcW w:w="443" w:type="pct"/>
            <w:vMerge w:val="continue"/>
            <w:vAlign w:val="center"/>
          </w:tcPr>
          <w:p w14:paraId="6F486D22">
            <w:pPr>
              <w:pStyle w:val="31"/>
              <w:bidi w:val="0"/>
              <w:jc w:val="center"/>
              <w:rPr>
                <w:rFonts w:hint="eastAsia"/>
                <w:lang w:val="en-US" w:eastAsia="zh-CN"/>
              </w:rPr>
            </w:pPr>
          </w:p>
        </w:tc>
        <w:tc>
          <w:tcPr>
            <w:tcW w:w="1130" w:type="pct"/>
            <w:shd w:val="clear" w:color="auto" w:fill="auto"/>
            <w:vAlign w:val="center"/>
          </w:tcPr>
          <w:p w14:paraId="402DD30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废漆渣（剥落油漆/涂料碎片）</w:t>
            </w:r>
          </w:p>
        </w:tc>
        <w:tc>
          <w:tcPr>
            <w:tcW w:w="534" w:type="pct"/>
            <w:shd w:val="clear" w:color="auto" w:fill="auto"/>
            <w:vAlign w:val="center"/>
          </w:tcPr>
          <w:p w14:paraId="575F8A4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0.094</w:t>
            </w:r>
          </w:p>
        </w:tc>
        <w:tc>
          <w:tcPr>
            <w:tcW w:w="1397" w:type="pct"/>
            <w:vMerge w:val="continue"/>
            <w:vAlign w:val="center"/>
          </w:tcPr>
          <w:p w14:paraId="68D09809">
            <w:pPr>
              <w:pStyle w:val="31"/>
              <w:bidi w:val="0"/>
              <w:jc w:val="center"/>
              <w:rPr>
                <w:rFonts w:hint="eastAsia"/>
                <w:lang w:val="en-US" w:eastAsia="zh-CN"/>
              </w:rPr>
            </w:pPr>
          </w:p>
        </w:tc>
        <w:tc>
          <w:tcPr>
            <w:tcW w:w="480" w:type="pct"/>
            <w:vAlign w:val="center"/>
          </w:tcPr>
          <w:p w14:paraId="10BEF37C">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31C4EBE7">
            <w:pPr>
              <w:pStyle w:val="31"/>
              <w:bidi w:val="0"/>
              <w:jc w:val="center"/>
              <w:rPr>
                <w:rFonts w:hint="eastAsia"/>
                <w:lang w:val="en-US" w:eastAsia="zh-CN"/>
              </w:rPr>
            </w:pPr>
          </w:p>
        </w:tc>
      </w:tr>
      <w:tr w14:paraId="3985A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6B595A3F">
            <w:pPr>
              <w:pStyle w:val="31"/>
              <w:bidi w:val="0"/>
              <w:jc w:val="center"/>
              <w:rPr>
                <w:rFonts w:hint="default"/>
                <w:lang w:val="en-US" w:eastAsia="zh-CN"/>
              </w:rPr>
            </w:pPr>
          </w:p>
        </w:tc>
        <w:tc>
          <w:tcPr>
            <w:tcW w:w="443" w:type="pct"/>
            <w:vMerge w:val="continue"/>
            <w:vAlign w:val="center"/>
          </w:tcPr>
          <w:p w14:paraId="75C03235">
            <w:pPr>
              <w:pStyle w:val="31"/>
              <w:bidi w:val="0"/>
              <w:jc w:val="center"/>
              <w:rPr>
                <w:rFonts w:hint="eastAsia"/>
                <w:lang w:val="en-US" w:eastAsia="zh-CN"/>
              </w:rPr>
            </w:pPr>
          </w:p>
        </w:tc>
        <w:tc>
          <w:tcPr>
            <w:tcW w:w="1130" w:type="pct"/>
            <w:shd w:val="clear" w:color="auto" w:fill="auto"/>
            <w:vAlign w:val="center"/>
          </w:tcPr>
          <w:p w14:paraId="2E1865F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534" w:type="pct"/>
            <w:shd w:val="clear" w:color="auto" w:fill="auto"/>
            <w:vAlign w:val="center"/>
          </w:tcPr>
          <w:p w14:paraId="1F4807D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c>
          <w:tcPr>
            <w:tcW w:w="1397" w:type="pct"/>
            <w:vMerge w:val="continue"/>
            <w:vAlign w:val="center"/>
          </w:tcPr>
          <w:p w14:paraId="1B6A8FDE">
            <w:pPr>
              <w:pStyle w:val="31"/>
              <w:bidi w:val="0"/>
              <w:jc w:val="center"/>
              <w:rPr>
                <w:rFonts w:hint="eastAsia"/>
                <w:lang w:val="en-US" w:eastAsia="zh-CN"/>
              </w:rPr>
            </w:pPr>
          </w:p>
        </w:tc>
        <w:tc>
          <w:tcPr>
            <w:tcW w:w="480" w:type="pct"/>
            <w:vAlign w:val="center"/>
          </w:tcPr>
          <w:p w14:paraId="5065EA50">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589F0023">
            <w:pPr>
              <w:pStyle w:val="31"/>
              <w:bidi w:val="0"/>
              <w:jc w:val="center"/>
              <w:rPr>
                <w:rFonts w:hint="eastAsia"/>
                <w:lang w:val="en-US" w:eastAsia="zh-CN"/>
              </w:rPr>
            </w:pPr>
          </w:p>
        </w:tc>
      </w:tr>
      <w:tr w14:paraId="45C75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E29A356">
            <w:pPr>
              <w:pStyle w:val="31"/>
              <w:bidi w:val="0"/>
              <w:jc w:val="center"/>
              <w:rPr>
                <w:rFonts w:hint="default"/>
                <w:lang w:val="en-US" w:eastAsia="zh-CN"/>
              </w:rPr>
            </w:pPr>
          </w:p>
        </w:tc>
        <w:tc>
          <w:tcPr>
            <w:tcW w:w="443" w:type="pct"/>
            <w:vMerge w:val="continue"/>
            <w:vAlign w:val="center"/>
          </w:tcPr>
          <w:p w14:paraId="2191AFBD">
            <w:pPr>
              <w:pStyle w:val="31"/>
              <w:bidi w:val="0"/>
              <w:jc w:val="center"/>
              <w:rPr>
                <w:rFonts w:hint="eastAsia"/>
                <w:lang w:val="en-US" w:eastAsia="zh-CN"/>
              </w:rPr>
            </w:pPr>
          </w:p>
        </w:tc>
        <w:tc>
          <w:tcPr>
            <w:tcW w:w="1130" w:type="pct"/>
            <w:shd w:val="clear" w:color="auto" w:fill="auto"/>
            <w:vAlign w:val="center"/>
          </w:tcPr>
          <w:p w14:paraId="2428C5F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534" w:type="pct"/>
            <w:shd w:val="clear" w:color="auto" w:fill="auto"/>
            <w:vAlign w:val="center"/>
          </w:tcPr>
          <w:p w14:paraId="00701E5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1397" w:type="pct"/>
            <w:vMerge w:val="continue"/>
            <w:vAlign w:val="center"/>
          </w:tcPr>
          <w:p w14:paraId="6C21E26F">
            <w:pPr>
              <w:pStyle w:val="31"/>
              <w:bidi w:val="0"/>
              <w:jc w:val="center"/>
              <w:rPr>
                <w:rFonts w:hint="eastAsia"/>
                <w:lang w:val="en-US" w:eastAsia="zh-CN"/>
              </w:rPr>
            </w:pPr>
          </w:p>
        </w:tc>
        <w:tc>
          <w:tcPr>
            <w:tcW w:w="480" w:type="pct"/>
            <w:vAlign w:val="center"/>
          </w:tcPr>
          <w:p w14:paraId="799C4ED0">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061F6FB6">
            <w:pPr>
              <w:pStyle w:val="31"/>
              <w:bidi w:val="0"/>
              <w:jc w:val="center"/>
              <w:rPr>
                <w:rFonts w:hint="eastAsia"/>
                <w:lang w:val="en-US" w:eastAsia="zh-CN"/>
              </w:rPr>
            </w:pPr>
          </w:p>
        </w:tc>
      </w:tr>
      <w:tr w14:paraId="7CCE8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F7C6040">
            <w:pPr>
              <w:pStyle w:val="31"/>
              <w:bidi w:val="0"/>
              <w:jc w:val="center"/>
              <w:rPr>
                <w:rFonts w:hint="default"/>
                <w:lang w:val="en-US" w:eastAsia="zh-CN"/>
              </w:rPr>
            </w:pPr>
          </w:p>
        </w:tc>
        <w:tc>
          <w:tcPr>
            <w:tcW w:w="443" w:type="pct"/>
            <w:vMerge w:val="continue"/>
            <w:vAlign w:val="center"/>
          </w:tcPr>
          <w:p w14:paraId="0FE01305">
            <w:pPr>
              <w:pStyle w:val="31"/>
              <w:bidi w:val="0"/>
              <w:jc w:val="center"/>
              <w:rPr>
                <w:rFonts w:hint="eastAsia"/>
                <w:lang w:val="en-US" w:eastAsia="zh-CN"/>
              </w:rPr>
            </w:pPr>
          </w:p>
        </w:tc>
        <w:tc>
          <w:tcPr>
            <w:tcW w:w="1130" w:type="pct"/>
            <w:shd w:val="clear" w:color="auto" w:fill="auto"/>
            <w:vAlign w:val="center"/>
          </w:tcPr>
          <w:p w14:paraId="7202A02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534" w:type="pct"/>
            <w:shd w:val="clear" w:color="auto" w:fill="auto"/>
            <w:vAlign w:val="center"/>
          </w:tcPr>
          <w:p w14:paraId="45AE946B">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1397" w:type="pct"/>
            <w:vMerge w:val="continue"/>
            <w:vAlign w:val="center"/>
          </w:tcPr>
          <w:p w14:paraId="083A221B">
            <w:pPr>
              <w:pStyle w:val="31"/>
              <w:bidi w:val="0"/>
              <w:jc w:val="center"/>
              <w:rPr>
                <w:rFonts w:hint="eastAsia"/>
                <w:lang w:val="en-US" w:eastAsia="zh-CN"/>
              </w:rPr>
            </w:pPr>
          </w:p>
        </w:tc>
        <w:tc>
          <w:tcPr>
            <w:tcW w:w="480" w:type="pct"/>
            <w:vAlign w:val="center"/>
          </w:tcPr>
          <w:p w14:paraId="79E30C54">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4DDC29B6">
            <w:pPr>
              <w:pStyle w:val="31"/>
              <w:bidi w:val="0"/>
              <w:jc w:val="center"/>
              <w:rPr>
                <w:rFonts w:hint="eastAsia"/>
                <w:lang w:val="en-US" w:eastAsia="zh-CN"/>
              </w:rPr>
            </w:pPr>
          </w:p>
        </w:tc>
      </w:tr>
      <w:tr w14:paraId="4307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44A6F6BD">
            <w:pPr>
              <w:pStyle w:val="31"/>
              <w:bidi w:val="0"/>
              <w:jc w:val="center"/>
              <w:rPr>
                <w:rFonts w:hint="default"/>
                <w:lang w:val="en-US" w:eastAsia="zh-CN"/>
              </w:rPr>
            </w:pPr>
          </w:p>
        </w:tc>
        <w:tc>
          <w:tcPr>
            <w:tcW w:w="443" w:type="pct"/>
            <w:vMerge w:val="continue"/>
            <w:vAlign w:val="center"/>
          </w:tcPr>
          <w:p w14:paraId="0E7F531E">
            <w:pPr>
              <w:pStyle w:val="31"/>
              <w:bidi w:val="0"/>
              <w:jc w:val="center"/>
              <w:rPr>
                <w:rFonts w:hint="eastAsia"/>
                <w:lang w:val="en-US" w:eastAsia="zh-CN"/>
              </w:rPr>
            </w:pPr>
          </w:p>
        </w:tc>
        <w:tc>
          <w:tcPr>
            <w:tcW w:w="1130" w:type="pct"/>
            <w:shd w:val="clear" w:color="auto" w:fill="auto"/>
            <w:vAlign w:val="center"/>
          </w:tcPr>
          <w:p w14:paraId="1F5E27B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534" w:type="pct"/>
            <w:shd w:val="clear" w:color="auto" w:fill="auto"/>
            <w:vAlign w:val="center"/>
          </w:tcPr>
          <w:p w14:paraId="6A2522B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c>
          <w:tcPr>
            <w:tcW w:w="1397" w:type="pct"/>
            <w:vMerge w:val="continue"/>
            <w:vAlign w:val="center"/>
          </w:tcPr>
          <w:p w14:paraId="093328D9">
            <w:pPr>
              <w:pStyle w:val="31"/>
              <w:bidi w:val="0"/>
              <w:jc w:val="center"/>
              <w:rPr>
                <w:rFonts w:hint="eastAsia"/>
                <w:lang w:val="en-US" w:eastAsia="zh-CN"/>
              </w:rPr>
            </w:pPr>
          </w:p>
        </w:tc>
        <w:tc>
          <w:tcPr>
            <w:tcW w:w="480" w:type="pct"/>
            <w:vAlign w:val="center"/>
          </w:tcPr>
          <w:p w14:paraId="4C661269">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01B7EE96">
            <w:pPr>
              <w:pStyle w:val="31"/>
              <w:bidi w:val="0"/>
              <w:jc w:val="center"/>
              <w:rPr>
                <w:rFonts w:hint="eastAsia"/>
                <w:lang w:val="en-US" w:eastAsia="zh-CN"/>
              </w:rPr>
            </w:pPr>
          </w:p>
        </w:tc>
      </w:tr>
      <w:tr w14:paraId="4532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22F227DD">
            <w:pPr>
              <w:pStyle w:val="31"/>
              <w:bidi w:val="0"/>
              <w:jc w:val="center"/>
              <w:rPr>
                <w:rFonts w:hint="default"/>
                <w:lang w:val="en-US" w:eastAsia="zh-CN"/>
              </w:rPr>
            </w:pPr>
          </w:p>
        </w:tc>
        <w:tc>
          <w:tcPr>
            <w:tcW w:w="443" w:type="pct"/>
            <w:vMerge w:val="continue"/>
            <w:vAlign w:val="center"/>
          </w:tcPr>
          <w:p w14:paraId="4BCD4D9A">
            <w:pPr>
              <w:pStyle w:val="31"/>
              <w:bidi w:val="0"/>
              <w:jc w:val="center"/>
              <w:rPr>
                <w:rFonts w:hint="eastAsia"/>
                <w:lang w:val="en-US" w:eastAsia="zh-CN"/>
              </w:rPr>
            </w:pPr>
          </w:p>
        </w:tc>
        <w:tc>
          <w:tcPr>
            <w:tcW w:w="1130" w:type="pct"/>
            <w:shd w:val="clear" w:color="auto" w:fill="auto"/>
            <w:vAlign w:val="center"/>
          </w:tcPr>
          <w:p w14:paraId="0A92722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废燃料油</w:t>
            </w:r>
          </w:p>
        </w:tc>
        <w:tc>
          <w:tcPr>
            <w:tcW w:w="534" w:type="pct"/>
            <w:shd w:val="clear" w:color="auto" w:fill="auto"/>
            <w:vAlign w:val="center"/>
          </w:tcPr>
          <w:p w14:paraId="3AABFE0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c>
          <w:tcPr>
            <w:tcW w:w="1397" w:type="pct"/>
            <w:vMerge w:val="continue"/>
            <w:vAlign w:val="center"/>
          </w:tcPr>
          <w:p w14:paraId="726AED86">
            <w:pPr>
              <w:pStyle w:val="31"/>
              <w:bidi w:val="0"/>
              <w:jc w:val="center"/>
              <w:rPr>
                <w:rFonts w:hint="eastAsia"/>
                <w:lang w:val="en-US" w:eastAsia="zh-CN"/>
              </w:rPr>
            </w:pPr>
          </w:p>
        </w:tc>
        <w:tc>
          <w:tcPr>
            <w:tcW w:w="480" w:type="pct"/>
            <w:vAlign w:val="center"/>
          </w:tcPr>
          <w:p w14:paraId="7ED16462">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5C88C7CF">
            <w:pPr>
              <w:pStyle w:val="31"/>
              <w:bidi w:val="0"/>
              <w:jc w:val="center"/>
              <w:rPr>
                <w:rFonts w:hint="eastAsia"/>
                <w:lang w:val="en-US" w:eastAsia="zh-CN"/>
              </w:rPr>
            </w:pPr>
          </w:p>
        </w:tc>
      </w:tr>
      <w:tr w14:paraId="09F67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4727F3C7">
            <w:pPr>
              <w:pStyle w:val="31"/>
              <w:bidi w:val="0"/>
              <w:jc w:val="center"/>
              <w:rPr>
                <w:rFonts w:hint="default"/>
                <w:lang w:val="en-US" w:eastAsia="zh-CN"/>
              </w:rPr>
            </w:pPr>
          </w:p>
        </w:tc>
        <w:tc>
          <w:tcPr>
            <w:tcW w:w="443" w:type="pct"/>
            <w:vMerge w:val="continue"/>
            <w:vAlign w:val="center"/>
          </w:tcPr>
          <w:p w14:paraId="7FE562D4">
            <w:pPr>
              <w:pStyle w:val="31"/>
              <w:bidi w:val="0"/>
              <w:jc w:val="center"/>
              <w:rPr>
                <w:rFonts w:hint="eastAsia"/>
                <w:lang w:val="en-US" w:eastAsia="zh-CN"/>
              </w:rPr>
            </w:pPr>
          </w:p>
        </w:tc>
        <w:tc>
          <w:tcPr>
            <w:tcW w:w="1130" w:type="pct"/>
            <w:shd w:val="clear" w:color="auto" w:fill="auto"/>
            <w:vAlign w:val="center"/>
          </w:tcPr>
          <w:p w14:paraId="2958213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废水处理站废油、污泥</w:t>
            </w:r>
          </w:p>
        </w:tc>
        <w:tc>
          <w:tcPr>
            <w:tcW w:w="534" w:type="pct"/>
            <w:shd w:val="clear" w:color="auto" w:fill="auto"/>
            <w:vAlign w:val="center"/>
          </w:tcPr>
          <w:p w14:paraId="7D48447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c>
          <w:tcPr>
            <w:tcW w:w="1397" w:type="pct"/>
            <w:vMerge w:val="continue"/>
            <w:vAlign w:val="center"/>
          </w:tcPr>
          <w:p w14:paraId="270ECB29">
            <w:pPr>
              <w:pStyle w:val="31"/>
              <w:bidi w:val="0"/>
              <w:jc w:val="center"/>
              <w:rPr>
                <w:rFonts w:hint="eastAsia"/>
                <w:lang w:val="en-US" w:eastAsia="zh-CN"/>
              </w:rPr>
            </w:pPr>
          </w:p>
        </w:tc>
        <w:tc>
          <w:tcPr>
            <w:tcW w:w="480" w:type="pct"/>
            <w:vAlign w:val="center"/>
          </w:tcPr>
          <w:p w14:paraId="0A0A31E2">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7252644F">
            <w:pPr>
              <w:pStyle w:val="31"/>
              <w:bidi w:val="0"/>
              <w:jc w:val="center"/>
              <w:rPr>
                <w:rFonts w:hint="eastAsia"/>
                <w:lang w:val="en-US" w:eastAsia="zh-CN"/>
              </w:rPr>
            </w:pPr>
          </w:p>
        </w:tc>
      </w:tr>
      <w:tr w14:paraId="6506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vMerge w:val="continue"/>
            <w:vAlign w:val="center"/>
          </w:tcPr>
          <w:p w14:paraId="1695BE0E">
            <w:pPr>
              <w:pStyle w:val="31"/>
              <w:bidi w:val="0"/>
              <w:jc w:val="center"/>
              <w:rPr>
                <w:rFonts w:hint="default"/>
                <w:lang w:val="en-US" w:eastAsia="zh-CN"/>
              </w:rPr>
            </w:pPr>
          </w:p>
        </w:tc>
        <w:tc>
          <w:tcPr>
            <w:tcW w:w="443" w:type="pct"/>
            <w:vMerge w:val="continue"/>
            <w:vAlign w:val="center"/>
          </w:tcPr>
          <w:p w14:paraId="2A102D1B">
            <w:pPr>
              <w:pStyle w:val="31"/>
              <w:bidi w:val="0"/>
              <w:jc w:val="center"/>
              <w:rPr>
                <w:rFonts w:hint="eastAsia"/>
                <w:lang w:val="en-US" w:eastAsia="zh-CN"/>
              </w:rPr>
            </w:pPr>
          </w:p>
        </w:tc>
        <w:tc>
          <w:tcPr>
            <w:tcW w:w="1130" w:type="pct"/>
            <w:shd w:val="clear" w:color="auto" w:fill="auto"/>
            <w:vAlign w:val="center"/>
          </w:tcPr>
          <w:p w14:paraId="44EC46B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含油抹布及手套</w:t>
            </w:r>
          </w:p>
        </w:tc>
        <w:tc>
          <w:tcPr>
            <w:tcW w:w="534" w:type="pct"/>
            <w:shd w:val="clear" w:color="auto" w:fill="auto"/>
            <w:vAlign w:val="center"/>
          </w:tcPr>
          <w:p w14:paraId="260F2CE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w:t>
            </w:r>
          </w:p>
        </w:tc>
        <w:tc>
          <w:tcPr>
            <w:tcW w:w="1397" w:type="pct"/>
            <w:vMerge w:val="continue"/>
            <w:vAlign w:val="center"/>
          </w:tcPr>
          <w:p w14:paraId="5AEDFA3C">
            <w:pPr>
              <w:pStyle w:val="31"/>
              <w:bidi w:val="0"/>
              <w:jc w:val="center"/>
              <w:rPr>
                <w:rFonts w:hint="eastAsia"/>
                <w:lang w:val="en-US" w:eastAsia="zh-CN"/>
              </w:rPr>
            </w:pPr>
          </w:p>
        </w:tc>
        <w:tc>
          <w:tcPr>
            <w:tcW w:w="480" w:type="pct"/>
            <w:vAlign w:val="center"/>
          </w:tcPr>
          <w:p w14:paraId="2A2FC313">
            <w:pPr>
              <w:pStyle w:val="31"/>
              <w:bidi w:val="0"/>
              <w:jc w:val="center"/>
              <w:rPr>
                <w:rFonts w:hint="default"/>
                <w:lang w:val="en-US" w:eastAsia="zh-CN"/>
              </w:rPr>
            </w:pPr>
            <w:r>
              <w:rPr>
                <w:rFonts w:hint="eastAsia"/>
                <w:lang w:val="en-US" w:eastAsia="zh-CN"/>
              </w:rPr>
              <w:t>0</w:t>
            </w:r>
          </w:p>
        </w:tc>
        <w:tc>
          <w:tcPr>
            <w:tcW w:w="610" w:type="pct"/>
            <w:vMerge w:val="continue"/>
            <w:vAlign w:val="center"/>
          </w:tcPr>
          <w:p w14:paraId="740873D0">
            <w:pPr>
              <w:pStyle w:val="31"/>
              <w:bidi w:val="0"/>
              <w:jc w:val="center"/>
              <w:rPr>
                <w:rFonts w:hint="eastAsia"/>
                <w:lang w:val="en-US" w:eastAsia="zh-CN"/>
              </w:rPr>
            </w:pPr>
          </w:p>
        </w:tc>
      </w:tr>
    </w:tbl>
    <w:p w14:paraId="6FD0A6DC">
      <w:pPr>
        <w:pStyle w:val="21"/>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4521A80D">
      <w:pPr>
        <w:pStyle w:val="28"/>
        <w:bidi w:val="0"/>
        <w:rPr>
          <w:rFonts w:hint="default"/>
          <w:lang w:val="en-US" w:eastAsia="zh-CN"/>
        </w:rPr>
      </w:pPr>
      <w:bookmarkStart w:id="120" w:name="_Toc29049"/>
      <w:r>
        <w:rPr>
          <w:rFonts w:hint="eastAsia"/>
          <w:lang w:val="en-US" w:eastAsia="zh-CN"/>
        </w:rPr>
        <w:t>3.6“三本账”核算</w:t>
      </w:r>
      <w:bookmarkEnd w:id="120"/>
    </w:p>
    <w:p w14:paraId="7F51ED2B">
      <w:pPr>
        <w:pStyle w:val="33"/>
        <w:bidi w:val="0"/>
        <w:rPr>
          <w:rFonts w:hint="eastAsia"/>
          <w:lang w:val="en-US" w:eastAsia="zh-CN"/>
        </w:rPr>
      </w:pPr>
      <w:bookmarkStart w:id="121" w:name="_Toc10041"/>
      <w:r>
        <w:rPr>
          <w:rFonts w:hint="eastAsia"/>
          <w:lang w:val="en-US" w:eastAsia="zh-CN"/>
        </w:rPr>
        <w:t>3.6.1“以新带老”措施削减量核算</w:t>
      </w:r>
      <w:bookmarkEnd w:id="121"/>
    </w:p>
    <w:p w14:paraId="080CD125">
      <w:pPr>
        <w:pStyle w:val="21"/>
        <w:rPr>
          <w:rFonts w:hint="eastAsia"/>
          <w:lang w:val="en-US" w:eastAsia="zh-CN"/>
        </w:rPr>
      </w:pPr>
      <w:r>
        <w:rPr>
          <w:rFonts w:hint="eastAsia"/>
          <w:lang w:val="en-US" w:eastAsia="zh-CN"/>
        </w:rPr>
        <w:t>本次对现有工程采取的“以新带老”措施主要如下：</w:t>
      </w:r>
    </w:p>
    <w:p w14:paraId="2EA8F232">
      <w:pPr>
        <w:pStyle w:val="21"/>
        <w:rPr>
          <w:rFonts w:hint="eastAsia"/>
          <w:lang w:val="en-US" w:eastAsia="zh-CN"/>
        </w:rPr>
      </w:pPr>
      <w:r>
        <w:rPr>
          <w:rFonts w:hint="eastAsia"/>
          <w:lang w:val="en-US" w:eastAsia="zh-CN"/>
        </w:rPr>
        <w:t>（1）喷漆/刷漆废气：采用移动式集气罩收集刷漆废气，收集后通过两级活性炭吸附装置处理后排放，由于项目不适合设置集气罩，因此处理后直接无组织排放；</w:t>
      </w:r>
    </w:p>
    <w:p w14:paraId="72EB9D83">
      <w:pPr>
        <w:pStyle w:val="21"/>
        <w:rPr>
          <w:rFonts w:hint="default"/>
          <w:lang w:val="en-US" w:eastAsia="zh-CN"/>
        </w:rPr>
      </w:pPr>
      <w:r>
        <w:rPr>
          <w:rFonts w:hint="eastAsia"/>
          <w:lang w:val="en-US" w:eastAsia="zh-CN"/>
        </w:rPr>
        <w:t>参考《</w:t>
      </w:r>
      <w:r>
        <w:rPr>
          <w:rFonts w:ascii="宋体" w:hAnsi="宋体" w:eastAsia="宋体" w:cs="宋体"/>
          <w:sz w:val="24"/>
          <w:szCs w:val="24"/>
        </w:rPr>
        <w:t>主要污染物总量减排核算技术指南</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2022年修订</w:t>
      </w:r>
      <w:r>
        <w:rPr>
          <w:rFonts w:hint="eastAsia" w:ascii="宋体" w:hAnsi="宋体" w:eastAsia="宋体" w:cs="宋体"/>
          <w:sz w:val="24"/>
          <w:szCs w:val="24"/>
          <w:lang w:eastAsia="zh-CN"/>
        </w:rPr>
        <w:t>）</w:t>
      </w:r>
      <w:r>
        <w:rPr>
          <w:rFonts w:hint="eastAsia"/>
          <w:lang w:val="en-US" w:eastAsia="zh-CN"/>
        </w:rPr>
        <w:t>》表2-3，符合标准的外部集气罩废气收集效率按30%计算，不再生的一次性活性炭吸附VOCs去除效率按15%计算，本项目采用两级活性炭吸附，去除效率为15%+（1-15%）*15%=27.75%。现有工程VOCs排放量为0.46t/a、甲苯排放量为0.07t/a、二甲苯排放量为0.1t/a，采取“以新带老”措施后，VOCs排放量为0.46*（1-30%）+0.46*30%*（1-27.75%）=0.42t/a，甲苯排放量为0.07*（1-30%）+0.07*30%*（1-27.75%）=0.06t/a，二甲苯排放量为0.1*（1-30%）+0.1*30%*（1-27.75%）=0.09t/a，因此“以新带老”措施VOCs削减量为0.04t/a，甲苯削减量为0.01t/a，二甲苯削减量为0.01t/a。</w:t>
      </w:r>
    </w:p>
    <w:p w14:paraId="7E376787">
      <w:pPr>
        <w:pStyle w:val="21"/>
        <w:rPr>
          <w:rFonts w:hint="eastAsia"/>
          <w:lang w:val="en-US" w:eastAsia="zh-CN"/>
        </w:rPr>
      </w:pPr>
      <w:r>
        <w:rPr>
          <w:rFonts w:hint="eastAsia"/>
          <w:lang w:val="en-US" w:eastAsia="zh-CN"/>
        </w:rPr>
        <w:t>（2）喷砂除锈废气：采用移动式集气罩收集喷砂除锈工序粉尘废气，收集后通过袋式除尘器处理后无组织排放；</w:t>
      </w:r>
    </w:p>
    <w:p w14:paraId="6B89EF22">
      <w:pPr>
        <w:pStyle w:val="21"/>
        <w:rPr>
          <w:rFonts w:hint="default"/>
          <w:lang w:val="en-US" w:eastAsia="zh-CN"/>
        </w:rPr>
      </w:pPr>
      <w:r>
        <w:rPr>
          <w:rFonts w:hint="eastAsia"/>
          <w:lang w:val="en-US" w:eastAsia="zh-CN"/>
        </w:rPr>
        <w:t>废气收集效率同有机废气取30%，袋式除尘器除尘效率按99%计算，现有工程喷砂除锈颗粒物排放量为0.27t/a（取自己审批的环评报告），“以新带老”措施实施后颗粒物排放量为0.27*（1-30%）+0.27*30%*（1-99%）=0.19t/a，则“以新带老”颗粒物削减量为0.08t/a。</w:t>
      </w:r>
    </w:p>
    <w:p w14:paraId="2F285195">
      <w:pPr>
        <w:pStyle w:val="21"/>
        <w:rPr>
          <w:rFonts w:hint="eastAsia"/>
          <w:lang w:val="en-US" w:eastAsia="zh-CN"/>
        </w:rPr>
      </w:pPr>
      <w:r>
        <w:rPr>
          <w:rFonts w:hint="eastAsia"/>
          <w:lang w:val="en-US" w:eastAsia="zh-CN"/>
        </w:rPr>
        <w:t>（3）采用移动式焊接烟尘净化器收集处理氧割、焊接烟囱，处理后无组织排放；</w:t>
      </w:r>
    </w:p>
    <w:p w14:paraId="78DF163F">
      <w:pPr>
        <w:pStyle w:val="21"/>
        <w:rPr>
          <w:rFonts w:hint="eastAsia"/>
          <w:lang w:val="en-US" w:eastAsia="zh-CN"/>
        </w:rPr>
      </w:pPr>
      <w:r>
        <w:rPr>
          <w:rFonts w:hint="eastAsia"/>
          <w:lang w:val="en-US" w:eastAsia="zh-CN"/>
        </w:rPr>
        <w:t>废气收集效率同有机废气取30%，烟尘净化器除尘效率按90%计算，现有工程喷砂除锈颗粒物排放量为0.04t/a（取自己审批的环评报告），“以新带老”措施实施后颗粒物排放量为0.04*（1-30%）+0.04*30%*（1-90%）=0.03t/a，则“以新带老”颗粒物削减量为0.01t/a。</w:t>
      </w:r>
    </w:p>
    <w:p w14:paraId="63F50B4B">
      <w:pPr>
        <w:pStyle w:val="21"/>
        <w:rPr>
          <w:rFonts w:hint="eastAsia"/>
          <w:lang w:val="en-US" w:eastAsia="zh-CN"/>
        </w:rPr>
      </w:pPr>
      <w:r>
        <w:rPr>
          <w:rFonts w:hint="eastAsia"/>
          <w:lang w:val="en-US" w:eastAsia="zh-CN"/>
        </w:rPr>
        <w:t>（4）初期雨水收集：定期清理初期雨水收集沟、收集池底部油泥，收集后暂存于危废暂存间，委托有资质单位处置。此措施主要为环境管理措施，降低项目环境风险，不会带来污染物排放量削减。</w:t>
      </w:r>
    </w:p>
    <w:p w14:paraId="49F88669">
      <w:pPr>
        <w:pStyle w:val="21"/>
        <w:rPr>
          <w:rFonts w:hint="eastAsia"/>
          <w:vertAlign w:val="baseline"/>
          <w:lang w:val="en-US" w:eastAsia="zh-CN"/>
        </w:rPr>
      </w:pPr>
      <w:r>
        <w:rPr>
          <w:rFonts w:hint="eastAsia"/>
          <w:lang w:val="en-US" w:eastAsia="zh-CN"/>
        </w:rPr>
        <w:t>（5）固体废物：拆除现有一般固废暂存间、危险废物暂存间，在防洪堤内侧建设20m</w:t>
      </w:r>
      <w:r>
        <w:rPr>
          <w:rFonts w:hint="eastAsia"/>
          <w:vertAlign w:val="superscript"/>
          <w:lang w:val="en-US" w:eastAsia="zh-CN"/>
        </w:rPr>
        <w:t>2</w:t>
      </w:r>
      <w:r>
        <w:rPr>
          <w:rFonts w:hint="eastAsia"/>
          <w:vertAlign w:val="baseline"/>
          <w:lang w:val="en-US" w:eastAsia="zh-CN"/>
        </w:rPr>
        <w:t>危险废物暂存间及20m</w:t>
      </w:r>
      <w:r>
        <w:rPr>
          <w:rFonts w:hint="eastAsia"/>
          <w:vertAlign w:val="superscript"/>
          <w:lang w:val="en-US" w:eastAsia="zh-CN"/>
        </w:rPr>
        <w:t>2</w:t>
      </w:r>
      <w:r>
        <w:rPr>
          <w:rFonts w:hint="eastAsia"/>
          <w:vertAlign w:val="baseline"/>
          <w:lang w:val="en-US" w:eastAsia="zh-CN"/>
        </w:rPr>
        <w:t>一般固废暂存间，暂存现有工程及扩建工程的一般固废和危险废物。此措施为降低环境风险，防止洪水冲毁一般固废暂存间及危废暂存间而污染湘江，不会带来直接的污染物削减。</w:t>
      </w:r>
    </w:p>
    <w:p w14:paraId="069F63D9">
      <w:pPr>
        <w:pStyle w:val="21"/>
        <w:rPr>
          <w:rFonts w:hint="eastAsia"/>
          <w:vertAlign w:val="baseline"/>
          <w:lang w:val="en-US" w:eastAsia="zh-CN"/>
        </w:rPr>
      </w:pPr>
      <w:r>
        <w:rPr>
          <w:rFonts w:hint="eastAsia"/>
          <w:vertAlign w:val="baseline"/>
          <w:lang w:val="en-US" w:eastAsia="zh-CN"/>
        </w:rPr>
        <w:t>（6）</w:t>
      </w:r>
      <w:r>
        <w:rPr>
          <w:rFonts w:hint="eastAsia"/>
          <w:lang w:val="en-US" w:eastAsia="zh-CN"/>
        </w:rPr>
        <w:t>企业在本环评批复后即时修编突发环境事件应急预案，需在本项目验收前完成备案。环境管理措施，不会</w:t>
      </w:r>
      <w:r>
        <w:rPr>
          <w:rFonts w:hint="eastAsia"/>
          <w:vertAlign w:val="baseline"/>
          <w:lang w:val="en-US" w:eastAsia="zh-CN"/>
        </w:rPr>
        <w:t>带来直接的污染物削减。</w:t>
      </w:r>
    </w:p>
    <w:p w14:paraId="043A17A8">
      <w:pPr>
        <w:pStyle w:val="21"/>
        <w:rPr>
          <w:rFonts w:hint="eastAsia"/>
          <w:lang w:val="en-US" w:eastAsia="zh-CN"/>
        </w:rPr>
      </w:pPr>
      <w:r>
        <w:rPr>
          <w:rFonts w:hint="eastAsia"/>
          <w:vertAlign w:val="baseline"/>
          <w:lang w:val="en-US" w:eastAsia="zh-CN"/>
        </w:rPr>
        <w:t>（7）</w:t>
      </w:r>
      <w:r>
        <w:rPr>
          <w:rFonts w:hint="eastAsia"/>
          <w:lang w:val="en-US" w:eastAsia="zh-CN"/>
        </w:rPr>
        <w:t>企业后期需严格按照本环评提出的监测计划，落实运营期污染源监测。环境管理措施，不会带来直接的污染物削减。</w:t>
      </w:r>
    </w:p>
    <w:p w14:paraId="51272C58">
      <w:pPr>
        <w:pStyle w:val="33"/>
        <w:bidi w:val="0"/>
        <w:rPr>
          <w:rFonts w:hint="eastAsia"/>
          <w:lang w:val="en-US" w:eastAsia="zh-CN"/>
        </w:rPr>
      </w:pPr>
      <w:bookmarkStart w:id="122" w:name="_Toc20621"/>
      <w:r>
        <w:rPr>
          <w:rFonts w:hint="eastAsia"/>
          <w:lang w:val="en-US" w:eastAsia="zh-CN"/>
        </w:rPr>
        <w:t>3.6.2“以新带老”措施新增污染物</w:t>
      </w:r>
      <w:bookmarkEnd w:id="122"/>
    </w:p>
    <w:p w14:paraId="7AFD6CCA">
      <w:pPr>
        <w:pStyle w:val="21"/>
        <w:rPr>
          <w:rFonts w:hint="eastAsia"/>
          <w:lang w:val="en-US" w:eastAsia="zh-CN"/>
        </w:rPr>
      </w:pPr>
      <w:r>
        <w:rPr>
          <w:rFonts w:hint="eastAsia"/>
          <w:lang w:val="en-US" w:eastAsia="zh-CN"/>
        </w:rPr>
        <w:t>本项目“以新带老”措施新增“两级活性炭”装置处理有机废气，新增“袋式除尘器”、“烟尘净化器”处理颗粒物废气，虽然会削减废气污染物排放量，但同样会新增废活性炭、收集尘等固体废物产生。</w:t>
      </w:r>
    </w:p>
    <w:p w14:paraId="1C2874E6">
      <w:pPr>
        <w:pStyle w:val="21"/>
        <w:rPr>
          <w:rFonts w:hint="eastAsia"/>
          <w:lang w:val="en-US" w:eastAsia="zh-CN"/>
        </w:rPr>
      </w:pPr>
      <w:r>
        <w:rPr>
          <w:rFonts w:hint="eastAsia"/>
          <w:lang w:val="en-US" w:eastAsia="zh-CN"/>
        </w:rPr>
        <w:t>收集尘：根据颗粒物削减量核算，颗粒物削减量为0.09t/a，因此收集尘增加量为0.09t/a，属于一般固体废物，产生量较少，与生活垃圾一并交由环卫部门处置。</w:t>
      </w:r>
    </w:p>
    <w:p w14:paraId="2E98FE75">
      <w:pPr>
        <w:pStyle w:val="21"/>
        <w:rPr>
          <w:rFonts w:hint="eastAsia"/>
          <w:u w:val="none"/>
        </w:rPr>
      </w:pPr>
      <w:r>
        <w:rPr>
          <w:rFonts w:hint="eastAsia"/>
          <w:lang w:val="en-US" w:eastAsia="zh-CN"/>
        </w:rPr>
        <w:t>废活性炭：活性炭更换周期与活性炭吸附有机物的量有关，项目采用两级活性炭吸附装置，根据VOCs削减量核算，VOCs吸附量为0.04t/a，活性炭碘值要求大于800，吸附量约为0.3t/t活性炭，因此活性炭需求量为0.13t/a。活性炭箱建议单级填充量为0.1t，每年更换1次，则废活性炭产生量为0.2t/a。</w:t>
      </w:r>
      <w:r>
        <w:rPr>
          <w:rFonts w:hint="eastAsia"/>
          <w:u w:val="none"/>
        </w:rPr>
        <w:t>属于《国家危险废物名录》(2021年)中废物类别为HW49 其他废物，代码900-0</w:t>
      </w:r>
      <w:r>
        <w:rPr>
          <w:rFonts w:hint="eastAsia"/>
          <w:u w:val="none"/>
          <w:lang w:val="en-US" w:eastAsia="zh-CN"/>
        </w:rPr>
        <w:t>39</w:t>
      </w:r>
      <w:r>
        <w:rPr>
          <w:rFonts w:hint="eastAsia"/>
          <w:u w:val="none"/>
        </w:rPr>
        <w:t>-49，烟气、VOCs 治理过程（不包括餐饮行业油烟治理过程）产生的废活性炭，化学原料和化学制品脱色（不包括有机合成食品添加剂脱色）、除杂、净化过程产生的废活性炭（不包括 900-405-06、772-005-18、261-053-29、265-002-29、384-003-29、387-001-29类危险废物）。按照《国家危险废物名录》，废弃的含油抹布的豁免条件为未分类收集，豁免内容为全过程不按危险废物管理，但不改变其危险废物的属性。</w:t>
      </w:r>
    </w:p>
    <w:p w14:paraId="085FA6C8">
      <w:pPr>
        <w:pStyle w:val="21"/>
        <w:rPr>
          <w:rFonts w:hint="eastAsia"/>
          <w:u w:val="none"/>
        </w:rPr>
      </w:pPr>
    </w:p>
    <w:p w14:paraId="0454621B">
      <w:pPr>
        <w:pStyle w:val="21"/>
        <w:rPr>
          <w:rFonts w:hint="default"/>
          <w:u w:val="none"/>
          <w:lang w:val="en-US" w:eastAsia="zh-CN"/>
        </w:rPr>
      </w:pPr>
    </w:p>
    <w:p w14:paraId="55B28806">
      <w:pPr>
        <w:pStyle w:val="33"/>
        <w:bidi w:val="0"/>
        <w:rPr>
          <w:rFonts w:hint="eastAsia"/>
          <w:lang w:val="en-US" w:eastAsia="zh-CN"/>
        </w:rPr>
      </w:pPr>
      <w:bookmarkStart w:id="123" w:name="_Toc30340"/>
      <w:r>
        <w:rPr>
          <w:rFonts w:hint="eastAsia"/>
          <w:lang w:val="en-US" w:eastAsia="zh-CN"/>
        </w:rPr>
        <w:t>3.6.3“三本账”</w:t>
      </w:r>
      <w:bookmarkEnd w:id="123"/>
    </w:p>
    <w:p w14:paraId="66FA700B">
      <w:pPr>
        <w:pStyle w:val="23"/>
        <w:bidi w:val="0"/>
        <w:rPr>
          <w:rFonts w:hint="eastAsia"/>
          <w:lang w:val="en-US" w:eastAsia="zh-CN"/>
        </w:rPr>
      </w:pPr>
      <w:r>
        <w:rPr>
          <w:rFonts w:hint="eastAsia"/>
          <w:lang w:val="en-US" w:eastAsia="zh-CN"/>
        </w:rPr>
        <w:t>表3.6-1  “三本账”一览表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274"/>
        <w:gridCol w:w="949"/>
        <w:gridCol w:w="1628"/>
        <w:gridCol w:w="1007"/>
        <w:gridCol w:w="1401"/>
        <w:gridCol w:w="1007"/>
        <w:gridCol w:w="1174"/>
        <w:gridCol w:w="907"/>
      </w:tblGrid>
      <w:tr w14:paraId="47B7B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Align w:val="center"/>
          </w:tcPr>
          <w:p w14:paraId="2BD08139">
            <w:pPr>
              <w:pStyle w:val="31"/>
              <w:bidi w:val="0"/>
              <w:jc w:val="center"/>
              <w:rPr>
                <w:rFonts w:hint="eastAsia"/>
                <w:lang w:val="en-US" w:eastAsia="zh-CN"/>
              </w:rPr>
            </w:pPr>
            <w:r>
              <w:rPr>
                <w:rFonts w:hint="eastAsia"/>
                <w:lang w:val="en-US" w:eastAsia="zh-CN"/>
              </w:rPr>
              <w:t>类</w:t>
            </w:r>
          </w:p>
          <w:p w14:paraId="053667F6">
            <w:pPr>
              <w:pStyle w:val="31"/>
              <w:bidi w:val="0"/>
              <w:jc w:val="center"/>
              <w:rPr>
                <w:rFonts w:hint="default"/>
                <w:lang w:val="en-US" w:eastAsia="zh-CN"/>
              </w:rPr>
            </w:pPr>
            <w:r>
              <w:rPr>
                <w:rFonts w:hint="eastAsia"/>
                <w:lang w:val="en-US" w:eastAsia="zh-CN"/>
              </w:rPr>
              <w:t>别</w:t>
            </w:r>
          </w:p>
        </w:tc>
        <w:tc>
          <w:tcPr>
            <w:tcW w:w="1543" w:type="pct"/>
            <w:gridSpan w:val="2"/>
            <w:vAlign w:val="center"/>
          </w:tcPr>
          <w:p w14:paraId="132E4F53">
            <w:pPr>
              <w:pStyle w:val="31"/>
              <w:bidi w:val="0"/>
              <w:jc w:val="center"/>
              <w:rPr>
                <w:rFonts w:hint="default"/>
                <w:lang w:val="en-US" w:eastAsia="zh-CN"/>
              </w:rPr>
            </w:pPr>
            <w:r>
              <w:rPr>
                <w:rFonts w:hint="eastAsia"/>
                <w:lang w:val="en-US" w:eastAsia="zh-CN"/>
              </w:rPr>
              <w:t>污染物</w:t>
            </w:r>
          </w:p>
        </w:tc>
        <w:tc>
          <w:tcPr>
            <w:tcW w:w="603" w:type="pct"/>
            <w:vAlign w:val="center"/>
          </w:tcPr>
          <w:p w14:paraId="73A73303">
            <w:pPr>
              <w:pStyle w:val="31"/>
              <w:bidi w:val="0"/>
              <w:jc w:val="center"/>
              <w:rPr>
                <w:rFonts w:hint="eastAsia"/>
                <w:lang w:val="en-US" w:eastAsia="zh-CN"/>
              </w:rPr>
            </w:pPr>
            <w:r>
              <w:rPr>
                <w:rFonts w:hint="eastAsia"/>
                <w:lang w:val="en-US" w:eastAsia="zh-CN"/>
              </w:rPr>
              <w:t>现有工程</w:t>
            </w:r>
          </w:p>
          <w:p w14:paraId="3C06979C">
            <w:pPr>
              <w:pStyle w:val="31"/>
              <w:bidi w:val="0"/>
              <w:jc w:val="center"/>
              <w:rPr>
                <w:rFonts w:hint="default"/>
                <w:lang w:val="en-US" w:eastAsia="zh-CN"/>
              </w:rPr>
            </w:pPr>
            <w:r>
              <w:rPr>
                <w:rFonts w:hint="eastAsia"/>
                <w:lang w:val="en-US" w:eastAsia="zh-CN"/>
              </w:rPr>
              <w:t>排放量t/a</w:t>
            </w:r>
          </w:p>
        </w:tc>
        <w:tc>
          <w:tcPr>
            <w:tcW w:w="839" w:type="pct"/>
            <w:vAlign w:val="center"/>
          </w:tcPr>
          <w:p w14:paraId="56FB7450">
            <w:pPr>
              <w:pStyle w:val="31"/>
              <w:bidi w:val="0"/>
              <w:jc w:val="center"/>
              <w:rPr>
                <w:rFonts w:hint="eastAsia"/>
                <w:lang w:val="en-US" w:eastAsia="zh-CN"/>
              </w:rPr>
            </w:pPr>
            <w:r>
              <w:rPr>
                <w:rFonts w:hint="eastAsia"/>
                <w:lang w:val="en-US" w:eastAsia="zh-CN"/>
              </w:rPr>
              <w:t>“以新带老”</w:t>
            </w:r>
          </w:p>
          <w:p w14:paraId="71BA0816">
            <w:pPr>
              <w:pStyle w:val="31"/>
              <w:bidi w:val="0"/>
              <w:jc w:val="center"/>
              <w:rPr>
                <w:rFonts w:hint="default"/>
                <w:lang w:val="en-US" w:eastAsia="zh-CN"/>
              </w:rPr>
            </w:pPr>
            <w:r>
              <w:rPr>
                <w:rFonts w:hint="eastAsia"/>
                <w:lang w:val="en-US" w:eastAsia="zh-CN"/>
              </w:rPr>
              <w:t>削减量t/a</w:t>
            </w:r>
          </w:p>
        </w:tc>
        <w:tc>
          <w:tcPr>
            <w:tcW w:w="603" w:type="pct"/>
            <w:vAlign w:val="center"/>
          </w:tcPr>
          <w:p w14:paraId="14F28AA8">
            <w:pPr>
              <w:pStyle w:val="31"/>
              <w:bidi w:val="0"/>
              <w:jc w:val="center"/>
              <w:rPr>
                <w:rFonts w:hint="eastAsia"/>
                <w:lang w:val="en-US" w:eastAsia="zh-CN"/>
              </w:rPr>
            </w:pPr>
            <w:r>
              <w:rPr>
                <w:rFonts w:hint="eastAsia"/>
                <w:lang w:val="en-US" w:eastAsia="zh-CN"/>
              </w:rPr>
              <w:t>扩建项目</w:t>
            </w:r>
          </w:p>
          <w:p w14:paraId="76C7F821">
            <w:pPr>
              <w:pStyle w:val="31"/>
              <w:bidi w:val="0"/>
              <w:jc w:val="center"/>
              <w:rPr>
                <w:rFonts w:hint="default"/>
                <w:lang w:val="en-US" w:eastAsia="zh-CN"/>
              </w:rPr>
            </w:pPr>
            <w:r>
              <w:rPr>
                <w:rFonts w:hint="eastAsia"/>
                <w:lang w:val="en-US" w:eastAsia="zh-CN"/>
              </w:rPr>
              <w:t>排放量t/a</w:t>
            </w:r>
          </w:p>
        </w:tc>
        <w:tc>
          <w:tcPr>
            <w:tcW w:w="703" w:type="pct"/>
            <w:vAlign w:val="center"/>
          </w:tcPr>
          <w:p w14:paraId="4335FC0F">
            <w:pPr>
              <w:pStyle w:val="31"/>
              <w:bidi w:val="0"/>
              <w:jc w:val="center"/>
              <w:rPr>
                <w:rFonts w:hint="eastAsia"/>
                <w:lang w:val="en-US" w:eastAsia="zh-CN"/>
              </w:rPr>
            </w:pPr>
            <w:r>
              <w:rPr>
                <w:rFonts w:hint="eastAsia"/>
                <w:lang w:val="en-US" w:eastAsia="zh-CN"/>
              </w:rPr>
              <w:t>扩建后全厂</w:t>
            </w:r>
          </w:p>
          <w:p w14:paraId="5D6C0FF9">
            <w:pPr>
              <w:pStyle w:val="31"/>
              <w:bidi w:val="0"/>
              <w:jc w:val="center"/>
              <w:rPr>
                <w:rFonts w:hint="default"/>
                <w:lang w:val="en-US" w:eastAsia="zh-CN"/>
              </w:rPr>
            </w:pPr>
            <w:r>
              <w:rPr>
                <w:rFonts w:hint="eastAsia"/>
                <w:lang w:val="en-US" w:eastAsia="zh-CN"/>
              </w:rPr>
              <w:t>排放量t/a</w:t>
            </w:r>
          </w:p>
        </w:tc>
        <w:tc>
          <w:tcPr>
            <w:tcW w:w="543" w:type="pct"/>
            <w:vAlign w:val="center"/>
          </w:tcPr>
          <w:p w14:paraId="4387772A">
            <w:pPr>
              <w:pStyle w:val="31"/>
              <w:bidi w:val="0"/>
              <w:jc w:val="center"/>
              <w:rPr>
                <w:rFonts w:hint="eastAsia"/>
                <w:lang w:val="en-US" w:eastAsia="zh-CN"/>
              </w:rPr>
            </w:pPr>
            <w:r>
              <w:rPr>
                <w:rFonts w:hint="eastAsia"/>
                <w:lang w:val="en-US" w:eastAsia="zh-CN"/>
              </w:rPr>
              <w:t>变化量</w:t>
            </w:r>
          </w:p>
          <w:p w14:paraId="4AE8C05A">
            <w:pPr>
              <w:pStyle w:val="31"/>
              <w:bidi w:val="0"/>
              <w:jc w:val="center"/>
              <w:rPr>
                <w:rFonts w:hint="default"/>
                <w:lang w:val="en-US" w:eastAsia="zh-CN"/>
              </w:rPr>
            </w:pPr>
            <w:r>
              <w:rPr>
                <w:rFonts w:hint="eastAsia"/>
                <w:lang w:val="en-US" w:eastAsia="zh-CN"/>
              </w:rPr>
              <w:t>t/a</w:t>
            </w:r>
          </w:p>
        </w:tc>
      </w:tr>
      <w:tr w14:paraId="04578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restart"/>
            <w:vAlign w:val="center"/>
          </w:tcPr>
          <w:p w14:paraId="65A625D8">
            <w:pPr>
              <w:pStyle w:val="31"/>
              <w:bidi w:val="0"/>
              <w:jc w:val="center"/>
              <w:rPr>
                <w:rFonts w:hint="eastAsia"/>
                <w:lang w:val="en-US" w:eastAsia="zh-CN"/>
              </w:rPr>
            </w:pPr>
            <w:r>
              <w:rPr>
                <w:rFonts w:hint="eastAsia"/>
                <w:lang w:val="en-US" w:eastAsia="zh-CN"/>
              </w:rPr>
              <w:t>废</w:t>
            </w:r>
          </w:p>
          <w:p w14:paraId="3E0A8F47">
            <w:pPr>
              <w:pStyle w:val="31"/>
              <w:bidi w:val="0"/>
              <w:jc w:val="center"/>
              <w:rPr>
                <w:rFonts w:hint="default"/>
                <w:lang w:val="en-US" w:eastAsia="zh-CN"/>
              </w:rPr>
            </w:pPr>
            <w:r>
              <w:rPr>
                <w:rFonts w:hint="eastAsia"/>
                <w:lang w:val="en-US" w:eastAsia="zh-CN"/>
              </w:rPr>
              <w:t>气</w:t>
            </w:r>
          </w:p>
        </w:tc>
        <w:tc>
          <w:tcPr>
            <w:tcW w:w="1543" w:type="pct"/>
            <w:gridSpan w:val="2"/>
            <w:vAlign w:val="center"/>
          </w:tcPr>
          <w:p w14:paraId="295F5384">
            <w:pPr>
              <w:pStyle w:val="31"/>
              <w:bidi w:val="0"/>
              <w:jc w:val="center"/>
              <w:rPr>
                <w:rFonts w:hint="default"/>
                <w:lang w:val="en-US" w:eastAsia="zh-CN"/>
              </w:rPr>
            </w:pPr>
            <w:r>
              <w:rPr>
                <w:rFonts w:hint="eastAsia"/>
                <w:lang w:val="en-US" w:eastAsia="zh-CN"/>
              </w:rPr>
              <w:t>颗粒物</w:t>
            </w:r>
          </w:p>
        </w:tc>
        <w:tc>
          <w:tcPr>
            <w:tcW w:w="603" w:type="pct"/>
            <w:vAlign w:val="center"/>
          </w:tcPr>
          <w:p w14:paraId="17740003">
            <w:pPr>
              <w:pStyle w:val="31"/>
              <w:bidi w:val="0"/>
              <w:jc w:val="center"/>
              <w:rPr>
                <w:rFonts w:hint="default"/>
                <w:lang w:val="en-US" w:eastAsia="zh-CN"/>
              </w:rPr>
            </w:pPr>
            <w:r>
              <w:rPr>
                <w:rFonts w:hint="eastAsia"/>
                <w:lang w:val="en-US" w:eastAsia="zh-CN"/>
              </w:rPr>
              <w:t>0.31</w:t>
            </w:r>
          </w:p>
        </w:tc>
        <w:tc>
          <w:tcPr>
            <w:tcW w:w="839" w:type="pct"/>
            <w:vAlign w:val="center"/>
          </w:tcPr>
          <w:p w14:paraId="42B38D09">
            <w:pPr>
              <w:pStyle w:val="31"/>
              <w:bidi w:val="0"/>
              <w:jc w:val="center"/>
              <w:rPr>
                <w:rFonts w:hint="default"/>
                <w:lang w:val="en-US" w:eastAsia="zh-CN"/>
              </w:rPr>
            </w:pPr>
            <w:r>
              <w:rPr>
                <w:rFonts w:hint="eastAsia"/>
                <w:lang w:val="en-US" w:eastAsia="zh-CN"/>
              </w:rPr>
              <w:t>0.09</w:t>
            </w:r>
          </w:p>
        </w:tc>
        <w:tc>
          <w:tcPr>
            <w:tcW w:w="603" w:type="pct"/>
            <w:vAlign w:val="center"/>
          </w:tcPr>
          <w:p w14:paraId="67FCE610">
            <w:pPr>
              <w:pStyle w:val="31"/>
              <w:bidi w:val="0"/>
              <w:jc w:val="center"/>
              <w:rPr>
                <w:rFonts w:hint="default"/>
                <w:lang w:val="en-US" w:eastAsia="zh-CN"/>
              </w:rPr>
            </w:pPr>
            <w:r>
              <w:rPr>
                <w:rFonts w:hint="eastAsia"/>
                <w:lang w:val="en-US" w:eastAsia="zh-CN"/>
              </w:rPr>
              <w:t>0.001</w:t>
            </w:r>
          </w:p>
        </w:tc>
        <w:tc>
          <w:tcPr>
            <w:tcW w:w="703" w:type="pct"/>
            <w:vAlign w:val="center"/>
          </w:tcPr>
          <w:p w14:paraId="725523AB">
            <w:pPr>
              <w:pStyle w:val="31"/>
              <w:bidi w:val="0"/>
              <w:jc w:val="center"/>
              <w:rPr>
                <w:rFonts w:hint="default"/>
                <w:lang w:val="en-US" w:eastAsia="zh-CN"/>
              </w:rPr>
            </w:pPr>
            <w:r>
              <w:rPr>
                <w:rFonts w:hint="eastAsia"/>
                <w:lang w:val="en-US" w:eastAsia="zh-CN"/>
              </w:rPr>
              <w:t>0.311</w:t>
            </w:r>
          </w:p>
        </w:tc>
        <w:tc>
          <w:tcPr>
            <w:tcW w:w="543" w:type="pct"/>
            <w:vAlign w:val="center"/>
          </w:tcPr>
          <w:p w14:paraId="2F5C20E7">
            <w:pPr>
              <w:pStyle w:val="31"/>
              <w:bidi w:val="0"/>
              <w:jc w:val="center"/>
              <w:rPr>
                <w:rFonts w:hint="default"/>
                <w:lang w:val="en-US" w:eastAsia="zh-CN"/>
              </w:rPr>
            </w:pPr>
            <w:r>
              <w:rPr>
                <w:rFonts w:hint="eastAsia"/>
                <w:lang w:val="en-US" w:eastAsia="zh-CN"/>
              </w:rPr>
              <w:t>+0.001</w:t>
            </w:r>
          </w:p>
        </w:tc>
      </w:tr>
      <w:tr w14:paraId="6996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6E78767">
            <w:pPr>
              <w:pStyle w:val="31"/>
              <w:bidi w:val="0"/>
              <w:jc w:val="center"/>
              <w:rPr>
                <w:rFonts w:hint="default"/>
                <w:lang w:val="en-US" w:eastAsia="zh-CN"/>
              </w:rPr>
            </w:pPr>
          </w:p>
        </w:tc>
        <w:tc>
          <w:tcPr>
            <w:tcW w:w="1543" w:type="pct"/>
            <w:gridSpan w:val="2"/>
            <w:vAlign w:val="center"/>
          </w:tcPr>
          <w:p w14:paraId="3107A905">
            <w:pPr>
              <w:pStyle w:val="31"/>
              <w:bidi w:val="0"/>
              <w:jc w:val="center"/>
              <w:rPr>
                <w:rFonts w:hint="default"/>
                <w:lang w:val="en-US" w:eastAsia="zh-CN"/>
              </w:rPr>
            </w:pPr>
            <w:r>
              <w:rPr>
                <w:rFonts w:hint="eastAsia"/>
                <w:lang w:val="en-US" w:eastAsia="zh-CN"/>
              </w:rPr>
              <w:t>VOCs</w:t>
            </w:r>
          </w:p>
        </w:tc>
        <w:tc>
          <w:tcPr>
            <w:tcW w:w="603" w:type="pct"/>
            <w:vAlign w:val="center"/>
          </w:tcPr>
          <w:p w14:paraId="32652CE7">
            <w:pPr>
              <w:pStyle w:val="31"/>
              <w:bidi w:val="0"/>
              <w:jc w:val="center"/>
              <w:rPr>
                <w:rFonts w:hint="default"/>
                <w:lang w:val="en-US" w:eastAsia="zh-CN"/>
              </w:rPr>
            </w:pPr>
            <w:r>
              <w:rPr>
                <w:rFonts w:hint="eastAsia"/>
                <w:lang w:val="en-US" w:eastAsia="zh-CN"/>
              </w:rPr>
              <w:t>0.46</w:t>
            </w:r>
          </w:p>
        </w:tc>
        <w:tc>
          <w:tcPr>
            <w:tcW w:w="839" w:type="pct"/>
            <w:vAlign w:val="center"/>
          </w:tcPr>
          <w:p w14:paraId="63D9029F">
            <w:pPr>
              <w:pStyle w:val="31"/>
              <w:bidi w:val="0"/>
              <w:jc w:val="center"/>
              <w:rPr>
                <w:rFonts w:hint="default"/>
                <w:lang w:val="en-US" w:eastAsia="zh-CN"/>
              </w:rPr>
            </w:pPr>
            <w:r>
              <w:rPr>
                <w:rFonts w:hint="eastAsia"/>
                <w:lang w:val="en-US" w:eastAsia="zh-CN"/>
              </w:rPr>
              <w:t>0.04</w:t>
            </w:r>
          </w:p>
        </w:tc>
        <w:tc>
          <w:tcPr>
            <w:tcW w:w="603" w:type="pct"/>
            <w:vAlign w:val="center"/>
          </w:tcPr>
          <w:p w14:paraId="50A36A55">
            <w:pPr>
              <w:pStyle w:val="31"/>
              <w:bidi w:val="0"/>
              <w:jc w:val="center"/>
              <w:rPr>
                <w:rFonts w:hint="default"/>
                <w:lang w:val="en-US" w:eastAsia="zh-CN"/>
              </w:rPr>
            </w:pPr>
            <w:r>
              <w:rPr>
                <w:rFonts w:hint="eastAsia"/>
                <w:lang w:val="en-US" w:eastAsia="zh-CN"/>
              </w:rPr>
              <w:t>0.0004</w:t>
            </w:r>
          </w:p>
        </w:tc>
        <w:tc>
          <w:tcPr>
            <w:tcW w:w="703" w:type="pct"/>
            <w:vAlign w:val="center"/>
          </w:tcPr>
          <w:p w14:paraId="1E637A78">
            <w:pPr>
              <w:pStyle w:val="31"/>
              <w:bidi w:val="0"/>
              <w:jc w:val="center"/>
              <w:rPr>
                <w:rFonts w:hint="default"/>
                <w:lang w:val="en-US" w:eastAsia="zh-CN"/>
              </w:rPr>
            </w:pPr>
            <w:r>
              <w:rPr>
                <w:rFonts w:hint="eastAsia"/>
                <w:lang w:val="en-US" w:eastAsia="zh-CN"/>
              </w:rPr>
              <w:t>0.4204</w:t>
            </w:r>
          </w:p>
        </w:tc>
        <w:tc>
          <w:tcPr>
            <w:tcW w:w="543" w:type="pct"/>
            <w:vAlign w:val="center"/>
          </w:tcPr>
          <w:p w14:paraId="18950147">
            <w:pPr>
              <w:pStyle w:val="31"/>
              <w:bidi w:val="0"/>
              <w:jc w:val="center"/>
              <w:rPr>
                <w:rFonts w:hint="default"/>
                <w:lang w:val="en-US" w:eastAsia="zh-CN"/>
              </w:rPr>
            </w:pPr>
            <w:r>
              <w:rPr>
                <w:rFonts w:hint="eastAsia"/>
                <w:lang w:val="en-US" w:eastAsia="zh-CN"/>
              </w:rPr>
              <w:t>-0.0396</w:t>
            </w:r>
          </w:p>
        </w:tc>
      </w:tr>
      <w:tr w14:paraId="3FBF5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BE03BBB">
            <w:pPr>
              <w:pStyle w:val="31"/>
              <w:bidi w:val="0"/>
              <w:jc w:val="center"/>
              <w:rPr>
                <w:rFonts w:hint="default"/>
                <w:lang w:val="en-US" w:eastAsia="zh-CN"/>
              </w:rPr>
            </w:pPr>
          </w:p>
        </w:tc>
        <w:tc>
          <w:tcPr>
            <w:tcW w:w="1543" w:type="pct"/>
            <w:gridSpan w:val="2"/>
            <w:vAlign w:val="center"/>
          </w:tcPr>
          <w:p w14:paraId="19317010">
            <w:pPr>
              <w:pStyle w:val="31"/>
              <w:bidi w:val="0"/>
              <w:jc w:val="center"/>
              <w:rPr>
                <w:rFonts w:hint="default"/>
                <w:lang w:val="en-US" w:eastAsia="zh-CN"/>
              </w:rPr>
            </w:pPr>
            <w:r>
              <w:rPr>
                <w:rFonts w:hint="eastAsia"/>
                <w:lang w:val="en-US" w:eastAsia="zh-CN"/>
              </w:rPr>
              <w:t>甲苯</w:t>
            </w:r>
          </w:p>
        </w:tc>
        <w:tc>
          <w:tcPr>
            <w:tcW w:w="603" w:type="pct"/>
            <w:vAlign w:val="center"/>
          </w:tcPr>
          <w:p w14:paraId="382E0580">
            <w:pPr>
              <w:pStyle w:val="31"/>
              <w:bidi w:val="0"/>
              <w:jc w:val="center"/>
              <w:rPr>
                <w:rFonts w:hint="default"/>
                <w:lang w:val="en-US" w:eastAsia="zh-CN"/>
              </w:rPr>
            </w:pPr>
            <w:r>
              <w:rPr>
                <w:rFonts w:hint="eastAsia"/>
                <w:lang w:val="en-US" w:eastAsia="zh-CN"/>
              </w:rPr>
              <w:t>0.07</w:t>
            </w:r>
          </w:p>
        </w:tc>
        <w:tc>
          <w:tcPr>
            <w:tcW w:w="839" w:type="pct"/>
            <w:vAlign w:val="center"/>
          </w:tcPr>
          <w:p w14:paraId="5EA25D70">
            <w:pPr>
              <w:pStyle w:val="31"/>
              <w:bidi w:val="0"/>
              <w:jc w:val="center"/>
              <w:rPr>
                <w:rFonts w:hint="default"/>
                <w:lang w:val="en-US" w:eastAsia="zh-CN"/>
              </w:rPr>
            </w:pPr>
            <w:r>
              <w:rPr>
                <w:rFonts w:hint="eastAsia"/>
                <w:lang w:val="en-US" w:eastAsia="zh-CN"/>
              </w:rPr>
              <w:t>0.01</w:t>
            </w:r>
          </w:p>
        </w:tc>
        <w:tc>
          <w:tcPr>
            <w:tcW w:w="603" w:type="pct"/>
            <w:vAlign w:val="center"/>
          </w:tcPr>
          <w:p w14:paraId="0C4F2B89">
            <w:pPr>
              <w:pStyle w:val="31"/>
              <w:bidi w:val="0"/>
              <w:jc w:val="center"/>
              <w:rPr>
                <w:rFonts w:hint="default"/>
                <w:lang w:val="en-US" w:eastAsia="zh-CN"/>
              </w:rPr>
            </w:pPr>
            <w:r>
              <w:rPr>
                <w:rFonts w:hint="eastAsia"/>
                <w:lang w:val="en-US" w:eastAsia="zh-CN"/>
              </w:rPr>
              <w:t>0</w:t>
            </w:r>
          </w:p>
        </w:tc>
        <w:tc>
          <w:tcPr>
            <w:tcW w:w="703" w:type="pct"/>
            <w:vAlign w:val="center"/>
          </w:tcPr>
          <w:p w14:paraId="14E9667E">
            <w:pPr>
              <w:pStyle w:val="31"/>
              <w:bidi w:val="0"/>
              <w:jc w:val="center"/>
              <w:rPr>
                <w:rFonts w:hint="default"/>
                <w:lang w:val="en-US" w:eastAsia="zh-CN"/>
              </w:rPr>
            </w:pPr>
            <w:r>
              <w:rPr>
                <w:rFonts w:hint="eastAsia"/>
                <w:lang w:val="en-US" w:eastAsia="zh-CN"/>
              </w:rPr>
              <w:t>0.06</w:t>
            </w:r>
          </w:p>
        </w:tc>
        <w:tc>
          <w:tcPr>
            <w:tcW w:w="543" w:type="pct"/>
            <w:vAlign w:val="center"/>
          </w:tcPr>
          <w:p w14:paraId="42F400B5">
            <w:pPr>
              <w:pStyle w:val="31"/>
              <w:bidi w:val="0"/>
              <w:jc w:val="center"/>
              <w:rPr>
                <w:rFonts w:hint="default"/>
                <w:lang w:val="en-US" w:eastAsia="zh-CN"/>
              </w:rPr>
            </w:pPr>
            <w:r>
              <w:rPr>
                <w:rFonts w:hint="eastAsia"/>
                <w:lang w:val="en-US" w:eastAsia="zh-CN"/>
              </w:rPr>
              <w:t>-0.01</w:t>
            </w:r>
          </w:p>
        </w:tc>
      </w:tr>
      <w:tr w14:paraId="46A6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C52757D">
            <w:pPr>
              <w:pStyle w:val="31"/>
              <w:bidi w:val="0"/>
              <w:jc w:val="center"/>
              <w:rPr>
                <w:rFonts w:hint="default"/>
                <w:lang w:val="en-US" w:eastAsia="zh-CN"/>
              </w:rPr>
            </w:pPr>
          </w:p>
        </w:tc>
        <w:tc>
          <w:tcPr>
            <w:tcW w:w="1543" w:type="pct"/>
            <w:gridSpan w:val="2"/>
            <w:vAlign w:val="center"/>
          </w:tcPr>
          <w:p w14:paraId="6A4D9F22">
            <w:pPr>
              <w:pStyle w:val="31"/>
              <w:bidi w:val="0"/>
              <w:jc w:val="center"/>
              <w:rPr>
                <w:rFonts w:hint="default"/>
                <w:lang w:val="en-US" w:eastAsia="zh-CN"/>
              </w:rPr>
            </w:pPr>
            <w:r>
              <w:rPr>
                <w:rFonts w:hint="eastAsia"/>
                <w:lang w:val="en-US" w:eastAsia="zh-CN"/>
              </w:rPr>
              <w:t>二甲苯</w:t>
            </w:r>
          </w:p>
        </w:tc>
        <w:tc>
          <w:tcPr>
            <w:tcW w:w="603" w:type="pct"/>
            <w:vAlign w:val="center"/>
          </w:tcPr>
          <w:p w14:paraId="2E823385">
            <w:pPr>
              <w:pStyle w:val="31"/>
              <w:bidi w:val="0"/>
              <w:jc w:val="center"/>
              <w:rPr>
                <w:rFonts w:hint="default"/>
                <w:lang w:val="en-US" w:eastAsia="zh-CN"/>
              </w:rPr>
            </w:pPr>
            <w:r>
              <w:rPr>
                <w:rFonts w:hint="eastAsia"/>
                <w:lang w:val="en-US" w:eastAsia="zh-CN"/>
              </w:rPr>
              <w:t>0.10</w:t>
            </w:r>
          </w:p>
        </w:tc>
        <w:tc>
          <w:tcPr>
            <w:tcW w:w="839" w:type="pct"/>
            <w:vAlign w:val="center"/>
          </w:tcPr>
          <w:p w14:paraId="433B9CA6">
            <w:pPr>
              <w:pStyle w:val="31"/>
              <w:bidi w:val="0"/>
              <w:jc w:val="center"/>
              <w:rPr>
                <w:rFonts w:hint="default"/>
                <w:lang w:val="en-US" w:eastAsia="zh-CN"/>
              </w:rPr>
            </w:pPr>
            <w:r>
              <w:rPr>
                <w:rFonts w:hint="eastAsia"/>
                <w:lang w:val="en-US" w:eastAsia="zh-CN"/>
              </w:rPr>
              <w:t>0.01</w:t>
            </w:r>
          </w:p>
        </w:tc>
        <w:tc>
          <w:tcPr>
            <w:tcW w:w="603" w:type="pct"/>
            <w:vAlign w:val="center"/>
          </w:tcPr>
          <w:p w14:paraId="592BE564">
            <w:pPr>
              <w:pStyle w:val="31"/>
              <w:bidi w:val="0"/>
              <w:jc w:val="center"/>
              <w:rPr>
                <w:rFonts w:hint="default"/>
                <w:lang w:val="en-US" w:eastAsia="zh-CN"/>
              </w:rPr>
            </w:pPr>
            <w:r>
              <w:rPr>
                <w:rFonts w:hint="eastAsia"/>
                <w:lang w:val="en-US" w:eastAsia="zh-CN"/>
              </w:rPr>
              <w:t>0</w:t>
            </w:r>
          </w:p>
        </w:tc>
        <w:tc>
          <w:tcPr>
            <w:tcW w:w="703" w:type="pct"/>
            <w:vAlign w:val="center"/>
          </w:tcPr>
          <w:p w14:paraId="5C116E66">
            <w:pPr>
              <w:pStyle w:val="31"/>
              <w:bidi w:val="0"/>
              <w:jc w:val="center"/>
              <w:rPr>
                <w:rFonts w:hint="default"/>
                <w:lang w:val="en-US" w:eastAsia="zh-CN"/>
              </w:rPr>
            </w:pPr>
            <w:r>
              <w:rPr>
                <w:rFonts w:hint="eastAsia"/>
                <w:lang w:val="en-US" w:eastAsia="zh-CN"/>
              </w:rPr>
              <w:t>0.09</w:t>
            </w:r>
          </w:p>
        </w:tc>
        <w:tc>
          <w:tcPr>
            <w:tcW w:w="543" w:type="pct"/>
            <w:vAlign w:val="center"/>
          </w:tcPr>
          <w:p w14:paraId="3C90CD80">
            <w:pPr>
              <w:pStyle w:val="31"/>
              <w:bidi w:val="0"/>
              <w:jc w:val="center"/>
              <w:rPr>
                <w:rFonts w:hint="default"/>
                <w:lang w:val="en-US" w:eastAsia="zh-CN"/>
              </w:rPr>
            </w:pPr>
            <w:r>
              <w:rPr>
                <w:rFonts w:hint="eastAsia"/>
                <w:lang w:val="en-US" w:eastAsia="zh-CN"/>
              </w:rPr>
              <w:t>-0.01</w:t>
            </w:r>
          </w:p>
        </w:tc>
      </w:tr>
      <w:tr w14:paraId="5DD2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 w:type="pct"/>
            <w:vMerge w:val="restart"/>
            <w:vAlign w:val="center"/>
          </w:tcPr>
          <w:p w14:paraId="4F6D5ED9">
            <w:pPr>
              <w:pStyle w:val="31"/>
              <w:bidi w:val="0"/>
              <w:jc w:val="center"/>
              <w:rPr>
                <w:rFonts w:hint="eastAsia"/>
                <w:lang w:val="en-US" w:eastAsia="zh-CN"/>
              </w:rPr>
            </w:pPr>
            <w:r>
              <w:rPr>
                <w:rFonts w:hint="eastAsia"/>
                <w:lang w:val="en-US" w:eastAsia="zh-CN"/>
              </w:rPr>
              <w:t>废</w:t>
            </w:r>
          </w:p>
          <w:p w14:paraId="107D13B7">
            <w:pPr>
              <w:pStyle w:val="31"/>
              <w:bidi w:val="0"/>
              <w:jc w:val="center"/>
              <w:rPr>
                <w:rFonts w:hint="default"/>
                <w:lang w:val="en-US" w:eastAsia="zh-CN"/>
              </w:rPr>
            </w:pPr>
            <w:r>
              <w:rPr>
                <w:rFonts w:hint="eastAsia"/>
                <w:lang w:val="en-US" w:eastAsia="zh-CN"/>
              </w:rPr>
              <w:t>水</w:t>
            </w:r>
          </w:p>
        </w:tc>
        <w:tc>
          <w:tcPr>
            <w:tcW w:w="568" w:type="pct"/>
            <w:vAlign w:val="center"/>
          </w:tcPr>
          <w:p w14:paraId="579099D7">
            <w:pPr>
              <w:pStyle w:val="31"/>
              <w:bidi w:val="0"/>
              <w:jc w:val="center"/>
              <w:rPr>
                <w:rFonts w:hint="default"/>
                <w:lang w:val="en-US" w:eastAsia="zh-CN"/>
              </w:rPr>
            </w:pPr>
            <w:r>
              <w:rPr>
                <w:rFonts w:hint="eastAsia"/>
                <w:lang w:val="en-US" w:eastAsia="zh-CN"/>
              </w:rPr>
              <w:t>生活污水</w:t>
            </w:r>
          </w:p>
        </w:tc>
        <w:tc>
          <w:tcPr>
            <w:tcW w:w="975" w:type="pct"/>
            <w:vAlign w:val="center"/>
          </w:tcPr>
          <w:p w14:paraId="23CC4AB4">
            <w:pPr>
              <w:pStyle w:val="31"/>
              <w:bidi w:val="0"/>
              <w:jc w:val="center"/>
              <w:rPr>
                <w:rFonts w:hint="default"/>
                <w:lang w:val="en-US" w:eastAsia="zh-CN"/>
              </w:rPr>
            </w:pPr>
            <w:r>
              <w:rPr>
                <w:rFonts w:hint="eastAsia"/>
                <w:lang w:val="en-US" w:eastAsia="zh-CN"/>
              </w:rPr>
              <w:t>废水量</w:t>
            </w:r>
          </w:p>
        </w:tc>
        <w:tc>
          <w:tcPr>
            <w:tcW w:w="603" w:type="pct"/>
            <w:vAlign w:val="center"/>
          </w:tcPr>
          <w:p w14:paraId="42B0730D">
            <w:pPr>
              <w:pStyle w:val="31"/>
              <w:bidi w:val="0"/>
              <w:jc w:val="center"/>
              <w:rPr>
                <w:rFonts w:hint="default"/>
                <w:lang w:val="en-US" w:eastAsia="zh-CN"/>
              </w:rPr>
            </w:pPr>
            <w:r>
              <w:rPr>
                <w:rFonts w:hint="eastAsia"/>
                <w:lang w:val="en-US" w:eastAsia="zh-CN"/>
              </w:rPr>
              <w:t>72</w:t>
            </w:r>
          </w:p>
        </w:tc>
        <w:tc>
          <w:tcPr>
            <w:tcW w:w="839" w:type="pct"/>
            <w:vAlign w:val="center"/>
          </w:tcPr>
          <w:p w14:paraId="4DC09FDC">
            <w:pPr>
              <w:pStyle w:val="31"/>
              <w:bidi w:val="0"/>
              <w:jc w:val="center"/>
              <w:rPr>
                <w:rFonts w:hint="default"/>
                <w:lang w:val="en-US" w:eastAsia="zh-CN"/>
              </w:rPr>
            </w:pPr>
            <w:r>
              <w:rPr>
                <w:rFonts w:hint="eastAsia"/>
                <w:lang w:val="en-US" w:eastAsia="zh-CN"/>
              </w:rPr>
              <w:t>0</w:t>
            </w:r>
          </w:p>
        </w:tc>
        <w:tc>
          <w:tcPr>
            <w:tcW w:w="603" w:type="pct"/>
            <w:vAlign w:val="center"/>
          </w:tcPr>
          <w:p w14:paraId="3801F5B2">
            <w:pPr>
              <w:pStyle w:val="31"/>
              <w:bidi w:val="0"/>
              <w:jc w:val="center"/>
              <w:rPr>
                <w:rFonts w:hint="default"/>
                <w:lang w:val="en-US" w:eastAsia="zh-CN"/>
              </w:rPr>
            </w:pPr>
            <w:r>
              <w:rPr>
                <w:rFonts w:hint="eastAsia"/>
                <w:lang w:val="en-US" w:eastAsia="zh-CN"/>
              </w:rPr>
              <w:t>36</w:t>
            </w:r>
          </w:p>
        </w:tc>
        <w:tc>
          <w:tcPr>
            <w:tcW w:w="703" w:type="pct"/>
            <w:vAlign w:val="center"/>
          </w:tcPr>
          <w:p w14:paraId="2DC4EBE3">
            <w:pPr>
              <w:pStyle w:val="31"/>
              <w:bidi w:val="0"/>
              <w:jc w:val="center"/>
              <w:rPr>
                <w:rFonts w:hint="default"/>
                <w:lang w:val="en-US" w:eastAsia="zh-CN"/>
              </w:rPr>
            </w:pPr>
            <w:r>
              <w:rPr>
                <w:rFonts w:hint="eastAsia"/>
                <w:lang w:val="en-US" w:eastAsia="zh-CN"/>
              </w:rPr>
              <w:t>108</w:t>
            </w:r>
          </w:p>
        </w:tc>
        <w:tc>
          <w:tcPr>
            <w:tcW w:w="543" w:type="pct"/>
            <w:vAlign w:val="center"/>
          </w:tcPr>
          <w:p w14:paraId="6D74D769">
            <w:pPr>
              <w:pStyle w:val="31"/>
              <w:bidi w:val="0"/>
              <w:jc w:val="center"/>
              <w:rPr>
                <w:rFonts w:hint="default"/>
                <w:lang w:val="en-US" w:eastAsia="zh-CN"/>
              </w:rPr>
            </w:pPr>
            <w:r>
              <w:rPr>
                <w:rFonts w:hint="eastAsia"/>
                <w:lang w:val="en-US" w:eastAsia="zh-CN"/>
              </w:rPr>
              <w:t>+36</w:t>
            </w:r>
          </w:p>
        </w:tc>
      </w:tr>
      <w:tr w14:paraId="32A68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CCE6A4A">
            <w:pPr>
              <w:pStyle w:val="31"/>
              <w:bidi w:val="0"/>
              <w:jc w:val="center"/>
              <w:rPr>
                <w:rFonts w:hint="eastAsia"/>
                <w:lang w:val="en-US" w:eastAsia="zh-CN"/>
              </w:rPr>
            </w:pPr>
          </w:p>
        </w:tc>
        <w:tc>
          <w:tcPr>
            <w:tcW w:w="568" w:type="pct"/>
            <w:vMerge w:val="restart"/>
            <w:vAlign w:val="center"/>
          </w:tcPr>
          <w:p w14:paraId="16716069">
            <w:pPr>
              <w:pStyle w:val="31"/>
              <w:bidi w:val="0"/>
              <w:jc w:val="center"/>
              <w:rPr>
                <w:rFonts w:hint="eastAsia"/>
                <w:lang w:val="en-US" w:eastAsia="zh-CN"/>
              </w:rPr>
            </w:pPr>
            <w:r>
              <w:rPr>
                <w:rFonts w:hint="eastAsia"/>
                <w:lang w:val="en-US" w:eastAsia="zh-CN"/>
              </w:rPr>
              <w:t>初期雨水</w:t>
            </w:r>
          </w:p>
          <w:p w14:paraId="00A97480">
            <w:pPr>
              <w:pStyle w:val="31"/>
              <w:bidi w:val="0"/>
              <w:jc w:val="center"/>
              <w:rPr>
                <w:rFonts w:hint="default"/>
                <w:lang w:val="en-US" w:eastAsia="zh-CN"/>
              </w:rPr>
            </w:pPr>
            <w:r>
              <w:rPr>
                <w:rFonts w:hint="eastAsia"/>
                <w:lang w:val="en-US" w:eastAsia="zh-CN"/>
              </w:rPr>
              <w:t>生产废水</w:t>
            </w:r>
          </w:p>
        </w:tc>
        <w:tc>
          <w:tcPr>
            <w:tcW w:w="975" w:type="pct"/>
            <w:vAlign w:val="center"/>
          </w:tcPr>
          <w:p w14:paraId="4C89CBCD">
            <w:pPr>
              <w:pStyle w:val="31"/>
              <w:bidi w:val="0"/>
              <w:jc w:val="center"/>
              <w:rPr>
                <w:rFonts w:hint="default"/>
                <w:lang w:val="en-US" w:eastAsia="zh-CN"/>
              </w:rPr>
            </w:pPr>
            <w:r>
              <w:rPr>
                <w:rFonts w:hint="eastAsia"/>
                <w:lang w:val="en-US" w:eastAsia="zh-CN"/>
              </w:rPr>
              <w:t>废水量</w:t>
            </w:r>
          </w:p>
        </w:tc>
        <w:tc>
          <w:tcPr>
            <w:tcW w:w="603" w:type="pct"/>
            <w:vAlign w:val="center"/>
          </w:tcPr>
          <w:p w14:paraId="3098AB33">
            <w:pPr>
              <w:pStyle w:val="31"/>
              <w:bidi w:val="0"/>
              <w:jc w:val="center"/>
              <w:rPr>
                <w:rFonts w:hint="default"/>
                <w:lang w:val="en-US" w:eastAsia="zh-CN"/>
              </w:rPr>
            </w:pPr>
            <w:r>
              <w:rPr>
                <w:rFonts w:hint="eastAsia"/>
                <w:lang w:val="en-US" w:eastAsia="zh-CN"/>
              </w:rPr>
              <w:t>0</w:t>
            </w:r>
          </w:p>
        </w:tc>
        <w:tc>
          <w:tcPr>
            <w:tcW w:w="839" w:type="pct"/>
            <w:vAlign w:val="center"/>
          </w:tcPr>
          <w:p w14:paraId="63C37A94">
            <w:pPr>
              <w:pStyle w:val="31"/>
              <w:bidi w:val="0"/>
              <w:jc w:val="center"/>
              <w:rPr>
                <w:rFonts w:hint="default"/>
                <w:lang w:val="en-US" w:eastAsia="zh-CN"/>
              </w:rPr>
            </w:pPr>
            <w:r>
              <w:rPr>
                <w:rFonts w:hint="eastAsia"/>
                <w:lang w:val="en-US" w:eastAsia="zh-CN"/>
              </w:rPr>
              <w:t>0</w:t>
            </w:r>
          </w:p>
        </w:tc>
        <w:tc>
          <w:tcPr>
            <w:tcW w:w="603" w:type="pct"/>
            <w:vAlign w:val="center"/>
          </w:tcPr>
          <w:p w14:paraId="038DD364">
            <w:pPr>
              <w:pStyle w:val="31"/>
              <w:bidi w:val="0"/>
              <w:jc w:val="center"/>
              <w:rPr>
                <w:rFonts w:hint="default"/>
                <w:lang w:val="en-US" w:eastAsia="zh-CN"/>
              </w:rPr>
            </w:pPr>
            <w:r>
              <w:rPr>
                <w:rFonts w:hint="eastAsia"/>
                <w:lang w:val="en-US" w:eastAsia="zh-CN"/>
              </w:rPr>
              <w:t>4168.53</w:t>
            </w:r>
          </w:p>
        </w:tc>
        <w:tc>
          <w:tcPr>
            <w:tcW w:w="703" w:type="pct"/>
            <w:shd w:val="clear" w:color="auto" w:fill="auto"/>
            <w:vAlign w:val="center"/>
          </w:tcPr>
          <w:p w14:paraId="3461D81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4168.53</w:t>
            </w:r>
          </w:p>
        </w:tc>
        <w:tc>
          <w:tcPr>
            <w:tcW w:w="543" w:type="pct"/>
            <w:shd w:val="clear" w:color="auto" w:fill="auto"/>
            <w:vAlign w:val="center"/>
          </w:tcPr>
          <w:p w14:paraId="0CAC366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+4168.53</w:t>
            </w:r>
          </w:p>
        </w:tc>
      </w:tr>
      <w:tr w14:paraId="61C8D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15B1A64">
            <w:pPr>
              <w:pStyle w:val="31"/>
              <w:bidi w:val="0"/>
              <w:jc w:val="center"/>
              <w:rPr>
                <w:rFonts w:hint="eastAsia"/>
                <w:lang w:val="en-US" w:eastAsia="zh-CN"/>
              </w:rPr>
            </w:pPr>
          </w:p>
        </w:tc>
        <w:tc>
          <w:tcPr>
            <w:tcW w:w="568" w:type="pct"/>
            <w:vMerge w:val="continue"/>
            <w:vAlign w:val="center"/>
          </w:tcPr>
          <w:p w14:paraId="4532CD49">
            <w:pPr>
              <w:pStyle w:val="31"/>
              <w:bidi w:val="0"/>
              <w:jc w:val="center"/>
              <w:rPr>
                <w:rFonts w:hint="eastAsia"/>
                <w:lang w:val="en-US" w:eastAsia="zh-CN"/>
              </w:rPr>
            </w:pPr>
          </w:p>
        </w:tc>
        <w:tc>
          <w:tcPr>
            <w:tcW w:w="975" w:type="pct"/>
            <w:vAlign w:val="center"/>
          </w:tcPr>
          <w:p w14:paraId="3557E474">
            <w:pPr>
              <w:pStyle w:val="31"/>
              <w:bidi w:val="0"/>
              <w:jc w:val="center"/>
              <w:rPr>
                <w:rFonts w:hint="default"/>
                <w:lang w:val="en-US" w:eastAsia="zh-CN"/>
              </w:rPr>
            </w:pPr>
            <w:r>
              <w:rPr>
                <w:rFonts w:hint="eastAsia"/>
                <w:lang w:val="en-US" w:eastAsia="zh-CN"/>
              </w:rPr>
              <w:t>COD</w:t>
            </w:r>
          </w:p>
        </w:tc>
        <w:tc>
          <w:tcPr>
            <w:tcW w:w="603" w:type="pct"/>
            <w:vAlign w:val="center"/>
          </w:tcPr>
          <w:p w14:paraId="3C4250CD">
            <w:pPr>
              <w:pStyle w:val="31"/>
              <w:bidi w:val="0"/>
              <w:jc w:val="center"/>
              <w:rPr>
                <w:rFonts w:hint="default"/>
                <w:lang w:val="en-US" w:eastAsia="zh-CN"/>
              </w:rPr>
            </w:pPr>
            <w:r>
              <w:rPr>
                <w:rFonts w:hint="eastAsia"/>
                <w:lang w:val="en-US" w:eastAsia="zh-CN"/>
              </w:rPr>
              <w:t>0</w:t>
            </w:r>
          </w:p>
        </w:tc>
        <w:tc>
          <w:tcPr>
            <w:tcW w:w="839" w:type="pct"/>
            <w:vAlign w:val="center"/>
          </w:tcPr>
          <w:p w14:paraId="5ED5247E">
            <w:pPr>
              <w:pStyle w:val="31"/>
              <w:bidi w:val="0"/>
              <w:jc w:val="center"/>
              <w:rPr>
                <w:rFonts w:hint="default"/>
                <w:lang w:val="en-US" w:eastAsia="zh-CN"/>
              </w:rPr>
            </w:pPr>
            <w:r>
              <w:rPr>
                <w:rFonts w:hint="eastAsia"/>
                <w:lang w:val="en-US" w:eastAsia="zh-CN"/>
              </w:rPr>
              <w:t>0</w:t>
            </w:r>
          </w:p>
        </w:tc>
        <w:tc>
          <w:tcPr>
            <w:tcW w:w="603" w:type="pct"/>
            <w:vAlign w:val="center"/>
          </w:tcPr>
          <w:p w14:paraId="4D335943">
            <w:pPr>
              <w:pStyle w:val="31"/>
              <w:bidi w:val="0"/>
              <w:jc w:val="center"/>
              <w:rPr>
                <w:rFonts w:hint="default"/>
                <w:lang w:val="en-US" w:eastAsia="zh-CN"/>
              </w:rPr>
            </w:pPr>
            <w:r>
              <w:rPr>
                <w:rFonts w:hint="eastAsia"/>
                <w:lang w:val="en-US" w:eastAsia="zh-CN"/>
              </w:rPr>
              <w:t>0.089</w:t>
            </w:r>
          </w:p>
        </w:tc>
        <w:tc>
          <w:tcPr>
            <w:tcW w:w="703" w:type="pct"/>
            <w:shd w:val="clear" w:color="auto" w:fill="auto"/>
            <w:vAlign w:val="center"/>
          </w:tcPr>
          <w:p w14:paraId="3B75D97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0.089</w:t>
            </w:r>
          </w:p>
        </w:tc>
        <w:tc>
          <w:tcPr>
            <w:tcW w:w="543" w:type="pct"/>
            <w:shd w:val="clear" w:color="auto" w:fill="auto"/>
            <w:vAlign w:val="center"/>
          </w:tcPr>
          <w:p w14:paraId="34809CB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+0.089</w:t>
            </w:r>
          </w:p>
        </w:tc>
      </w:tr>
      <w:tr w14:paraId="5BCB5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CAFAE63">
            <w:pPr>
              <w:pStyle w:val="31"/>
              <w:bidi w:val="0"/>
              <w:jc w:val="center"/>
              <w:rPr>
                <w:rFonts w:hint="eastAsia"/>
                <w:lang w:val="en-US" w:eastAsia="zh-CN"/>
              </w:rPr>
            </w:pPr>
          </w:p>
        </w:tc>
        <w:tc>
          <w:tcPr>
            <w:tcW w:w="568" w:type="pct"/>
            <w:vMerge w:val="continue"/>
            <w:vAlign w:val="center"/>
          </w:tcPr>
          <w:p w14:paraId="6ECEF7D4">
            <w:pPr>
              <w:pStyle w:val="31"/>
              <w:bidi w:val="0"/>
              <w:jc w:val="center"/>
              <w:rPr>
                <w:rFonts w:hint="eastAsia"/>
                <w:lang w:val="en-US" w:eastAsia="zh-CN"/>
              </w:rPr>
            </w:pPr>
          </w:p>
        </w:tc>
        <w:tc>
          <w:tcPr>
            <w:tcW w:w="975" w:type="pct"/>
            <w:vAlign w:val="center"/>
          </w:tcPr>
          <w:p w14:paraId="2A5E6325">
            <w:pPr>
              <w:pStyle w:val="31"/>
              <w:bidi w:val="0"/>
              <w:jc w:val="center"/>
              <w:rPr>
                <w:rFonts w:hint="default"/>
                <w:vertAlign w:val="baseline"/>
                <w:lang w:val="en-US" w:eastAsia="zh-CN"/>
              </w:rPr>
            </w:pPr>
            <w:r>
              <w:rPr>
                <w:rFonts w:hint="eastAsia"/>
                <w:lang w:val="en-US" w:eastAsia="zh-CN"/>
              </w:rPr>
              <w:t>BOD</w:t>
            </w:r>
            <w:r>
              <w:rPr>
                <w:rFonts w:hint="eastAsia"/>
                <w:vertAlign w:val="subscript"/>
                <w:lang w:val="en-US" w:eastAsia="zh-CN"/>
              </w:rPr>
              <w:t>5</w:t>
            </w:r>
          </w:p>
        </w:tc>
        <w:tc>
          <w:tcPr>
            <w:tcW w:w="603" w:type="pct"/>
            <w:vAlign w:val="center"/>
          </w:tcPr>
          <w:p w14:paraId="1B97EDE7">
            <w:pPr>
              <w:pStyle w:val="31"/>
              <w:bidi w:val="0"/>
              <w:jc w:val="center"/>
              <w:rPr>
                <w:rFonts w:hint="default"/>
                <w:lang w:val="en-US" w:eastAsia="zh-CN"/>
              </w:rPr>
            </w:pPr>
            <w:r>
              <w:rPr>
                <w:rFonts w:hint="eastAsia"/>
                <w:lang w:val="en-US" w:eastAsia="zh-CN"/>
              </w:rPr>
              <w:t>0</w:t>
            </w:r>
          </w:p>
        </w:tc>
        <w:tc>
          <w:tcPr>
            <w:tcW w:w="839" w:type="pct"/>
            <w:vAlign w:val="center"/>
          </w:tcPr>
          <w:p w14:paraId="065D227F">
            <w:pPr>
              <w:pStyle w:val="31"/>
              <w:bidi w:val="0"/>
              <w:jc w:val="center"/>
              <w:rPr>
                <w:rFonts w:hint="default"/>
                <w:lang w:val="en-US" w:eastAsia="zh-CN"/>
              </w:rPr>
            </w:pPr>
            <w:r>
              <w:rPr>
                <w:rFonts w:hint="eastAsia"/>
                <w:lang w:val="en-US" w:eastAsia="zh-CN"/>
              </w:rPr>
              <w:t>0</w:t>
            </w:r>
          </w:p>
        </w:tc>
        <w:tc>
          <w:tcPr>
            <w:tcW w:w="603" w:type="pct"/>
            <w:vAlign w:val="center"/>
          </w:tcPr>
          <w:p w14:paraId="36FA6CE9">
            <w:pPr>
              <w:pStyle w:val="31"/>
              <w:bidi w:val="0"/>
              <w:jc w:val="center"/>
              <w:rPr>
                <w:rFonts w:hint="default"/>
                <w:lang w:val="en-US" w:eastAsia="zh-CN"/>
              </w:rPr>
            </w:pPr>
            <w:r>
              <w:rPr>
                <w:rFonts w:hint="eastAsia"/>
                <w:lang w:val="en-US" w:eastAsia="zh-CN"/>
              </w:rPr>
              <w:t>0.071</w:t>
            </w:r>
          </w:p>
        </w:tc>
        <w:tc>
          <w:tcPr>
            <w:tcW w:w="703" w:type="pct"/>
            <w:shd w:val="clear" w:color="auto" w:fill="auto"/>
            <w:vAlign w:val="center"/>
          </w:tcPr>
          <w:p w14:paraId="06DB011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0.071</w:t>
            </w:r>
          </w:p>
        </w:tc>
        <w:tc>
          <w:tcPr>
            <w:tcW w:w="543" w:type="pct"/>
            <w:shd w:val="clear" w:color="auto" w:fill="auto"/>
            <w:vAlign w:val="center"/>
          </w:tcPr>
          <w:p w14:paraId="490A9F7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+0.071</w:t>
            </w:r>
          </w:p>
        </w:tc>
      </w:tr>
      <w:tr w14:paraId="31695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743877A">
            <w:pPr>
              <w:pStyle w:val="31"/>
              <w:bidi w:val="0"/>
              <w:jc w:val="center"/>
              <w:rPr>
                <w:rFonts w:hint="eastAsia"/>
                <w:lang w:val="en-US" w:eastAsia="zh-CN"/>
              </w:rPr>
            </w:pPr>
          </w:p>
        </w:tc>
        <w:tc>
          <w:tcPr>
            <w:tcW w:w="568" w:type="pct"/>
            <w:vMerge w:val="continue"/>
            <w:vAlign w:val="center"/>
          </w:tcPr>
          <w:p w14:paraId="75AC9F78">
            <w:pPr>
              <w:pStyle w:val="31"/>
              <w:bidi w:val="0"/>
              <w:jc w:val="center"/>
              <w:rPr>
                <w:rFonts w:hint="eastAsia"/>
                <w:lang w:val="en-US" w:eastAsia="zh-CN"/>
              </w:rPr>
            </w:pPr>
          </w:p>
        </w:tc>
        <w:tc>
          <w:tcPr>
            <w:tcW w:w="975" w:type="pct"/>
            <w:vAlign w:val="center"/>
          </w:tcPr>
          <w:p w14:paraId="53BB1F8A">
            <w:pPr>
              <w:pStyle w:val="31"/>
              <w:bidi w:val="0"/>
              <w:jc w:val="center"/>
              <w:rPr>
                <w:rFonts w:hint="default"/>
                <w:lang w:val="en-US" w:eastAsia="zh-CN"/>
              </w:rPr>
            </w:pPr>
            <w:r>
              <w:rPr>
                <w:rFonts w:hint="eastAsia"/>
                <w:lang w:val="en-US" w:eastAsia="zh-CN"/>
              </w:rPr>
              <w:t>氨氮</w:t>
            </w:r>
          </w:p>
        </w:tc>
        <w:tc>
          <w:tcPr>
            <w:tcW w:w="603" w:type="pct"/>
            <w:vAlign w:val="center"/>
          </w:tcPr>
          <w:p w14:paraId="6B101DC1">
            <w:pPr>
              <w:pStyle w:val="31"/>
              <w:bidi w:val="0"/>
              <w:jc w:val="center"/>
              <w:rPr>
                <w:rFonts w:hint="default"/>
                <w:lang w:val="en-US" w:eastAsia="zh-CN"/>
              </w:rPr>
            </w:pPr>
            <w:r>
              <w:rPr>
                <w:rFonts w:hint="eastAsia"/>
                <w:lang w:val="en-US" w:eastAsia="zh-CN"/>
              </w:rPr>
              <w:t>0</w:t>
            </w:r>
          </w:p>
        </w:tc>
        <w:tc>
          <w:tcPr>
            <w:tcW w:w="839" w:type="pct"/>
            <w:vAlign w:val="center"/>
          </w:tcPr>
          <w:p w14:paraId="5FB5E0E4">
            <w:pPr>
              <w:pStyle w:val="31"/>
              <w:bidi w:val="0"/>
              <w:jc w:val="center"/>
              <w:rPr>
                <w:rFonts w:hint="default"/>
                <w:lang w:val="en-US" w:eastAsia="zh-CN"/>
              </w:rPr>
            </w:pPr>
            <w:r>
              <w:rPr>
                <w:rFonts w:hint="eastAsia"/>
                <w:lang w:val="en-US" w:eastAsia="zh-CN"/>
              </w:rPr>
              <w:t>0</w:t>
            </w:r>
          </w:p>
        </w:tc>
        <w:tc>
          <w:tcPr>
            <w:tcW w:w="603" w:type="pct"/>
            <w:vAlign w:val="center"/>
          </w:tcPr>
          <w:p w14:paraId="3B872B31">
            <w:pPr>
              <w:pStyle w:val="31"/>
              <w:bidi w:val="0"/>
              <w:jc w:val="center"/>
              <w:rPr>
                <w:rFonts w:hint="default"/>
                <w:lang w:val="en-US" w:eastAsia="zh-CN"/>
              </w:rPr>
            </w:pPr>
            <w:r>
              <w:rPr>
                <w:rFonts w:hint="eastAsia"/>
                <w:lang w:val="en-US" w:eastAsia="zh-CN"/>
              </w:rPr>
              <w:t>0.050</w:t>
            </w:r>
          </w:p>
        </w:tc>
        <w:tc>
          <w:tcPr>
            <w:tcW w:w="703" w:type="pct"/>
            <w:shd w:val="clear" w:color="auto" w:fill="auto"/>
            <w:vAlign w:val="center"/>
          </w:tcPr>
          <w:p w14:paraId="50A4CE7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0.050</w:t>
            </w:r>
          </w:p>
        </w:tc>
        <w:tc>
          <w:tcPr>
            <w:tcW w:w="543" w:type="pct"/>
            <w:shd w:val="clear" w:color="auto" w:fill="auto"/>
            <w:vAlign w:val="center"/>
          </w:tcPr>
          <w:p w14:paraId="079E4CE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+0.050</w:t>
            </w:r>
          </w:p>
        </w:tc>
      </w:tr>
      <w:tr w14:paraId="02088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445D47C">
            <w:pPr>
              <w:pStyle w:val="31"/>
              <w:bidi w:val="0"/>
              <w:jc w:val="center"/>
              <w:rPr>
                <w:rFonts w:hint="eastAsia"/>
                <w:lang w:val="en-US" w:eastAsia="zh-CN"/>
              </w:rPr>
            </w:pPr>
          </w:p>
        </w:tc>
        <w:tc>
          <w:tcPr>
            <w:tcW w:w="568" w:type="pct"/>
            <w:vMerge w:val="continue"/>
            <w:vAlign w:val="center"/>
          </w:tcPr>
          <w:p w14:paraId="241972F4">
            <w:pPr>
              <w:pStyle w:val="31"/>
              <w:bidi w:val="0"/>
              <w:jc w:val="center"/>
              <w:rPr>
                <w:rFonts w:hint="eastAsia"/>
                <w:lang w:val="en-US" w:eastAsia="zh-CN"/>
              </w:rPr>
            </w:pPr>
          </w:p>
        </w:tc>
        <w:tc>
          <w:tcPr>
            <w:tcW w:w="975" w:type="pct"/>
            <w:vAlign w:val="center"/>
          </w:tcPr>
          <w:p w14:paraId="12C1A874">
            <w:pPr>
              <w:pStyle w:val="31"/>
              <w:bidi w:val="0"/>
              <w:jc w:val="center"/>
              <w:rPr>
                <w:rFonts w:hint="default"/>
                <w:lang w:val="en-US" w:eastAsia="zh-CN"/>
              </w:rPr>
            </w:pPr>
            <w:r>
              <w:rPr>
                <w:rFonts w:hint="eastAsia"/>
                <w:lang w:val="en-US" w:eastAsia="zh-CN"/>
              </w:rPr>
              <w:t>SS</w:t>
            </w:r>
          </w:p>
        </w:tc>
        <w:tc>
          <w:tcPr>
            <w:tcW w:w="603" w:type="pct"/>
            <w:vAlign w:val="center"/>
          </w:tcPr>
          <w:p w14:paraId="6C344F2A">
            <w:pPr>
              <w:pStyle w:val="31"/>
              <w:bidi w:val="0"/>
              <w:jc w:val="center"/>
              <w:rPr>
                <w:rFonts w:hint="default"/>
                <w:lang w:val="en-US" w:eastAsia="zh-CN"/>
              </w:rPr>
            </w:pPr>
            <w:r>
              <w:rPr>
                <w:rFonts w:hint="eastAsia"/>
                <w:lang w:val="en-US" w:eastAsia="zh-CN"/>
              </w:rPr>
              <w:t>0</w:t>
            </w:r>
          </w:p>
        </w:tc>
        <w:tc>
          <w:tcPr>
            <w:tcW w:w="839" w:type="pct"/>
            <w:vAlign w:val="center"/>
          </w:tcPr>
          <w:p w14:paraId="59A67AF2">
            <w:pPr>
              <w:pStyle w:val="31"/>
              <w:bidi w:val="0"/>
              <w:jc w:val="center"/>
              <w:rPr>
                <w:rFonts w:hint="default"/>
                <w:lang w:val="en-US" w:eastAsia="zh-CN"/>
              </w:rPr>
            </w:pPr>
            <w:r>
              <w:rPr>
                <w:rFonts w:hint="eastAsia"/>
                <w:lang w:val="en-US" w:eastAsia="zh-CN"/>
              </w:rPr>
              <w:t>0</w:t>
            </w:r>
          </w:p>
        </w:tc>
        <w:tc>
          <w:tcPr>
            <w:tcW w:w="603" w:type="pct"/>
            <w:vAlign w:val="center"/>
          </w:tcPr>
          <w:p w14:paraId="717F945F">
            <w:pPr>
              <w:pStyle w:val="31"/>
              <w:bidi w:val="0"/>
              <w:jc w:val="center"/>
              <w:rPr>
                <w:rFonts w:hint="default"/>
                <w:lang w:val="en-US" w:eastAsia="zh-CN"/>
              </w:rPr>
            </w:pPr>
            <w:r>
              <w:rPr>
                <w:rFonts w:hint="eastAsia"/>
                <w:lang w:val="en-US" w:eastAsia="zh-CN"/>
              </w:rPr>
              <w:t>0.250</w:t>
            </w:r>
          </w:p>
        </w:tc>
        <w:tc>
          <w:tcPr>
            <w:tcW w:w="703" w:type="pct"/>
            <w:shd w:val="clear" w:color="auto" w:fill="auto"/>
            <w:vAlign w:val="center"/>
          </w:tcPr>
          <w:p w14:paraId="15D4450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0.250</w:t>
            </w:r>
          </w:p>
        </w:tc>
        <w:tc>
          <w:tcPr>
            <w:tcW w:w="543" w:type="pct"/>
            <w:shd w:val="clear" w:color="auto" w:fill="auto"/>
            <w:vAlign w:val="center"/>
          </w:tcPr>
          <w:p w14:paraId="149FA95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+0.250</w:t>
            </w:r>
          </w:p>
        </w:tc>
      </w:tr>
      <w:tr w14:paraId="22A1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2D02A47">
            <w:pPr>
              <w:pStyle w:val="31"/>
              <w:bidi w:val="0"/>
              <w:jc w:val="center"/>
              <w:rPr>
                <w:rFonts w:hint="eastAsia"/>
                <w:lang w:val="en-US" w:eastAsia="zh-CN"/>
              </w:rPr>
            </w:pPr>
          </w:p>
        </w:tc>
        <w:tc>
          <w:tcPr>
            <w:tcW w:w="568" w:type="pct"/>
            <w:vMerge w:val="continue"/>
            <w:vAlign w:val="center"/>
          </w:tcPr>
          <w:p w14:paraId="79BD2C70">
            <w:pPr>
              <w:pStyle w:val="31"/>
              <w:bidi w:val="0"/>
              <w:jc w:val="center"/>
              <w:rPr>
                <w:rFonts w:hint="eastAsia"/>
                <w:lang w:val="en-US" w:eastAsia="zh-CN"/>
              </w:rPr>
            </w:pPr>
          </w:p>
        </w:tc>
        <w:tc>
          <w:tcPr>
            <w:tcW w:w="975" w:type="pct"/>
            <w:vAlign w:val="center"/>
          </w:tcPr>
          <w:p w14:paraId="2155A791">
            <w:pPr>
              <w:pStyle w:val="31"/>
              <w:bidi w:val="0"/>
              <w:jc w:val="center"/>
              <w:rPr>
                <w:rFonts w:hint="default"/>
                <w:lang w:val="en-US" w:eastAsia="zh-CN"/>
              </w:rPr>
            </w:pPr>
            <w:r>
              <w:rPr>
                <w:rFonts w:hint="eastAsia"/>
                <w:lang w:val="en-US" w:eastAsia="zh-CN"/>
              </w:rPr>
              <w:t>石油类</w:t>
            </w:r>
          </w:p>
        </w:tc>
        <w:tc>
          <w:tcPr>
            <w:tcW w:w="603" w:type="pct"/>
            <w:vAlign w:val="center"/>
          </w:tcPr>
          <w:p w14:paraId="100A71A8">
            <w:pPr>
              <w:pStyle w:val="31"/>
              <w:bidi w:val="0"/>
              <w:jc w:val="center"/>
              <w:rPr>
                <w:rFonts w:hint="default"/>
                <w:lang w:val="en-US" w:eastAsia="zh-CN"/>
              </w:rPr>
            </w:pPr>
            <w:r>
              <w:rPr>
                <w:rFonts w:hint="eastAsia"/>
                <w:lang w:val="en-US" w:eastAsia="zh-CN"/>
              </w:rPr>
              <w:t>0</w:t>
            </w:r>
          </w:p>
        </w:tc>
        <w:tc>
          <w:tcPr>
            <w:tcW w:w="839" w:type="pct"/>
            <w:vAlign w:val="center"/>
          </w:tcPr>
          <w:p w14:paraId="00C7793E">
            <w:pPr>
              <w:pStyle w:val="31"/>
              <w:bidi w:val="0"/>
              <w:jc w:val="center"/>
              <w:rPr>
                <w:rFonts w:hint="default"/>
                <w:lang w:val="en-US" w:eastAsia="zh-CN"/>
              </w:rPr>
            </w:pPr>
            <w:r>
              <w:rPr>
                <w:rFonts w:hint="eastAsia"/>
                <w:lang w:val="en-US" w:eastAsia="zh-CN"/>
              </w:rPr>
              <w:t>0</w:t>
            </w:r>
          </w:p>
        </w:tc>
        <w:tc>
          <w:tcPr>
            <w:tcW w:w="603" w:type="pct"/>
            <w:vAlign w:val="center"/>
          </w:tcPr>
          <w:p w14:paraId="599C1A70">
            <w:pPr>
              <w:pStyle w:val="31"/>
              <w:bidi w:val="0"/>
              <w:jc w:val="center"/>
              <w:rPr>
                <w:rFonts w:hint="default"/>
                <w:lang w:val="en-US" w:eastAsia="zh-CN"/>
              </w:rPr>
            </w:pPr>
            <w:r>
              <w:rPr>
                <w:rFonts w:hint="eastAsia"/>
                <w:lang w:val="en-US" w:eastAsia="zh-CN"/>
              </w:rPr>
              <w:t>0.007</w:t>
            </w:r>
          </w:p>
        </w:tc>
        <w:tc>
          <w:tcPr>
            <w:tcW w:w="703" w:type="pct"/>
            <w:shd w:val="clear" w:color="auto" w:fill="auto"/>
            <w:vAlign w:val="center"/>
          </w:tcPr>
          <w:p w14:paraId="4DAF934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0.007</w:t>
            </w:r>
          </w:p>
        </w:tc>
        <w:tc>
          <w:tcPr>
            <w:tcW w:w="543" w:type="pct"/>
            <w:shd w:val="clear" w:color="auto" w:fill="auto"/>
            <w:vAlign w:val="center"/>
          </w:tcPr>
          <w:p w14:paraId="1F94983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+0.007</w:t>
            </w:r>
          </w:p>
        </w:tc>
      </w:tr>
      <w:tr w14:paraId="64CE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restart"/>
            <w:vAlign w:val="center"/>
          </w:tcPr>
          <w:p w14:paraId="6CBC2D2E">
            <w:pPr>
              <w:pStyle w:val="31"/>
              <w:bidi w:val="0"/>
              <w:jc w:val="center"/>
              <w:rPr>
                <w:rFonts w:hint="eastAsia"/>
                <w:lang w:val="en-US" w:eastAsia="zh-CN"/>
              </w:rPr>
            </w:pPr>
            <w:r>
              <w:rPr>
                <w:rFonts w:hint="eastAsia"/>
                <w:lang w:val="en-US" w:eastAsia="zh-CN"/>
              </w:rPr>
              <w:t>固</w:t>
            </w:r>
          </w:p>
          <w:p w14:paraId="75842C3C">
            <w:pPr>
              <w:pStyle w:val="31"/>
              <w:bidi w:val="0"/>
              <w:jc w:val="center"/>
              <w:rPr>
                <w:rFonts w:hint="eastAsia"/>
                <w:lang w:val="en-US" w:eastAsia="zh-CN"/>
              </w:rPr>
            </w:pPr>
            <w:r>
              <w:rPr>
                <w:rFonts w:hint="eastAsia"/>
                <w:lang w:val="en-US" w:eastAsia="zh-CN"/>
              </w:rPr>
              <w:t>体</w:t>
            </w:r>
          </w:p>
          <w:p w14:paraId="63E4531B">
            <w:pPr>
              <w:pStyle w:val="31"/>
              <w:bidi w:val="0"/>
              <w:jc w:val="center"/>
              <w:rPr>
                <w:rFonts w:hint="eastAsia"/>
                <w:lang w:val="en-US" w:eastAsia="zh-CN"/>
              </w:rPr>
            </w:pPr>
            <w:r>
              <w:rPr>
                <w:rFonts w:hint="eastAsia"/>
                <w:lang w:val="en-US" w:eastAsia="zh-CN"/>
              </w:rPr>
              <w:t>废</w:t>
            </w:r>
          </w:p>
          <w:p w14:paraId="7D5CD8F9">
            <w:pPr>
              <w:pStyle w:val="31"/>
              <w:bidi w:val="0"/>
              <w:jc w:val="center"/>
              <w:rPr>
                <w:rFonts w:hint="default"/>
                <w:lang w:val="en-US" w:eastAsia="zh-CN"/>
              </w:rPr>
            </w:pPr>
            <w:r>
              <w:rPr>
                <w:rFonts w:hint="eastAsia"/>
                <w:lang w:val="en-US" w:eastAsia="zh-CN"/>
              </w:rPr>
              <w:t>物</w:t>
            </w:r>
          </w:p>
        </w:tc>
        <w:tc>
          <w:tcPr>
            <w:tcW w:w="568" w:type="pct"/>
            <w:vAlign w:val="center"/>
          </w:tcPr>
          <w:p w14:paraId="56CE99BC">
            <w:pPr>
              <w:pStyle w:val="31"/>
              <w:bidi w:val="0"/>
              <w:jc w:val="center"/>
              <w:rPr>
                <w:rFonts w:hint="default"/>
                <w:lang w:val="en-US" w:eastAsia="zh-CN"/>
              </w:rPr>
            </w:pPr>
            <w:r>
              <w:rPr>
                <w:rFonts w:hint="eastAsia"/>
                <w:lang w:val="en-US" w:eastAsia="zh-CN"/>
              </w:rPr>
              <w:t>生活垃圾</w:t>
            </w:r>
          </w:p>
        </w:tc>
        <w:tc>
          <w:tcPr>
            <w:tcW w:w="975" w:type="pct"/>
            <w:vAlign w:val="center"/>
          </w:tcPr>
          <w:p w14:paraId="10C662BF">
            <w:pPr>
              <w:pStyle w:val="31"/>
              <w:bidi w:val="0"/>
              <w:jc w:val="center"/>
              <w:rPr>
                <w:rFonts w:hint="eastAsia"/>
                <w:lang w:val="en-US" w:eastAsia="zh-CN"/>
              </w:rPr>
            </w:pPr>
            <w:r>
              <w:rPr>
                <w:rFonts w:hint="eastAsia"/>
                <w:lang w:val="en-US" w:eastAsia="zh-CN"/>
              </w:rPr>
              <w:t>生活垃圾</w:t>
            </w:r>
          </w:p>
        </w:tc>
        <w:tc>
          <w:tcPr>
            <w:tcW w:w="603" w:type="pct"/>
            <w:vAlign w:val="center"/>
          </w:tcPr>
          <w:p w14:paraId="2483C440">
            <w:pPr>
              <w:pStyle w:val="31"/>
              <w:bidi w:val="0"/>
              <w:jc w:val="center"/>
              <w:rPr>
                <w:rFonts w:hint="default"/>
                <w:lang w:val="en-US" w:eastAsia="zh-CN"/>
              </w:rPr>
            </w:pPr>
            <w:r>
              <w:rPr>
                <w:rFonts w:hint="eastAsia"/>
                <w:lang w:val="en-US" w:eastAsia="zh-CN"/>
              </w:rPr>
              <w:t>2</w:t>
            </w:r>
          </w:p>
        </w:tc>
        <w:tc>
          <w:tcPr>
            <w:tcW w:w="839" w:type="pct"/>
            <w:vAlign w:val="center"/>
          </w:tcPr>
          <w:p w14:paraId="3CBD85AC">
            <w:pPr>
              <w:pStyle w:val="31"/>
              <w:bidi w:val="0"/>
              <w:jc w:val="center"/>
              <w:rPr>
                <w:rFonts w:hint="default"/>
                <w:lang w:val="en-US" w:eastAsia="zh-CN"/>
              </w:rPr>
            </w:pPr>
            <w:r>
              <w:rPr>
                <w:rFonts w:hint="eastAsia"/>
                <w:lang w:val="en-US" w:eastAsia="zh-CN"/>
              </w:rPr>
              <w:t>0</w:t>
            </w:r>
          </w:p>
        </w:tc>
        <w:tc>
          <w:tcPr>
            <w:tcW w:w="603" w:type="pct"/>
            <w:vAlign w:val="center"/>
          </w:tcPr>
          <w:p w14:paraId="3BDD54BC">
            <w:pPr>
              <w:pStyle w:val="31"/>
              <w:bidi w:val="0"/>
              <w:jc w:val="center"/>
              <w:rPr>
                <w:rFonts w:hint="default"/>
                <w:lang w:val="en-US" w:eastAsia="zh-CN"/>
              </w:rPr>
            </w:pPr>
            <w:r>
              <w:rPr>
                <w:rFonts w:hint="eastAsia"/>
                <w:lang w:val="en-US" w:eastAsia="zh-CN"/>
              </w:rPr>
              <w:t>1</w:t>
            </w:r>
          </w:p>
        </w:tc>
        <w:tc>
          <w:tcPr>
            <w:tcW w:w="703" w:type="pct"/>
            <w:shd w:val="clear" w:color="auto" w:fill="auto"/>
            <w:vAlign w:val="center"/>
          </w:tcPr>
          <w:p w14:paraId="7DAABDA1">
            <w:pPr>
              <w:pStyle w:val="31"/>
              <w:bidi w:val="0"/>
              <w:ind w:firstLine="0" w:firstLineChars="0"/>
              <w:jc w:val="center"/>
              <w:rPr>
                <w:rFonts w:hint="default"/>
                <w:lang w:val="en-US" w:eastAsia="zh-CN"/>
              </w:rPr>
            </w:pPr>
            <w:r>
              <w:rPr>
                <w:rFonts w:hint="eastAsia"/>
                <w:lang w:val="en-US" w:eastAsia="zh-CN"/>
              </w:rPr>
              <w:t>3</w:t>
            </w:r>
          </w:p>
        </w:tc>
        <w:tc>
          <w:tcPr>
            <w:tcW w:w="543" w:type="pct"/>
            <w:shd w:val="clear" w:color="auto" w:fill="auto"/>
            <w:vAlign w:val="center"/>
          </w:tcPr>
          <w:p w14:paraId="5F5B9F8D">
            <w:pPr>
              <w:pStyle w:val="31"/>
              <w:bidi w:val="0"/>
              <w:ind w:firstLine="0" w:firstLineChars="0"/>
              <w:jc w:val="center"/>
              <w:rPr>
                <w:rFonts w:hint="default"/>
                <w:lang w:val="en-US" w:eastAsia="zh-CN"/>
              </w:rPr>
            </w:pPr>
            <w:r>
              <w:rPr>
                <w:rFonts w:hint="eastAsia"/>
                <w:lang w:val="en-US" w:eastAsia="zh-CN"/>
              </w:rPr>
              <w:t>+1</w:t>
            </w:r>
          </w:p>
        </w:tc>
      </w:tr>
      <w:tr w14:paraId="35BFA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2A72802">
            <w:pPr>
              <w:pStyle w:val="31"/>
              <w:bidi w:val="0"/>
              <w:jc w:val="center"/>
              <w:rPr>
                <w:rFonts w:hint="default"/>
                <w:lang w:val="en-US" w:eastAsia="zh-CN"/>
              </w:rPr>
            </w:pPr>
          </w:p>
        </w:tc>
        <w:tc>
          <w:tcPr>
            <w:tcW w:w="568" w:type="pct"/>
            <w:vMerge w:val="restart"/>
            <w:shd w:val="clear" w:color="auto" w:fill="auto"/>
            <w:vAlign w:val="center"/>
          </w:tcPr>
          <w:p w14:paraId="26EAF999">
            <w:pPr>
              <w:pStyle w:val="31"/>
              <w:bidi w:val="0"/>
              <w:ind w:firstLine="0" w:firstLineChars="0"/>
              <w:jc w:val="center"/>
              <w:rPr>
                <w:rFonts w:hint="eastAsia"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一般固</w:t>
            </w:r>
          </w:p>
          <w:p w14:paraId="77B6200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体废物</w:t>
            </w:r>
          </w:p>
        </w:tc>
        <w:tc>
          <w:tcPr>
            <w:tcW w:w="975" w:type="pct"/>
            <w:shd w:val="clear" w:color="auto" w:fill="auto"/>
            <w:vAlign w:val="center"/>
          </w:tcPr>
          <w:p w14:paraId="37B6C5A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u w:val="none"/>
              </w:rPr>
              <w:t>钢板、钢材碎料及铁锈铁渣等</w:t>
            </w:r>
          </w:p>
        </w:tc>
        <w:tc>
          <w:tcPr>
            <w:tcW w:w="603" w:type="pct"/>
            <w:shd w:val="clear" w:color="auto" w:fill="auto"/>
            <w:vAlign w:val="center"/>
          </w:tcPr>
          <w:p w14:paraId="6B17F23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110.6</w:t>
            </w:r>
          </w:p>
        </w:tc>
        <w:tc>
          <w:tcPr>
            <w:tcW w:w="839" w:type="pct"/>
            <w:vAlign w:val="center"/>
          </w:tcPr>
          <w:p w14:paraId="1681D967">
            <w:pPr>
              <w:pStyle w:val="31"/>
              <w:bidi w:val="0"/>
              <w:jc w:val="center"/>
              <w:rPr>
                <w:rFonts w:hint="default"/>
                <w:lang w:val="en-US" w:eastAsia="zh-CN"/>
              </w:rPr>
            </w:pPr>
            <w:r>
              <w:rPr>
                <w:rFonts w:hint="eastAsia"/>
                <w:lang w:val="en-US" w:eastAsia="zh-CN"/>
              </w:rPr>
              <w:t>0</w:t>
            </w:r>
          </w:p>
        </w:tc>
        <w:tc>
          <w:tcPr>
            <w:tcW w:w="603" w:type="pct"/>
            <w:vAlign w:val="center"/>
          </w:tcPr>
          <w:p w14:paraId="3C7881CC">
            <w:pPr>
              <w:pStyle w:val="31"/>
              <w:bidi w:val="0"/>
              <w:jc w:val="center"/>
              <w:rPr>
                <w:rFonts w:hint="default"/>
                <w:lang w:val="en-US" w:eastAsia="zh-CN"/>
              </w:rPr>
            </w:pPr>
            <w:r>
              <w:rPr>
                <w:rFonts w:hint="eastAsia"/>
                <w:lang w:val="en-US" w:eastAsia="zh-CN"/>
              </w:rPr>
              <w:t>2923.21</w:t>
            </w:r>
          </w:p>
        </w:tc>
        <w:tc>
          <w:tcPr>
            <w:tcW w:w="703" w:type="pct"/>
            <w:vAlign w:val="center"/>
          </w:tcPr>
          <w:p w14:paraId="53C0CF56">
            <w:pPr>
              <w:pStyle w:val="31"/>
              <w:bidi w:val="0"/>
              <w:jc w:val="center"/>
              <w:rPr>
                <w:rFonts w:hint="default"/>
                <w:lang w:val="en-US" w:eastAsia="zh-CN"/>
              </w:rPr>
            </w:pPr>
            <w:r>
              <w:rPr>
                <w:rFonts w:hint="eastAsia"/>
                <w:lang w:val="en-US" w:eastAsia="zh-CN"/>
              </w:rPr>
              <w:t>3033.81</w:t>
            </w:r>
          </w:p>
        </w:tc>
        <w:tc>
          <w:tcPr>
            <w:tcW w:w="543" w:type="pct"/>
            <w:vAlign w:val="center"/>
          </w:tcPr>
          <w:p w14:paraId="73126D2C">
            <w:pPr>
              <w:pStyle w:val="31"/>
              <w:bidi w:val="0"/>
              <w:jc w:val="center"/>
              <w:rPr>
                <w:rFonts w:hint="default"/>
                <w:lang w:val="en-US" w:eastAsia="zh-CN"/>
              </w:rPr>
            </w:pPr>
            <w:r>
              <w:rPr>
                <w:rFonts w:hint="eastAsia"/>
                <w:lang w:val="en-US" w:eastAsia="zh-CN"/>
              </w:rPr>
              <w:t>+2923.21</w:t>
            </w:r>
          </w:p>
        </w:tc>
      </w:tr>
      <w:tr w14:paraId="6252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FA6E9E5">
            <w:pPr>
              <w:pStyle w:val="31"/>
              <w:bidi w:val="0"/>
              <w:jc w:val="center"/>
              <w:rPr>
                <w:rFonts w:hint="eastAsia"/>
                <w:lang w:val="en-US" w:eastAsia="zh-CN"/>
              </w:rPr>
            </w:pPr>
          </w:p>
        </w:tc>
        <w:tc>
          <w:tcPr>
            <w:tcW w:w="568" w:type="pct"/>
            <w:vMerge w:val="continue"/>
            <w:shd w:val="clear" w:color="auto" w:fill="auto"/>
            <w:vAlign w:val="center"/>
          </w:tcPr>
          <w:p w14:paraId="203883C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7E5E1DE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场地收集尘</w:t>
            </w:r>
          </w:p>
        </w:tc>
        <w:tc>
          <w:tcPr>
            <w:tcW w:w="603" w:type="pct"/>
            <w:shd w:val="clear" w:color="auto" w:fill="auto"/>
            <w:vAlign w:val="center"/>
          </w:tcPr>
          <w:p w14:paraId="12969AA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0.2</w:t>
            </w:r>
          </w:p>
        </w:tc>
        <w:tc>
          <w:tcPr>
            <w:tcW w:w="839" w:type="pct"/>
            <w:vAlign w:val="center"/>
          </w:tcPr>
          <w:p w14:paraId="1391EC7C">
            <w:pPr>
              <w:pStyle w:val="31"/>
              <w:bidi w:val="0"/>
              <w:jc w:val="center"/>
              <w:rPr>
                <w:rFonts w:hint="default"/>
                <w:lang w:val="en-US" w:eastAsia="zh-CN"/>
              </w:rPr>
            </w:pPr>
            <w:r>
              <w:rPr>
                <w:rFonts w:hint="eastAsia"/>
                <w:lang w:val="en-US" w:eastAsia="zh-CN"/>
              </w:rPr>
              <w:t>0</w:t>
            </w:r>
          </w:p>
        </w:tc>
        <w:tc>
          <w:tcPr>
            <w:tcW w:w="603" w:type="pct"/>
            <w:vAlign w:val="center"/>
          </w:tcPr>
          <w:p w14:paraId="247F2E42">
            <w:pPr>
              <w:pStyle w:val="31"/>
              <w:bidi w:val="0"/>
              <w:jc w:val="center"/>
              <w:rPr>
                <w:rFonts w:hint="default"/>
                <w:lang w:val="en-US" w:eastAsia="zh-CN"/>
              </w:rPr>
            </w:pPr>
            <w:r>
              <w:rPr>
                <w:rFonts w:hint="eastAsia"/>
                <w:lang w:val="en-US" w:eastAsia="zh-CN"/>
              </w:rPr>
              <w:t>0.09</w:t>
            </w:r>
          </w:p>
        </w:tc>
        <w:tc>
          <w:tcPr>
            <w:tcW w:w="703" w:type="pct"/>
            <w:vAlign w:val="center"/>
          </w:tcPr>
          <w:p w14:paraId="22780C2A">
            <w:pPr>
              <w:pStyle w:val="31"/>
              <w:bidi w:val="0"/>
              <w:jc w:val="center"/>
              <w:rPr>
                <w:rFonts w:hint="default"/>
                <w:lang w:val="en-US" w:eastAsia="zh-CN"/>
              </w:rPr>
            </w:pPr>
            <w:r>
              <w:rPr>
                <w:rFonts w:hint="eastAsia"/>
                <w:lang w:val="en-US" w:eastAsia="zh-CN"/>
              </w:rPr>
              <w:t>0.29</w:t>
            </w:r>
          </w:p>
        </w:tc>
        <w:tc>
          <w:tcPr>
            <w:tcW w:w="543" w:type="pct"/>
            <w:vAlign w:val="center"/>
          </w:tcPr>
          <w:p w14:paraId="3C65A61B">
            <w:pPr>
              <w:pStyle w:val="31"/>
              <w:bidi w:val="0"/>
              <w:jc w:val="center"/>
              <w:rPr>
                <w:rFonts w:hint="default"/>
                <w:lang w:val="en-US" w:eastAsia="zh-CN"/>
              </w:rPr>
            </w:pPr>
            <w:r>
              <w:rPr>
                <w:rFonts w:hint="eastAsia"/>
                <w:lang w:val="en-US" w:eastAsia="zh-CN"/>
              </w:rPr>
              <w:t>+0.09</w:t>
            </w:r>
          </w:p>
        </w:tc>
      </w:tr>
      <w:tr w14:paraId="458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4E1851B0">
            <w:pPr>
              <w:pStyle w:val="31"/>
              <w:bidi w:val="0"/>
              <w:jc w:val="center"/>
              <w:rPr>
                <w:rFonts w:hint="eastAsia"/>
                <w:lang w:val="en-US" w:eastAsia="zh-CN"/>
              </w:rPr>
            </w:pPr>
          </w:p>
        </w:tc>
        <w:tc>
          <w:tcPr>
            <w:tcW w:w="568" w:type="pct"/>
            <w:vMerge w:val="continue"/>
            <w:shd w:val="clear" w:color="auto" w:fill="auto"/>
            <w:vAlign w:val="center"/>
          </w:tcPr>
          <w:p w14:paraId="48361F2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3BC3FDF4">
            <w:pPr>
              <w:pStyle w:val="31"/>
              <w:bidi w:val="0"/>
              <w:ind w:firstLine="0" w:firstLineChars="0"/>
              <w:jc w:val="center"/>
              <w:rPr>
                <w:rFonts w:hint="eastAsia"/>
                <w:lang w:val="en-US" w:eastAsia="zh-CN"/>
              </w:rPr>
            </w:pPr>
            <w:r>
              <w:rPr>
                <w:u w:val="none"/>
              </w:rPr>
              <w:t>木材家具</w:t>
            </w:r>
          </w:p>
        </w:tc>
        <w:tc>
          <w:tcPr>
            <w:tcW w:w="603" w:type="pct"/>
            <w:shd w:val="clear" w:color="auto" w:fill="auto"/>
            <w:vAlign w:val="center"/>
          </w:tcPr>
          <w:p w14:paraId="32B71E6E">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2ED319B5">
            <w:pPr>
              <w:pStyle w:val="31"/>
              <w:bidi w:val="0"/>
              <w:jc w:val="center"/>
              <w:rPr>
                <w:rFonts w:hint="default"/>
                <w:lang w:val="en-US" w:eastAsia="zh-CN"/>
              </w:rPr>
            </w:pPr>
            <w:r>
              <w:rPr>
                <w:rFonts w:hint="eastAsia"/>
                <w:lang w:val="en-US" w:eastAsia="zh-CN"/>
              </w:rPr>
              <w:t>0</w:t>
            </w:r>
          </w:p>
        </w:tc>
        <w:tc>
          <w:tcPr>
            <w:tcW w:w="603" w:type="pct"/>
            <w:vAlign w:val="center"/>
          </w:tcPr>
          <w:p w14:paraId="570B0C2E">
            <w:pPr>
              <w:pStyle w:val="31"/>
              <w:bidi w:val="0"/>
              <w:jc w:val="center"/>
              <w:rPr>
                <w:rFonts w:hint="default"/>
                <w:lang w:val="en-US" w:eastAsia="zh-CN"/>
              </w:rPr>
            </w:pPr>
            <w:r>
              <w:rPr>
                <w:rFonts w:hint="eastAsia"/>
                <w:lang w:val="en-US" w:eastAsia="zh-CN"/>
              </w:rPr>
              <w:t>25.79</w:t>
            </w:r>
          </w:p>
        </w:tc>
        <w:tc>
          <w:tcPr>
            <w:tcW w:w="703" w:type="pct"/>
            <w:vAlign w:val="center"/>
          </w:tcPr>
          <w:p w14:paraId="46FA7246">
            <w:pPr>
              <w:pStyle w:val="31"/>
              <w:bidi w:val="0"/>
              <w:jc w:val="center"/>
              <w:rPr>
                <w:rFonts w:hint="default"/>
                <w:lang w:val="en-US" w:eastAsia="zh-CN"/>
              </w:rPr>
            </w:pPr>
            <w:r>
              <w:rPr>
                <w:rFonts w:hint="eastAsia"/>
                <w:lang w:val="en-US" w:eastAsia="zh-CN"/>
              </w:rPr>
              <w:t>25.79</w:t>
            </w:r>
          </w:p>
        </w:tc>
        <w:tc>
          <w:tcPr>
            <w:tcW w:w="543" w:type="pct"/>
            <w:vAlign w:val="center"/>
          </w:tcPr>
          <w:p w14:paraId="289AF35A">
            <w:pPr>
              <w:pStyle w:val="31"/>
              <w:bidi w:val="0"/>
              <w:jc w:val="center"/>
              <w:rPr>
                <w:rFonts w:hint="default"/>
                <w:lang w:val="en-US" w:eastAsia="zh-CN"/>
              </w:rPr>
            </w:pPr>
            <w:r>
              <w:rPr>
                <w:rFonts w:hint="eastAsia"/>
                <w:lang w:val="en-US" w:eastAsia="zh-CN"/>
              </w:rPr>
              <w:t>+25.79</w:t>
            </w:r>
          </w:p>
        </w:tc>
      </w:tr>
      <w:tr w14:paraId="6AC2E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6A7338A8">
            <w:pPr>
              <w:pStyle w:val="31"/>
              <w:bidi w:val="0"/>
              <w:jc w:val="center"/>
              <w:rPr>
                <w:rFonts w:hint="eastAsia"/>
                <w:lang w:val="en-US" w:eastAsia="zh-CN"/>
              </w:rPr>
            </w:pPr>
          </w:p>
        </w:tc>
        <w:tc>
          <w:tcPr>
            <w:tcW w:w="568" w:type="pct"/>
            <w:vMerge w:val="continue"/>
            <w:shd w:val="clear" w:color="auto" w:fill="auto"/>
            <w:vAlign w:val="center"/>
          </w:tcPr>
          <w:p w14:paraId="64BA134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69906EB8">
            <w:pPr>
              <w:pStyle w:val="31"/>
              <w:bidi w:val="0"/>
              <w:ind w:firstLine="0" w:firstLineChars="0"/>
              <w:jc w:val="center"/>
              <w:rPr>
                <w:u w:val="none"/>
              </w:rPr>
            </w:pPr>
            <w:r>
              <w:rPr>
                <w:u w:val="none"/>
              </w:rPr>
              <w:t>有色金属（含螺旋桨铜、铝碎料、铜碎料等）</w:t>
            </w:r>
          </w:p>
        </w:tc>
        <w:tc>
          <w:tcPr>
            <w:tcW w:w="603" w:type="pct"/>
            <w:shd w:val="clear" w:color="auto" w:fill="auto"/>
            <w:vAlign w:val="center"/>
          </w:tcPr>
          <w:p w14:paraId="18BC48FD">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65523454">
            <w:pPr>
              <w:pStyle w:val="31"/>
              <w:bidi w:val="0"/>
              <w:jc w:val="center"/>
              <w:rPr>
                <w:rFonts w:hint="default"/>
                <w:lang w:val="en-US" w:eastAsia="zh-CN"/>
              </w:rPr>
            </w:pPr>
            <w:r>
              <w:rPr>
                <w:rFonts w:hint="eastAsia"/>
                <w:lang w:val="en-US" w:eastAsia="zh-CN"/>
              </w:rPr>
              <w:t>0</w:t>
            </w:r>
          </w:p>
        </w:tc>
        <w:tc>
          <w:tcPr>
            <w:tcW w:w="603" w:type="pct"/>
            <w:vAlign w:val="center"/>
          </w:tcPr>
          <w:p w14:paraId="7951D7F4">
            <w:pPr>
              <w:pStyle w:val="31"/>
              <w:bidi w:val="0"/>
              <w:jc w:val="center"/>
              <w:rPr>
                <w:rFonts w:hint="default"/>
                <w:lang w:val="en-US" w:eastAsia="zh-CN"/>
              </w:rPr>
            </w:pPr>
            <w:r>
              <w:rPr>
                <w:rFonts w:hint="eastAsia"/>
                <w:lang w:val="en-US" w:eastAsia="zh-CN"/>
              </w:rPr>
              <w:t>42.99</w:t>
            </w:r>
          </w:p>
        </w:tc>
        <w:tc>
          <w:tcPr>
            <w:tcW w:w="703" w:type="pct"/>
            <w:vAlign w:val="center"/>
          </w:tcPr>
          <w:p w14:paraId="7EAF8E26">
            <w:pPr>
              <w:pStyle w:val="31"/>
              <w:bidi w:val="0"/>
              <w:jc w:val="center"/>
              <w:rPr>
                <w:rFonts w:hint="default"/>
                <w:lang w:val="en-US" w:eastAsia="zh-CN"/>
              </w:rPr>
            </w:pPr>
            <w:r>
              <w:rPr>
                <w:rFonts w:hint="eastAsia"/>
                <w:lang w:val="en-US" w:eastAsia="zh-CN"/>
              </w:rPr>
              <w:t>42.99</w:t>
            </w:r>
          </w:p>
        </w:tc>
        <w:tc>
          <w:tcPr>
            <w:tcW w:w="543" w:type="pct"/>
            <w:vAlign w:val="center"/>
          </w:tcPr>
          <w:p w14:paraId="53C564FC">
            <w:pPr>
              <w:pStyle w:val="31"/>
              <w:bidi w:val="0"/>
              <w:jc w:val="center"/>
              <w:rPr>
                <w:rFonts w:hint="default"/>
                <w:lang w:val="en-US" w:eastAsia="zh-CN"/>
              </w:rPr>
            </w:pPr>
            <w:r>
              <w:rPr>
                <w:rFonts w:hint="eastAsia"/>
                <w:lang w:val="en-US" w:eastAsia="zh-CN"/>
              </w:rPr>
              <w:t>+42.99</w:t>
            </w:r>
          </w:p>
        </w:tc>
      </w:tr>
      <w:tr w14:paraId="1E886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1A3CAA9">
            <w:pPr>
              <w:pStyle w:val="31"/>
              <w:bidi w:val="0"/>
              <w:jc w:val="center"/>
              <w:rPr>
                <w:rFonts w:hint="eastAsia"/>
                <w:lang w:val="en-US" w:eastAsia="zh-CN"/>
              </w:rPr>
            </w:pPr>
          </w:p>
        </w:tc>
        <w:tc>
          <w:tcPr>
            <w:tcW w:w="568" w:type="pct"/>
            <w:vMerge w:val="continue"/>
            <w:shd w:val="clear" w:color="auto" w:fill="auto"/>
            <w:vAlign w:val="center"/>
          </w:tcPr>
          <w:p w14:paraId="353163C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2F76D14D">
            <w:pPr>
              <w:pStyle w:val="31"/>
              <w:bidi w:val="0"/>
              <w:ind w:firstLine="0" w:firstLineChars="0"/>
              <w:jc w:val="center"/>
              <w:rPr>
                <w:u w:val="none"/>
              </w:rPr>
            </w:pPr>
            <w:r>
              <w:rPr>
                <w:u w:val="none"/>
              </w:rPr>
              <w:t>电线电缆</w:t>
            </w:r>
          </w:p>
        </w:tc>
        <w:tc>
          <w:tcPr>
            <w:tcW w:w="603" w:type="pct"/>
            <w:shd w:val="clear" w:color="auto" w:fill="auto"/>
            <w:vAlign w:val="center"/>
          </w:tcPr>
          <w:p w14:paraId="0697BC04">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37AA89BA">
            <w:pPr>
              <w:pStyle w:val="31"/>
              <w:bidi w:val="0"/>
              <w:jc w:val="center"/>
              <w:rPr>
                <w:rFonts w:hint="default"/>
                <w:lang w:val="en-US" w:eastAsia="zh-CN"/>
              </w:rPr>
            </w:pPr>
            <w:r>
              <w:rPr>
                <w:rFonts w:hint="eastAsia"/>
                <w:lang w:val="en-US" w:eastAsia="zh-CN"/>
              </w:rPr>
              <w:t>0</w:t>
            </w:r>
          </w:p>
        </w:tc>
        <w:tc>
          <w:tcPr>
            <w:tcW w:w="603" w:type="pct"/>
            <w:vAlign w:val="center"/>
          </w:tcPr>
          <w:p w14:paraId="2EEEA998">
            <w:pPr>
              <w:pStyle w:val="31"/>
              <w:bidi w:val="0"/>
              <w:jc w:val="center"/>
              <w:rPr>
                <w:rFonts w:hint="default"/>
                <w:lang w:val="en-US" w:eastAsia="zh-CN"/>
              </w:rPr>
            </w:pPr>
            <w:r>
              <w:rPr>
                <w:rFonts w:hint="eastAsia"/>
                <w:lang w:val="en-US" w:eastAsia="zh-CN"/>
              </w:rPr>
              <w:t>17.20</w:t>
            </w:r>
          </w:p>
        </w:tc>
        <w:tc>
          <w:tcPr>
            <w:tcW w:w="703" w:type="pct"/>
            <w:vAlign w:val="center"/>
          </w:tcPr>
          <w:p w14:paraId="220C1F80">
            <w:pPr>
              <w:pStyle w:val="31"/>
              <w:bidi w:val="0"/>
              <w:jc w:val="center"/>
              <w:rPr>
                <w:rFonts w:hint="default"/>
                <w:lang w:val="en-US" w:eastAsia="zh-CN"/>
              </w:rPr>
            </w:pPr>
            <w:r>
              <w:rPr>
                <w:rFonts w:hint="eastAsia"/>
                <w:lang w:val="en-US" w:eastAsia="zh-CN"/>
              </w:rPr>
              <w:t>17.20</w:t>
            </w:r>
          </w:p>
        </w:tc>
        <w:tc>
          <w:tcPr>
            <w:tcW w:w="543" w:type="pct"/>
            <w:vAlign w:val="center"/>
          </w:tcPr>
          <w:p w14:paraId="184895F5">
            <w:pPr>
              <w:pStyle w:val="31"/>
              <w:bidi w:val="0"/>
              <w:jc w:val="center"/>
              <w:rPr>
                <w:rFonts w:hint="default"/>
                <w:lang w:val="en-US" w:eastAsia="zh-CN"/>
              </w:rPr>
            </w:pPr>
            <w:r>
              <w:rPr>
                <w:rFonts w:hint="eastAsia"/>
                <w:lang w:val="en-US" w:eastAsia="zh-CN"/>
              </w:rPr>
              <w:t>+17.20</w:t>
            </w:r>
          </w:p>
        </w:tc>
      </w:tr>
      <w:tr w14:paraId="4A7F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45F5285">
            <w:pPr>
              <w:pStyle w:val="31"/>
              <w:bidi w:val="0"/>
              <w:jc w:val="center"/>
              <w:rPr>
                <w:rFonts w:hint="eastAsia"/>
                <w:lang w:val="en-US" w:eastAsia="zh-CN"/>
              </w:rPr>
            </w:pPr>
          </w:p>
        </w:tc>
        <w:tc>
          <w:tcPr>
            <w:tcW w:w="568" w:type="pct"/>
            <w:vMerge w:val="continue"/>
            <w:shd w:val="clear" w:color="auto" w:fill="auto"/>
            <w:vAlign w:val="center"/>
          </w:tcPr>
          <w:p w14:paraId="69E2A225">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0E6F095F">
            <w:pPr>
              <w:pStyle w:val="31"/>
              <w:bidi w:val="0"/>
              <w:ind w:firstLine="0" w:firstLineChars="0"/>
              <w:jc w:val="center"/>
              <w:rPr>
                <w:u w:val="none"/>
              </w:rPr>
            </w:pPr>
            <w:r>
              <w:rPr>
                <w:u w:val="none"/>
              </w:rPr>
              <w:t>机械设备及仪器仪表（起货机、绞缆机、起重机、机修设备、主机、发电机组、通讯导航仪器、水泵等）</w:t>
            </w:r>
          </w:p>
        </w:tc>
        <w:tc>
          <w:tcPr>
            <w:tcW w:w="603" w:type="pct"/>
            <w:shd w:val="clear" w:color="auto" w:fill="auto"/>
            <w:vAlign w:val="center"/>
          </w:tcPr>
          <w:p w14:paraId="7C8F7C29">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0EFC1EA0">
            <w:pPr>
              <w:pStyle w:val="31"/>
              <w:bidi w:val="0"/>
              <w:jc w:val="center"/>
              <w:rPr>
                <w:rFonts w:hint="default"/>
                <w:lang w:val="en-US" w:eastAsia="zh-CN"/>
              </w:rPr>
            </w:pPr>
            <w:r>
              <w:rPr>
                <w:rFonts w:hint="eastAsia"/>
                <w:lang w:val="en-US" w:eastAsia="zh-CN"/>
              </w:rPr>
              <w:t>0</w:t>
            </w:r>
          </w:p>
        </w:tc>
        <w:tc>
          <w:tcPr>
            <w:tcW w:w="603" w:type="pct"/>
            <w:vAlign w:val="center"/>
          </w:tcPr>
          <w:p w14:paraId="6CA50642">
            <w:pPr>
              <w:pStyle w:val="31"/>
              <w:bidi w:val="0"/>
              <w:jc w:val="center"/>
              <w:rPr>
                <w:rFonts w:hint="default"/>
                <w:lang w:val="en-US" w:eastAsia="zh-CN"/>
              </w:rPr>
            </w:pPr>
            <w:r>
              <w:rPr>
                <w:rFonts w:hint="eastAsia"/>
                <w:lang w:val="en-US" w:eastAsia="zh-CN"/>
              </w:rPr>
              <w:t>429.88</w:t>
            </w:r>
          </w:p>
        </w:tc>
        <w:tc>
          <w:tcPr>
            <w:tcW w:w="703" w:type="pct"/>
            <w:vAlign w:val="center"/>
          </w:tcPr>
          <w:p w14:paraId="0A416E54">
            <w:pPr>
              <w:pStyle w:val="31"/>
              <w:bidi w:val="0"/>
              <w:jc w:val="center"/>
              <w:rPr>
                <w:rFonts w:hint="default"/>
                <w:lang w:val="en-US" w:eastAsia="zh-CN"/>
              </w:rPr>
            </w:pPr>
            <w:r>
              <w:rPr>
                <w:rFonts w:hint="eastAsia"/>
                <w:lang w:val="en-US" w:eastAsia="zh-CN"/>
              </w:rPr>
              <w:t>429.88</w:t>
            </w:r>
          </w:p>
        </w:tc>
        <w:tc>
          <w:tcPr>
            <w:tcW w:w="543" w:type="pct"/>
            <w:vAlign w:val="center"/>
          </w:tcPr>
          <w:p w14:paraId="39023ED4">
            <w:pPr>
              <w:pStyle w:val="31"/>
              <w:bidi w:val="0"/>
              <w:jc w:val="center"/>
              <w:rPr>
                <w:rFonts w:hint="default"/>
                <w:lang w:val="en-US" w:eastAsia="zh-CN"/>
              </w:rPr>
            </w:pPr>
            <w:r>
              <w:rPr>
                <w:rFonts w:hint="eastAsia"/>
                <w:lang w:val="en-US" w:eastAsia="zh-CN"/>
              </w:rPr>
              <w:t>+429.88</w:t>
            </w:r>
          </w:p>
        </w:tc>
      </w:tr>
      <w:tr w14:paraId="4542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E3CAFBA">
            <w:pPr>
              <w:pStyle w:val="31"/>
              <w:bidi w:val="0"/>
              <w:jc w:val="center"/>
              <w:rPr>
                <w:rFonts w:hint="eastAsia"/>
                <w:lang w:val="en-US" w:eastAsia="zh-CN"/>
              </w:rPr>
            </w:pPr>
          </w:p>
        </w:tc>
        <w:tc>
          <w:tcPr>
            <w:tcW w:w="568" w:type="pct"/>
            <w:vMerge w:val="continue"/>
            <w:shd w:val="clear" w:color="auto" w:fill="auto"/>
            <w:vAlign w:val="center"/>
          </w:tcPr>
          <w:p w14:paraId="12FF41B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06BBC1EE">
            <w:pPr>
              <w:pStyle w:val="31"/>
              <w:bidi w:val="0"/>
              <w:ind w:firstLine="0" w:firstLineChars="0"/>
              <w:jc w:val="center"/>
              <w:rPr>
                <w:u w:val="none"/>
              </w:rPr>
            </w:pPr>
            <w:r>
              <w:rPr>
                <w:rFonts w:hint="eastAsia"/>
                <w:lang w:val="en-US" w:eastAsia="zh-CN"/>
              </w:rPr>
              <w:t>不可回收一般固废</w:t>
            </w:r>
          </w:p>
        </w:tc>
        <w:tc>
          <w:tcPr>
            <w:tcW w:w="603" w:type="pct"/>
            <w:shd w:val="clear" w:color="auto" w:fill="auto"/>
            <w:vAlign w:val="center"/>
          </w:tcPr>
          <w:p w14:paraId="38DD9807">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56C975D1">
            <w:pPr>
              <w:pStyle w:val="31"/>
              <w:bidi w:val="0"/>
              <w:jc w:val="center"/>
              <w:rPr>
                <w:rFonts w:hint="default"/>
                <w:lang w:val="en-US" w:eastAsia="zh-CN"/>
              </w:rPr>
            </w:pPr>
            <w:r>
              <w:rPr>
                <w:rFonts w:hint="eastAsia"/>
                <w:lang w:val="en-US" w:eastAsia="zh-CN"/>
              </w:rPr>
              <w:t>0</w:t>
            </w:r>
          </w:p>
        </w:tc>
        <w:tc>
          <w:tcPr>
            <w:tcW w:w="603" w:type="pct"/>
            <w:vAlign w:val="center"/>
          </w:tcPr>
          <w:p w14:paraId="4F50A9C8">
            <w:pPr>
              <w:pStyle w:val="31"/>
              <w:bidi w:val="0"/>
              <w:jc w:val="center"/>
              <w:rPr>
                <w:rFonts w:hint="default"/>
                <w:lang w:val="en-US" w:eastAsia="zh-CN"/>
              </w:rPr>
            </w:pPr>
            <w:r>
              <w:rPr>
                <w:rFonts w:hint="eastAsia"/>
                <w:lang w:val="en-US" w:eastAsia="zh-CN"/>
              </w:rPr>
              <w:t>0.34</w:t>
            </w:r>
          </w:p>
        </w:tc>
        <w:tc>
          <w:tcPr>
            <w:tcW w:w="703" w:type="pct"/>
            <w:vAlign w:val="center"/>
          </w:tcPr>
          <w:p w14:paraId="28055794">
            <w:pPr>
              <w:pStyle w:val="31"/>
              <w:bidi w:val="0"/>
              <w:jc w:val="center"/>
              <w:rPr>
                <w:rFonts w:hint="default"/>
                <w:lang w:val="en-US" w:eastAsia="zh-CN"/>
              </w:rPr>
            </w:pPr>
            <w:r>
              <w:rPr>
                <w:rFonts w:hint="eastAsia"/>
                <w:lang w:val="en-US" w:eastAsia="zh-CN"/>
              </w:rPr>
              <w:t>0.34</w:t>
            </w:r>
          </w:p>
        </w:tc>
        <w:tc>
          <w:tcPr>
            <w:tcW w:w="543" w:type="pct"/>
            <w:vAlign w:val="center"/>
          </w:tcPr>
          <w:p w14:paraId="6345FD85">
            <w:pPr>
              <w:pStyle w:val="31"/>
              <w:bidi w:val="0"/>
              <w:jc w:val="center"/>
              <w:rPr>
                <w:rFonts w:hint="default"/>
                <w:lang w:val="en-US" w:eastAsia="zh-CN"/>
              </w:rPr>
            </w:pPr>
            <w:r>
              <w:rPr>
                <w:rFonts w:hint="eastAsia"/>
                <w:lang w:val="en-US" w:eastAsia="zh-CN"/>
              </w:rPr>
              <w:t>+0.34</w:t>
            </w:r>
          </w:p>
        </w:tc>
      </w:tr>
      <w:tr w14:paraId="171E5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614131E">
            <w:pPr>
              <w:pStyle w:val="31"/>
              <w:bidi w:val="0"/>
              <w:jc w:val="center"/>
              <w:rPr>
                <w:rFonts w:hint="eastAsia"/>
                <w:lang w:val="en-US" w:eastAsia="zh-CN"/>
              </w:rPr>
            </w:pPr>
          </w:p>
        </w:tc>
        <w:tc>
          <w:tcPr>
            <w:tcW w:w="568" w:type="pct"/>
            <w:vMerge w:val="restart"/>
            <w:shd w:val="clear" w:color="auto" w:fill="auto"/>
            <w:vAlign w:val="center"/>
          </w:tcPr>
          <w:p w14:paraId="3C72F0EC">
            <w:pPr>
              <w:pStyle w:val="31"/>
              <w:bidi w:val="0"/>
              <w:ind w:firstLine="0" w:firstLineChars="0"/>
              <w:jc w:val="center"/>
              <w:rPr>
                <w:rFonts w:hint="eastAsia"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危险</w:t>
            </w:r>
          </w:p>
          <w:p w14:paraId="64F9553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废物</w:t>
            </w:r>
          </w:p>
        </w:tc>
        <w:tc>
          <w:tcPr>
            <w:tcW w:w="975" w:type="pct"/>
            <w:shd w:val="clear" w:color="auto" w:fill="auto"/>
            <w:vAlign w:val="center"/>
          </w:tcPr>
          <w:p w14:paraId="290EE79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废漆渣及废漆渣回收毯</w:t>
            </w:r>
          </w:p>
        </w:tc>
        <w:tc>
          <w:tcPr>
            <w:tcW w:w="603" w:type="pct"/>
            <w:shd w:val="clear" w:color="auto" w:fill="auto"/>
            <w:vAlign w:val="center"/>
          </w:tcPr>
          <w:p w14:paraId="51FEE39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0.64</w:t>
            </w:r>
          </w:p>
        </w:tc>
        <w:tc>
          <w:tcPr>
            <w:tcW w:w="839" w:type="pct"/>
            <w:vAlign w:val="center"/>
          </w:tcPr>
          <w:p w14:paraId="43A18CA9">
            <w:pPr>
              <w:pStyle w:val="31"/>
              <w:bidi w:val="0"/>
              <w:jc w:val="center"/>
              <w:rPr>
                <w:rFonts w:hint="default"/>
                <w:lang w:val="en-US" w:eastAsia="zh-CN"/>
              </w:rPr>
            </w:pPr>
            <w:r>
              <w:rPr>
                <w:rFonts w:hint="eastAsia"/>
                <w:lang w:val="en-US" w:eastAsia="zh-CN"/>
              </w:rPr>
              <w:t>0</w:t>
            </w:r>
          </w:p>
        </w:tc>
        <w:tc>
          <w:tcPr>
            <w:tcW w:w="603" w:type="pct"/>
            <w:vAlign w:val="center"/>
          </w:tcPr>
          <w:p w14:paraId="496AC658">
            <w:pPr>
              <w:pStyle w:val="31"/>
              <w:bidi w:val="0"/>
              <w:jc w:val="center"/>
              <w:rPr>
                <w:rFonts w:hint="default"/>
                <w:lang w:val="en-US" w:eastAsia="zh-CN"/>
              </w:rPr>
            </w:pPr>
            <w:r>
              <w:rPr>
                <w:rFonts w:hint="eastAsia"/>
                <w:lang w:val="en-US" w:eastAsia="zh-CN"/>
              </w:rPr>
              <w:t>0.094</w:t>
            </w:r>
          </w:p>
        </w:tc>
        <w:tc>
          <w:tcPr>
            <w:tcW w:w="703" w:type="pct"/>
            <w:vAlign w:val="center"/>
          </w:tcPr>
          <w:p w14:paraId="0B7F7EC9">
            <w:pPr>
              <w:pStyle w:val="31"/>
              <w:bidi w:val="0"/>
              <w:jc w:val="center"/>
              <w:rPr>
                <w:rFonts w:hint="default"/>
                <w:lang w:val="en-US" w:eastAsia="zh-CN"/>
              </w:rPr>
            </w:pPr>
            <w:r>
              <w:rPr>
                <w:rFonts w:hint="eastAsia"/>
                <w:lang w:val="en-US" w:eastAsia="zh-CN"/>
              </w:rPr>
              <w:t>0.734</w:t>
            </w:r>
          </w:p>
        </w:tc>
        <w:tc>
          <w:tcPr>
            <w:tcW w:w="543" w:type="pct"/>
            <w:vAlign w:val="center"/>
          </w:tcPr>
          <w:p w14:paraId="0AE33BB7">
            <w:pPr>
              <w:pStyle w:val="31"/>
              <w:bidi w:val="0"/>
              <w:jc w:val="center"/>
              <w:rPr>
                <w:rFonts w:hint="default"/>
                <w:lang w:val="en-US" w:eastAsia="zh-CN"/>
              </w:rPr>
            </w:pPr>
            <w:r>
              <w:rPr>
                <w:rFonts w:hint="eastAsia"/>
                <w:lang w:val="en-US" w:eastAsia="zh-CN"/>
              </w:rPr>
              <w:t>+0.094</w:t>
            </w:r>
          </w:p>
        </w:tc>
      </w:tr>
      <w:tr w14:paraId="2EC24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0EF79EB">
            <w:pPr>
              <w:pStyle w:val="31"/>
              <w:bidi w:val="0"/>
              <w:jc w:val="center"/>
              <w:rPr>
                <w:rFonts w:hint="eastAsia"/>
                <w:lang w:val="en-US" w:eastAsia="zh-CN"/>
              </w:rPr>
            </w:pPr>
          </w:p>
        </w:tc>
        <w:tc>
          <w:tcPr>
            <w:tcW w:w="568" w:type="pct"/>
            <w:vMerge w:val="continue"/>
            <w:shd w:val="clear" w:color="auto" w:fill="auto"/>
            <w:vAlign w:val="center"/>
          </w:tcPr>
          <w:p w14:paraId="63ADDEB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76A4B22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废油漆桶</w:t>
            </w:r>
          </w:p>
        </w:tc>
        <w:tc>
          <w:tcPr>
            <w:tcW w:w="603" w:type="pct"/>
            <w:shd w:val="clear" w:color="auto" w:fill="auto"/>
            <w:vAlign w:val="center"/>
          </w:tcPr>
          <w:p w14:paraId="7393A4D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0.2</w:t>
            </w:r>
          </w:p>
        </w:tc>
        <w:tc>
          <w:tcPr>
            <w:tcW w:w="839" w:type="pct"/>
            <w:vAlign w:val="center"/>
          </w:tcPr>
          <w:p w14:paraId="3B511BAE">
            <w:pPr>
              <w:pStyle w:val="31"/>
              <w:bidi w:val="0"/>
              <w:jc w:val="center"/>
              <w:rPr>
                <w:rFonts w:hint="default"/>
                <w:lang w:val="en-US" w:eastAsia="zh-CN"/>
              </w:rPr>
            </w:pPr>
            <w:r>
              <w:rPr>
                <w:rFonts w:hint="eastAsia"/>
                <w:lang w:val="en-US" w:eastAsia="zh-CN"/>
              </w:rPr>
              <w:t>0</w:t>
            </w:r>
          </w:p>
        </w:tc>
        <w:tc>
          <w:tcPr>
            <w:tcW w:w="603" w:type="pct"/>
            <w:vAlign w:val="center"/>
          </w:tcPr>
          <w:p w14:paraId="722FAB55">
            <w:pPr>
              <w:pStyle w:val="31"/>
              <w:bidi w:val="0"/>
              <w:jc w:val="center"/>
              <w:rPr>
                <w:rFonts w:hint="default"/>
                <w:lang w:val="en-US" w:eastAsia="zh-CN"/>
              </w:rPr>
            </w:pPr>
            <w:r>
              <w:rPr>
                <w:rFonts w:hint="eastAsia"/>
                <w:lang w:val="en-US" w:eastAsia="zh-CN"/>
              </w:rPr>
              <w:t>0</w:t>
            </w:r>
          </w:p>
        </w:tc>
        <w:tc>
          <w:tcPr>
            <w:tcW w:w="703" w:type="pct"/>
            <w:vAlign w:val="center"/>
          </w:tcPr>
          <w:p w14:paraId="37779C8D">
            <w:pPr>
              <w:pStyle w:val="31"/>
              <w:bidi w:val="0"/>
              <w:jc w:val="center"/>
              <w:rPr>
                <w:rFonts w:hint="default"/>
                <w:lang w:val="en-US" w:eastAsia="zh-CN"/>
              </w:rPr>
            </w:pPr>
            <w:r>
              <w:rPr>
                <w:rFonts w:hint="eastAsia"/>
                <w:lang w:val="en-US" w:eastAsia="zh-CN"/>
              </w:rPr>
              <w:t>0.2</w:t>
            </w:r>
          </w:p>
        </w:tc>
        <w:tc>
          <w:tcPr>
            <w:tcW w:w="543" w:type="pct"/>
            <w:vAlign w:val="center"/>
          </w:tcPr>
          <w:p w14:paraId="351EB532">
            <w:pPr>
              <w:pStyle w:val="31"/>
              <w:bidi w:val="0"/>
              <w:jc w:val="center"/>
              <w:rPr>
                <w:rFonts w:hint="default"/>
                <w:lang w:val="en-US" w:eastAsia="zh-CN"/>
              </w:rPr>
            </w:pPr>
            <w:r>
              <w:rPr>
                <w:rFonts w:hint="eastAsia"/>
                <w:lang w:val="en-US" w:eastAsia="zh-CN"/>
              </w:rPr>
              <w:t>0</w:t>
            </w:r>
          </w:p>
        </w:tc>
      </w:tr>
      <w:tr w14:paraId="0D0F3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296FF92">
            <w:pPr>
              <w:pStyle w:val="31"/>
              <w:bidi w:val="0"/>
              <w:jc w:val="center"/>
              <w:rPr>
                <w:rFonts w:hint="eastAsia"/>
                <w:lang w:val="en-US" w:eastAsia="zh-CN"/>
              </w:rPr>
            </w:pPr>
          </w:p>
        </w:tc>
        <w:tc>
          <w:tcPr>
            <w:tcW w:w="568" w:type="pct"/>
            <w:vMerge w:val="continue"/>
            <w:shd w:val="clear" w:color="auto" w:fill="auto"/>
            <w:vAlign w:val="center"/>
          </w:tcPr>
          <w:p w14:paraId="0C92FBC4">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2986659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含油抹布及手套</w:t>
            </w:r>
          </w:p>
        </w:tc>
        <w:tc>
          <w:tcPr>
            <w:tcW w:w="603" w:type="pct"/>
            <w:shd w:val="clear" w:color="auto" w:fill="auto"/>
            <w:vAlign w:val="center"/>
          </w:tcPr>
          <w:p w14:paraId="3584890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w:t>
            </w:r>
          </w:p>
        </w:tc>
        <w:tc>
          <w:tcPr>
            <w:tcW w:w="839" w:type="pct"/>
            <w:vAlign w:val="center"/>
          </w:tcPr>
          <w:p w14:paraId="477C210C">
            <w:pPr>
              <w:pStyle w:val="31"/>
              <w:bidi w:val="0"/>
              <w:jc w:val="center"/>
              <w:rPr>
                <w:rFonts w:hint="default"/>
                <w:lang w:val="en-US" w:eastAsia="zh-CN"/>
              </w:rPr>
            </w:pPr>
            <w:r>
              <w:rPr>
                <w:rFonts w:hint="eastAsia"/>
                <w:lang w:val="en-US" w:eastAsia="zh-CN"/>
              </w:rPr>
              <w:t>0</w:t>
            </w:r>
          </w:p>
        </w:tc>
        <w:tc>
          <w:tcPr>
            <w:tcW w:w="603" w:type="pct"/>
            <w:vAlign w:val="center"/>
          </w:tcPr>
          <w:p w14:paraId="5C1CB66D">
            <w:pPr>
              <w:pStyle w:val="31"/>
              <w:bidi w:val="0"/>
              <w:jc w:val="center"/>
              <w:rPr>
                <w:rFonts w:hint="default"/>
                <w:lang w:val="en-US" w:eastAsia="zh-CN"/>
              </w:rPr>
            </w:pPr>
            <w:r>
              <w:rPr>
                <w:rFonts w:hint="eastAsia"/>
                <w:lang w:val="en-US" w:eastAsia="zh-CN"/>
              </w:rPr>
              <w:t>1</w:t>
            </w:r>
          </w:p>
        </w:tc>
        <w:tc>
          <w:tcPr>
            <w:tcW w:w="703" w:type="pct"/>
            <w:vAlign w:val="center"/>
          </w:tcPr>
          <w:p w14:paraId="2C9CE3A8">
            <w:pPr>
              <w:pStyle w:val="31"/>
              <w:bidi w:val="0"/>
              <w:jc w:val="center"/>
              <w:rPr>
                <w:rFonts w:hint="default"/>
                <w:lang w:val="en-US" w:eastAsia="zh-CN"/>
              </w:rPr>
            </w:pPr>
            <w:r>
              <w:rPr>
                <w:rFonts w:hint="eastAsia"/>
                <w:lang w:val="en-US" w:eastAsia="zh-CN"/>
              </w:rPr>
              <w:t>1.1</w:t>
            </w:r>
          </w:p>
        </w:tc>
        <w:tc>
          <w:tcPr>
            <w:tcW w:w="543" w:type="pct"/>
            <w:vAlign w:val="center"/>
          </w:tcPr>
          <w:p w14:paraId="34DB73DB">
            <w:pPr>
              <w:pStyle w:val="31"/>
              <w:bidi w:val="0"/>
              <w:jc w:val="center"/>
              <w:rPr>
                <w:rFonts w:hint="default"/>
                <w:lang w:val="en-US" w:eastAsia="zh-CN"/>
              </w:rPr>
            </w:pPr>
            <w:r>
              <w:rPr>
                <w:rFonts w:hint="eastAsia"/>
                <w:lang w:val="en-US" w:eastAsia="zh-CN"/>
              </w:rPr>
              <w:t>+1</w:t>
            </w:r>
          </w:p>
        </w:tc>
      </w:tr>
      <w:tr w14:paraId="7C81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413A51A2">
            <w:pPr>
              <w:pStyle w:val="31"/>
              <w:bidi w:val="0"/>
              <w:jc w:val="center"/>
              <w:rPr>
                <w:rFonts w:hint="eastAsia"/>
                <w:lang w:val="en-US" w:eastAsia="zh-CN"/>
              </w:rPr>
            </w:pPr>
          </w:p>
        </w:tc>
        <w:tc>
          <w:tcPr>
            <w:tcW w:w="568" w:type="pct"/>
            <w:vMerge w:val="continue"/>
            <w:shd w:val="clear" w:color="auto" w:fill="auto"/>
            <w:vAlign w:val="center"/>
          </w:tcPr>
          <w:p w14:paraId="17CD5B5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0A4888B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603" w:type="pct"/>
            <w:shd w:val="clear" w:color="auto" w:fill="auto"/>
            <w:vAlign w:val="center"/>
          </w:tcPr>
          <w:p w14:paraId="479AA2D6">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37A0A7F2">
            <w:pPr>
              <w:pStyle w:val="31"/>
              <w:bidi w:val="0"/>
              <w:jc w:val="center"/>
              <w:rPr>
                <w:rFonts w:hint="default"/>
                <w:lang w:val="en-US" w:eastAsia="zh-CN"/>
              </w:rPr>
            </w:pPr>
            <w:r>
              <w:rPr>
                <w:rFonts w:hint="eastAsia"/>
                <w:lang w:val="en-US" w:eastAsia="zh-CN"/>
              </w:rPr>
              <w:t>0</w:t>
            </w:r>
          </w:p>
        </w:tc>
        <w:tc>
          <w:tcPr>
            <w:tcW w:w="603" w:type="pct"/>
            <w:vAlign w:val="center"/>
          </w:tcPr>
          <w:p w14:paraId="7C5CE4E0">
            <w:pPr>
              <w:pStyle w:val="31"/>
              <w:bidi w:val="0"/>
              <w:jc w:val="center"/>
              <w:rPr>
                <w:rFonts w:hint="default"/>
                <w:lang w:val="en-US" w:eastAsia="zh-CN"/>
              </w:rPr>
            </w:pPr>
            <w:r>
              <w:rPr>
                <w:rFonts w:hint="eastAsia"/>
                <w:lang w:val="en-US" w:eastAsia="zh-CN"/>
              </w:rPr>
              <w:t>0.195</w:t>
            </w:r>
          </w:p>
        </w:tc>
        <w:tc>
          <w:tcPr>
            <w:tcW w:w="703" w:type="pct"/>
            <w:shd w:val="clear" w:color="auto" w:fill="auto"/>
            <w:vAlign w:val="center"/>
          </w:tcPr>
          <w:p w14:paraId="499A4E7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c>
          <w:tcPr>
            <w:tcW w:w="543" w:type="pct"/>
            <w:shd w:val="clear" w:color="auto" w:fill="auto"/>
            <w:vAlign w:val="center"/>
          </w:tcPr>
          <w:p w14:paraId="0DDEF53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r>
      <w:tr w14:paraId="78584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6B51C7B">
            <w:pPr>
              <w:pStyle w:val="31"/>
              <w:bidi w:val="0"/>
              <w:jc w:val="center"/>
              <w:rPr>
                <w:rFonts w:hint="eastAsia"/>
                <w:lang w:val="en-US" w:eastAsia="zh-CN"/>
              </w:rPr>
            </w:pPr>
          </w:p>
        </w:tc>
        <w:tc>
          <w:tcPr>
            <w:tcW w:w="568" w:type="pct"/>
            <w:vMerge w:val="continue"/>
            <w:shd w:val="clear" w:color="auto" w:fill="auto"/>
            <w:vAlign w:val="center"/>
          </w:tcPr>
          <w:p w14:paraId="7C952B3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33D3BDE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603" w:type="pct"/>
            <w:shd w:val="clear" w:color="auto" w:fill="auto"/>
            <w:vAlign w:val="center"/>
          </w:tcPr>
          <w:p w14:paraId="4983492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839" w:type="pct"/>
            <w:vAlign w:val="center"/>
          </w:tcPr>
          <w:p w14:paraId="0A28D7F4">
            <w:pPr>
              <w:pStyle w:val="31"/>
              <w:bidi w:val="0"/>
              <w:jc w:val="center"/>
              <w:rPr>
                <w:rFonts w:hint="default"/>
                <w:lang w:val="en-US" w:eastAsia="zh-CN"/>
              </w:rPr>
            </w:pPr>
            <w:r>
              <w:rPr>
                <w:rFonts w:hint="eastAsia"/>
                <w:lang w:val="en-US" w:eastAsia="zh-CN"/>
              </w:rPr>
              <w:t>0</w:t>
            </w:r>
          </w:p>
        </w:tc>
        <w:tc>
          <w:tcPr>
            <w:tcW w:w="603" w:type="pct"/>
            <w:vAlign w:val="center"/>
          </w:tcPr>
          <w:p w14:paraId="002C4102">
            <w:pPr>
              <w:pStyle w:val="31"/>
              <w:bidi w:val="0"/>
              <w:jc w:val="center"/>
              <w:rPr>
                <w:rFonts w:hint="default"/>
                <w:lang w:val="en-US" w:eastAsia="zh-CN"/>
              </w:rPr>
            </w:pPr>
            <w:r>
              <w:rPr>
                <w:rFonts w:hint="eastAsia"/>
                <w:lang w:val="en-US" w:eastAsia="zh-CN"/>
              </w:rPr>
              <w:t>0.142</w:t>
            </w:r>
          </w:p>
        </w:tc>
        <w:tc>
          <w:tcPr>
            <w:tcW w:w="703" w:type="pct"/>
            <w:shd w:val="clear" w:color="auto" w:fill="auto"/>
            <w:vAlign w:val="center"/>
          </w:tcPr>
          <w:p w14:paraId="69B1FFE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c>
          <w:tcPr>
            <w:tcW w:w="543" w:type="pct"/>
            <w:shd w:val="clear" w:color="auto" w:fill="auto"/>
            <w:vAlign w:val="center"/>
          </w:tcPr>
          <w:p w14:paraId="4EAFAFC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r>
      <w:tr w14:paraId="66C36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69A60EA2">
            <w:pPr>
              <w:pStyle w:val="31"/>
              <w:bidi w:val="0"/>
              <w:jc w:val="center"/>
              <w:rPr>
                <w:rFonts w:hint="eastAsia"/>
                <w:lang w:val="en-US" w:eastAsia="zh-CN"/>
              </w:rPr>
            </w:pPr>
          </w:p>
        </w:tc>
        <w:tc>
          <w:tcPr>
            <w:tcW w:w="568" w:type="pct"/>
            <w:vMerge w:val="continue"/>
            <w:vAlign w:val="center"/>
          </w:tcPr>
          <w:p w14:paraId="1ED226E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6CD523B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0" w:type="auto"/>
            <w:vAlign w:val="center"/>
          </w:tcPr>
          <w:p w14:paraId="29C84E9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63C209B5">
            <w:pPr>
              <w:pStyle w:val="31"/>
              <w:bidi w:val="0"/>
              <w:jc w:val="center"/>
              <w:rPr>
                <w:rFonts w:hint="default"/>
                <w:lang w:val="en-US" w:eastAsia="zh-CN"/>
              </w:rPr>
            </w:pPr>
            <w:r>
              <w:rPr>
                <w:rFonts w:hint="eastAsia"/>
                <w:lang w:val="en-US" w:eastAsia="zh-CN"/>
              </w:rPr>
              <w:t>0</w:t>
            </w:r>
          </w:p>
        </w:tc>
        <w:tc>
          <w:tcPr>
            <w:tcW w:w="0" w:type="auto"/>
            <w:vAlign w:val="center"/>
          </w:tcPr>
          <w:p w14:paraId="48C96075">
            <w:pPr>
              <w:pStyle w:val="31"/>
              <w:bidi w:val="0"/>
              <w:jc w:val="center"/>
              <w:rPr>
                <w:rFonts w:hint="default"/>
                <w:lang w:val="en-US" w:eastAsia="zh-CN"/>
              </w:rPr>
            </w:pPr>
            <w:r>
              <w:rPr>
                <w:rFonts w:hint="eastAsia"/>
                <w:lang w:val="en-US" w:eastAsia="zh-CN"/>
              </w:rPr>
              <w:t>0.106</w:t>
            </w:r>
          </w:p>
        </w:tc>
        <w:tc>
          <w:tcPr>
            <w:tcW w:w="0" w:type="auto"/>
            <w:shd w:val="clear" w:color="auto" w:fill="auto"/>
            <w:vAlign w:val="center"/>
          </w:tcPr>
          <w:p w14:paraId="3F5E140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c>
          <w:tcPr>
            <w:tcW w:w="0" w:type="auto"/>
            <w:shd w:val="clear" w:color="auto" w:fill="auto"/>
            <w:vAlign w:val="center"/>
          </w:tcPr>
          <w:p w14:paraId="61C370E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r>
      <w:tr w14:paraId="06717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3BF00AC">
            <w:pPr>
              <w:pStyle w:val="31"/>
              <w:bidi w:val="0"/>
              <w:jc w:val="center"/>
              <w:rPr>
                <w:rFonts w:hint="eastAsia"/>
                <w:lang w:val="en-US" w:eastAsia="zh-CN"/>
              </w:rPr>
            </w:pPr>
          </w:p>
        </w:tc>
        <w:tc>
          <w:tcPr>
            <w:tcW w:w="568" w:type="pct"/>
            <w:vMerge w:val="continue"/>
            <w:vAlign w:val="center"/>
          </w:tcPr>
          <w:p w14:paraId="5DB921A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2F68C4E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0" w:type="auto"/>
            <w:vAlign w:val="center"/>
          </w:tcPr>
          <w:p w14:paraId="2C3C1AF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635BEB36">
            <w:pPr>
              <w:pStyle w:val="31"/>
              <w:bidi w:val="0"/>
              <w:jc w:val="center"/>
              <w:rPr>
                <w:rFonts w:hint="default"/>
                <w:lang w:val="en-US" w:eastAsia="zh-CN"/>
              </w:rPr>
            </w:pPr>
            <w:r>
              <w:rPr>
                <w:rFonts w:hint="eastAsia"/>
                <w:lang w:val="en-US" w:eastAsia="zh-CN"/>
              </w:rPr>
              <w:t>0</w:t>
            </w:r>
          </w:p>
        </w:tc>
        <w:tc>
          <w:tcPr>
            <w:tcW w:w="0" w:type="auto"/>
            <w:vAlign w:val="center"/>
          </w:tcPr>
          <w:p w14:paraId="71673FDF">
            <w:pPr>
              <w:pStyle w:val="31"/>
              <w:bidi w:val="0"/>
              <w:jc w:val="center"/>
              <w:rPr>
                <w:rFonts w:hint="default"/>
                <w:lang w:val="en-US" w:eastAsia="zh-CN"/>
              </w:rPr>
            </w:pPr>
            <w:r>
              <w:rPr>
                <w:rFonts w:hint="eastAsia"/>
                <w:lang w:val="en-US" w:eastAsia="zh-CN"/>
              </w:rPr>
              <w:t>0.038</w:t>
            </w:r>
          </w:p>
        </w:tc>
        <w:tc>
          <w:tcPr>
            <w:tcW w:w="0" w:type="auto"/>
            <w:shd w:val="clear" w:color="auto" w:fill="auto"/>
            <w:vAlign w:val="center"/>
          </w:tcPr>
          <w:p w14:paraId="5C1DDAD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c>
          <w:tcPr>
            <w:tcW w:w="0" w:type="auto"/>
            <w:shd w:val="clear" w:color="auto" w:fill="auto"/>
            <w:vAlign w:val="center"/>
          </w:tcPr>
          <w:p w14:paraId="67B0FFA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r>
      <w:tr w14:paraId="1164F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DC81D81">
            <w:pPr>
              <w:pStyle w:val="31"/>
              <w:bidi w:val="0"/>
              <w:jc w:val="center"/>
              <w:rPr>
                <w:rFonts w:hint="eastAsia"/>
                <w:lang w:val="en-US" w:eastAsia="zh-CN"/>
              </w:rPr>
            </w:pPr>
          </w:p>
        </w:tc>
        <w:tc>
          <w:tcPr>
            <w:tcW w:w="568" w:type="pct"/>
            <w:vMerge w:val="continue"/>
            <w:vAlign w:val="center"/>
          </w:tcPr>
          <w:p w14:paraId="0D527CF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05C852E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0" w:type="auto"/>
            <w:vAlign w:val="center"/>
          </w:tcPr>
          <w:p w14:paraId="50550B1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6F138113">
            <w:pPr>
              <w:pStyle w:val="31"/>
              <w:bidi w:val="0"/>
              <w:jc w:val="center"/>
              <w:rPr>
                <w:rFonts w:hint="default"/>
                <w:lang w:val="en-US" w:eastAsia="zh-CN"/>
              </w:rPr>
            </w:pPr>
            <w:r>
              <w:rPr>
                <w:rFonts w:hint="eastAsia"/>
                <w:lang w:val="en-US" w:eastAsia="zh-CN"/>
              </w:rPr>
              <w:t>0</w:t>
            </w:r>
          </w:p>
        </w:tc>
        <w:tc>
          <w:tcPr>
            <w:tcW w:w="0" w:type="auto"/>
            <w:vAlign w:val="center"/>
          </w:tcPr>
          <w:p w14:paraId="3AC7AD01">
            <w:pPr>
              <w:pStyle w:val="31"/>
              <w:bidi w:val="0"/>
              <w:jc w:val="center"/>
              <w:rPr>
                <w:rFonts w:hint="default"/>
                <w:lang w:val="en-US" w:eastAsia="zh-CN"/>
              </w:rPr>
            </w:pPr>
            <w:r>
              <w:rPr>
                <w:rFonts w:hint="eastAsia"/>
                <w:lang w:val="en-US" w:eastAsia="zh-CN"/>
              </w:rPr>
              <w:t>0.006</w:t>
            </w:r>
          </w:p>
        </w:tc>
        <w:tc>
          <w:tcPr>
            <w:tcW w:w="0" w:type="auto"/>
            <w:shd w:val="clear" w:color="auto" w:fill="auto"/>
            <w:vAlign w:val="center"/>
          </w:tcPr>
          <w:p w14:paraId="35A5266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0" w:type="auto"/>
            <w:shd w:val="clear" w:color="auto" w:fill="auto"/>
            <w:vAlign w:val="center"/>
          </w:tcPr>
          <w:p w14:paraId="18E00AE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r>
      <w:tr w14:paraId="6CEB2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F471CA7">
            <w:pPr>
              <w:pStyle w:val="31"/>
              <w:bidi w:val="0"/>
              <w:jc w:val="center"/>
              <w:rPr>
                <w:rFonts w:hint="eastAsia"/>
                <w:lang w:val="en-US" w:eastAsia="zh-CN"/>
              </w:rPr>
            </w:pPr>
          </w:p>
        </w:tc>
        <w:tc>
          <w:tcPr>
            <w:tcW w:w="568" w:type="pct"/>
            <w:vMerge w:val="continue"/>
            <w:vAlign w:val="center"/>
          </w:tcPr>
          <w:p w14:paraId="42666F7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5156C70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0" w:type="auto"/>
            <w:vAlign w:val="center"/>
          </w:tcPr>
          <w:p w14:paraId="7D153E2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7A092B44">
            <w:pPr>
              <w:pStyle w:val="31"/>
              <w:bidi w:val="0"/>
              <w:jc w:val="center"/>
              <w:rPr>
                <w:rFonts w:hint="default"/>
                <w:lang w:val="en-US" w:eastAsia="zh-CN"/>
              </w:rPr>
            </w:pPr>
            <w:r>
              <w:rPr>
                <w:rFonts w:hint="eastAsia"/>
                <w:lang w:val="en-US" w:eastAsia="zh-CN"/>
              </w:rPr>
              <w:t>0</w:t>
            </w:r>
          </w:p>
        </w:tc>
        <w:tc>
          <w:tcPr>
            <w:tcW w:w="0" w:type="auto"/>
            <w:vAlign w:val="center"/>
          </w:tcPr>
          <w:p w14:paraId="2DE14D91">
            <w:pPr>
              <w:pStyle w:val="31"/>
              <w:bidi w:val="0"/>
              <w:jc w:val="center"/>
              <w:rPr>
                <w:rFonts w:hint="default"/>
                <w:lang w:val="en-US" w:eastAsia="zh-CN"/>
              </w:rPr>
            </w:pPr>
            <w:r>
              <w:rPr>
                <w:rFonts w:hint="eastAsia"/>
                <w:lang w:val="en-US" w:eastAsia="zh-CN"/>
              </w:rPr>
              <w:t>0.006</w:t>
            </w:r>
          </w:p>
        </w:tc>
        <w:tc>
          <w:tcPr>
            <w:tcW w:w="0" w:type="auto"/>
            <w:shd w:val="clear" w:color="auto" w:fill="auto"/>
            <w:vAlign w:val="center"/>
          </w:tcPr>
          <w:p w14:paraId="6F49247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0" w:type="auto"/>
            <w:shd w:val="clear" w:color="auto" w:fill="auto"/>
            <w:vAlign w:val="center"/>
          </w:tcPr>
          <w:p w14:paraId="6B75ADE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r>
      <w:tr w14:paraId="11C51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662FE1DD">
            <w:pPr>
              <w:pStyle w:val="31"/>
              <w:bidi w:val="0"/>
              <w:jc w:val="center"/>
              <w:rPr>
                <w:rFonts w:hint="eastAsia"/>
                <w:lang w:val="en-US" w:eastAsia="zh-CN"/>
              </w:rPr>
            </w:pPr>
          </w:p>
        </w:tc>
        <w:tc>
          <w:tcPr>
            <w:tcW w:w="568" w:type="pct"/>
            <w:vMerge w:val="continue"/>
            <w:vAlign w:val="center"/>
          </w:tcPr>
          <w:p w14:paraId="605D460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7489580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0" w:type="auto"/>
            <w:vAlign w:val="center"/>
          </w:tcPr>
          <w:p w14:paraId="43ED60B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3DC4C2C8">
            <w:pPr>
              <w:pStyle w:val="31"/>
              <w:bidi w:val="0"/>
              <w:jc w:val="center"/>
              <w:rPr>
                <w:rFonts w:hint="default"/>
                <w:lang w:val="en-US" w:eastAsia="zh-CN"/>
              </w:rPr>
            </w:pPr>
            <w:r>
              <w:rPr>
                <w:rFonts w:hint="eastAsia"/>
                <w:lang w:val="en-US" w:eastAsia="zh-CN"/>
              </w:rPr>
              <w:t>0</w:t>
            </w:r>
          </w:p>
        </w:tc>
        <w:tc>
          <w:tcPr>
            <w:tcW w:w="0" w:type="auto"/>
            <w:vAlign w:val="center"/>
          </w:tcPr>
          <w:p w14:paraId="58A6E828">
            <w:pPr>
              <w:pStyle w:val="31"/>
              <w:bidi w:val="0"/>
              <w:jc w:val="center"/>
              <w:rPr>
                <w:rFonts w:hint="default"/>
                <w:lang w:val="en-US" w:eastAsia="zh-CN"/>
              </w:rPr>
            </w:pPr>
            <w:r>
              <w:rPr>
                <w:rFonts w:hint="eastAsia"/>
                <w:lang w:val="en-US" w:eastAsia="zh-CN"/>
              </w:rPr>
              <w:t>0.003</w:t>
            </w:r>
          </w:p>
        </w:tc>
        <w:tc>
          <w:tcPr>
            <w:tcW w:w="0" w:type="auto"/>
            <w:shd w:val="clear" w:color="auto" w:fill="auto"/>
            <w:vAlign w:val="center"/>
          </w:tcPr>
          <w:p w14:paraId="717B677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c>
          <w:tcPr>
            <w:tcW w:w="0" w:type="auto"/>
            <w:shd w:val="clear" w:color="auto" w:fill="auto"/>
            <w:vAlign w:val="center"/>
          </w:tcPr>
          <w:p w14:paraId="4EDB787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r>
      <w:tr w14:paraId="2B599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83EE453">
            <w:pPr>
              <w:pStyle w:val="31"/>
              <w:bidi w:val="0"/>
              <w:jc w:val="center"/>
              <w:rPr>
                <w:rFonts w:hint="eastAsia"/>
                <w:lang w:val="en-US" w:eastAsia="zh-CN"/>
              </w:rPr>
            </w:pPr>
          </w:p>
        </w:tc>
        <w:tc>
          <w:tcPr>
            <w:tcW w:w="568" w:type="pct"/>
            <w:vMerge w:val="continue"/>
            <w:vAlign w:val="center"/>
          </w:tcPr>
          <w:p w14:paraId="58738FC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7124F27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废燃料油</w:t>
            </w:r>
          </w:p>
        </w:tc>
        <w:tc>
          <w:tcPr>
            <w:tcW w:w="0" w:type="auto"/>
            <w:vAlign w:val="center"/>
          </w:tcPr>
          <w:p w14:paraId="7E04F7B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33BBD9A8">
            <w:pPr>
              <w:pStyle w:val="31"/>
              <w:bidi w:val="0"/>
              <w:jc w:val="center"/>
              <w:rPr>
                <w:rFonts w:hint="default"/>
                <w:lang w:val="en-US" w:eastAsia="zh-CN"/>
              </w:rPr>
            </w:pPr>
            <w:r>
              <w:rPr>
                <w:rFonts w:hint="eastAsia"/>
                <w:lang w:val="en-US" w:eastAsia="zh-CN"/>
              </w:rPr>
              <w:t>0</w:t>
            </w:r>
          </w:p>
        </w:tc>
        <w:tc>
          <w:tcPr>
            <w:tcW w:w="0" w:type="auto"/>
            <w:vAlign w:val="center"/>
          </w:tcPr>
          <w:p w14:paraId="712964E9">
            <w:pPr>
              <w:pStyle w:val="31"/>
              <w:bidi w:val="0"/>
              <w:jc w:val="center"/>
              <w:rPr>
                <w:rFonts w:hint="default"/>
                <w:lang w:val="en-US" w:eastAsia="zh-CN"/>
              </w:rPr>
            </w:pPr>
            <w:r>
              <w:rPr>
                <w:rFonts w:hint="eastAsia"/>
                <w:lang w:val="en-US" w:eastAsia="zh-CN"/>
              </w:rPr>
              <w:t>1.35</w:t>
            </w:r>
          </w:p>
        </w:tc>
        <w:tc>
          <w:tcPr>
            <w:tcW w:w="0" w:type="auto"/>
            <w:shd w:val="clear" w:color="auto" w:fill="auto"/>
            <w:vAlign w:val="center"/>
          </w:tcPr>
          <w:p w14:paraId="17C1F1E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c>
          <w:tcPr>
            <w:tcW w:w="0" w:type="auto"/>
            <w:shd w:val="clear" w:color="auto" w:fill="auto"/>
            <w:vAlign w:val="center"/>
          </w:tcPr>
          <w:p w14:paraId="736705C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r>
      <w:tr w14:paraId="33D2C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0252964">
            <w:pPr>
              <w:pStyle w:val="31"/>
              <w:bidi w:val="0"/>
              <w:jc w:val="center"/>
              <w:rPr>
                <w:rFonts w:hint="eastAsia"/>
                <w:lang w:val="en-US" w:eastAsia="zh-CN"/>
              </w:rPr>
            </w:pPr>
          </w:p>
        </w:tc>
        <w:tc>
          <w:tcPr>
            <w:tcW w:w="568" w:type="pct"/>
            <w:vMerge w:val="continue"/>
            <w:vAlign w:val="center"/>
          </w:tcPr>
          <w:p w14:paraId="02CBEEC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33DFD81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废水处理站废油、污泥</w:t>
            </w:r>
          </w:p>
        </w:tc>
        <w:tc>
          <w:tcPr>
            <w:tcW w:w="0" w:type="auto"/>
            <w:vAlign w:val="center"/>
          </w:tcPr>
          <w:p w14:paraId="32088B2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6BEFF528">
            <w:pPr>
              <w:pStyle w:val="31"/>
              <w:bidi w:val="0"/>
              <w:jc w:val="center"/>
              <w:rPr>
                <w:rFonts w:hint="default"/>
                <w:lang w:val="en-US" w:eastAsia="zh-CN"/>
              </w:rPr>
            </w:pPr>
            <w:r>
              <w:rPr>
                <w:rFonts w:hint="eastAsia"/>
                <w:lang w:val="en-US" w:eastAsia="zh-CN"/>
              </w:rPr>
              <w:t>0</w:t>
            </w:r>
          </w:p>
        </w:tc>
        <w:tc>
          <w:tcPr>
            <w:tcW w:w="0" w:type="auto"/>
            <w:vAlign w:val="center"/>
          </w:tcPr>
          <w:p w14:paraId="4AC8D959">
            <w:pPr>
              <w:pStyle w:val="31"/>
              <w:bidi w:val="0"/>
              <w:jc w:val="center"/>
              <w:rPr>
                <w:rFonts w:hint="default"/>
                <w:lang w:val="en-US" w:eastAsia="zh-CN"/>
              </w:rPr>
            </w:pPr>
            <w:r>
              <w:rPr>
                <w:rFonts w:hint="eastAsia"/>
                <w:lang w:val="en-US" w:eastAsia="zh-CN"/>
              </w:rPr>
              <w:t>64.34</w:t>
            </w:r>
          </w:p>
        </w:tc>
        <w:tc>
          <w:tcPr>
            <w:tcW w:w="0" w:type="auto"/>
            <w:shd w:val="clear" w:color="auto" w:fill="auto"/>
            <w:vAlign w:val="center"/>
          </w:tcPr>
          <w:p w14:paraId="17C78AB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c>
          <w:tcPr>
            <w:tcW w:w="0" w:type="auto"/>
            <w:shd w:val="clear" w:color="auto" w:fill="auto"/>
            <w:vAlign w:val="center"/>
          </w:tcPr>
          <w:p w14:paraId="45DB262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r>
      <w:tr w14:paraId="10D28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A6EFDA1">
            <w:pPr>
              <w:pStyle w:val="31"/>
              <w:bidi w:val="0"/>
              <w:jc w:val="center"/>
              <w:rPr>
                <w:rFonts w:hint="eastAsia"/>
                <w:lang w:val="en-US" w:eastAsia="zh-CN"/>
              </w:rPr>
            </w:pPr>
          </w:p>
        </w:tc>
        <w:tc>
          <w:tcPr>
            <w:tcW w:w="568" w:type="pct"/>
            <w:vMerge w:val="continue"/>
            <w:vAlign w:val="center"/>
          </w:tcPr>
          <w:p w14:paraId="7F0DAF0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0077ED06">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废活性炭</w:t>
            </w:r>
          </w:p>
        </w:tc>
        <w:tc>
          <w:tcPr>
            <w:tcW w:w="0" w:type="auto"/>
            <w:vAlign w:val="center"/>
          </w:tcPr>
          <w:p w14:paraId="0B700EEF">
            <w:pPr>
              <w:pStyle w:val="31"/>
              <w:bidi w:val="0"/>
              <w:ind w:firstLine="0" w:firstLineChars="0"/>
              <w:jc w:val="center"/>
              <w:rPr>
                <w:rFonts w:hint="default"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4ED2D213">
            <w:pPr>
              <w:pStyle w:val="31"/>
              <w:bidi w:val="0"/>
              <w:jc w:val="center"/>
              <w:rPr>
                <w:rFonts w:hint="default"/>
                <w:lang w:val="en-US" w:eastAsia="zh-CN"/>
              </w:rPr>
            </w:pPr>
            <w:r>
              <w:rPr>
                <w:rFonts w:hint="eastAsia"/>
                <w:lang w:val="en-US" w:eastAsia="zh-CN"/>
              </w:rPr>
              <w:t>0</w:t>
            </w:r>
          </w:p>
        </w:tc>
        <w:tc>
          <w:tcPr>
            <w:tcW w:w="0" w:type="auto"/>
            <w:vAlign w:val="center"/>
          </w:tcPr>
          <w:p w14:paraId="0BA1F3CD">
            <w:pPr>
              <w:pStyle w:val="31"/>
              <w:bidi w:val="0"/>
              <w:jc w:val="center"/>
              <w:rPr>
                <w:rFonts w:hint="default"/>
                <w:lang w:val="en-US" w:eastAsia="zh-CN"/>
              </w:rPr>
            </w:pPr>
            <w:r>
              <w:rPr>
                <w:rFonts w:hint="eastAsia"/>
                <w:lang w:val="en-US" w:eastAsia="zh-CN"/>
              </w:rPr>
              <w:t>0.2</w:t>
            </w:r>
          </w:p>
        </w:tc>
        <w:tc>
          <w:tcPr>
            <w:tcW w:w="0" w:type="auto"/>
            <w:shd w:val="clear" w:color="auto" w:fill="auto"/>
            <w:vAlign w:val="center"/>
          </w:tcPr>
          <w:p w14:paraId="7F8A41EC">
            <w:pPr>
              <w:pStyle w:val="31"/>
              <w:bidi w:val="0"/>
              <w:ind w:firstLine="0" w:firstLineChars="0"/>
              <w:jc w:val="center"/>
              <w:rPr>
                <w:rFonts w:hint="default"/>
                <w:lang w:val="en-US" w:eastAsia="zh-CN"/>
              </w:rPr>
            </w:pPr>
            <w:r>
              <w:rPr>
                <w:rFonts w:hint="eastAsia"/>
                <w:lang w:val="en-US" w:eastAsia="zh-CN"/>
              </w:rPr>
              <w:t>0.2</w:t>
            </w:r>
          </w:p>
        </w:tc>
        <w:tc>
          <w:tcPr>
            <w:tcW w:w="0" w:type="auto"/>
            <w:shd w:val="clear" w:color="auto" w:fill="auto"/>
            <w:vAlign w:val="center"/>
          </w:tcPr>
          <w:p w14:paraId="398ADE9D">
            <w:pPr>
              <w:pStyle w:val="31"/>
              <w:bidi w:val="0"/>
              <w:ind w:firstLine="0" w:firstLineChars="0"/>
              <w:jc w:val="center"/>
              <w:rPr>
                <w:rFonts w:hint="default"/>
                <w:lang w:val="en-US" w:eastAsia="zh-CN"/>
              </w:rPr>
            </w:pPr>
            <w:r>
              <w:rPr>
                <w:rFonts w:hint="eastAsia"/>
                <w:lang w:val="en-US" w:eastAsia="zh-CN"/>
              </w:rPr>
              <w:t>+0.2</w:t>
            </w:r>
          </w:p>
        </w:tc>
      </w:tr>
    </w:tbl>
    <w:p w14:paraId="7D2DB067">
      <w:pPr>
        <w:pStyle w:val="21"/>
        <w:rPr>
          <w:rFonts w:hint="default"/>
          <w:lang w:val="en-US" w:eastAsia="zh-CN"/>
        </w:rPr>
      </w:pPr>
    </w:p>
    <w:p w14:paraId="438AF15D">
      <w:pPr>
        <w:pStyle w:val="21"/>
        <w:ind w:firstLine="480"/>
        <w:rPr>
          <w:rFonts w:hint="eastAsia"/>
        </w:rPr>
        <w:sectPr>
          <w:pgSz w:w="11906" w:h="16838"/>
          <w:pgMar w:top="1440" w:right="1800" w:bottom="1440" w:left="1800" w:header="851" w:footer="992" w:gutter="0"/>
          <w:pgNumType w:fmt="decimal"/>
          <w:cols w:space="425" w:num="1"/>
          <w:docGrid w:type="lines" w:linePitch="312" w:charSpace="0"/>
        </w:sectPr>
      </w:pPr>
    </w:p>
    <w:p w14:paraId="5468958C">
      <w:pPr>
        <w:pStyle w:val="25"/>
      </w:pPr>
      <w:bookmarkStart w:id="124" w:name="_Toc22968"/>
      <w:r>
        <w:rPr>
          <w:rFonts w:hint="eastAsia"/>
        </w:rPr>
        <w:t>4环境现状调查与评价</w:t>
      </w:r>
      <w:bookmarkEnd w:id="124"/>
    </w:p>
    <w:p w14:paraId="6B8C7AB6">
      <w:pPr>
        <w:pStyle w:val="28"/>
      </w:pPr>
      <w:bookmarkStart w:id="125" w:name="_Toc16383"/>
      <w:r>
        <w:rPr>
          <w:rFonts w:hint="eastAsia"/>
        </w:rPr>
        <w:t>4.1自然环境现状</w:t>
      </w:r>
      <w:bookmarkEnd w:id="125"/>
    </w:p>
    <w:p w14:paraId="32058742">
      <w:pPr>
        <w:pStyle w:val="33"/>
      </w:pPr>
      <w:bookmarkStart w:id="126" w:name="_Toc28659"/>
      <w:r>
        <w:rPr>
          <w:rFonts w:hint="eastAsia"/>
        </w:rPr>
        <w:t>4.1.1地理位置</w:t>
      </w:r>
      <w:bookmarkEnd w:id="126"/>
    </w:p>
    <w:p w14:paraId="0C932F0F">
      <w:pPr>
        <w:pStyle w:val="21"/>
        <w:ind w:firstLine="480"/>
      </w:pPr>
      <w:r>
        <w:rPr>
          <w:rFonts w:hint="eastAsia"/>
        </w:rPr>
        <w:t>衡东县位于湖南东部偏南，居湘江中游的衡阳盆地与醴攸盆地之间。东连攸县，南与安仁县、衡南县为邻，西濒湘江与衡山县隔水相望，北与湘潭、株洲接壤。总面积1926平方公里，约占湖南省总面积的0.9%。</w:t>
      </w:r>
    </w:p>
    <w:p w14:paraId="20F7D881">
      <w:pPr>
        <w:pStyle w:val="21"/>
        <w:ind w:firstLine="480"/>
      </w:pPr>
      <w:r>
        <w:rPr>
          <w:rFonts w:hint="eastAsia"/>
        </w:rPr>
        <w:t>三樟镇，湖南省衡阳市衡东县下辖镇，地处衡东县北部，东临大桥镇，南接石湾镇，西邻湘潭县茶恩寺镇，北交株洲县王十万乡，</w:t>
      </w:r>
      <w:r>
        <w:t>行政区域面积112.19平方千米。截至2018年末，三樟镇户籍人口有43835人。1961年，设立三樟人民公社。1966年1月，属衡东县。1982年，撤销三樟人民公社分设三樟乡和油麻乡。1989年，油麻乡并入三樟乡。2015年，大桥镇、三樟乡成建制合并设立三樟镇。截至2020年6月，三樟镇下辖1个社区、14个行政村。</w:t>
      </w:r>
      <w:r>
        <w:rPr>
          <w:rFonts w:hint="eastAsia"/>
        </w:rPr>
        <w:t>农副产品有棉花、花生、西瓜、辣椒、湘莲、牲猪、鲜鱼、家禽等。三樟乡水陆交通方便。湘江自南而北流经全乡</w:t>
      </w:r>
      <w:r>
        <w:t>20余里，设有客轮停靠点。京广复线、京珠高速穿境而过，公路运输四通八达。</w:t>
      </w:r>
    </w:p>
    <w:p w14:paraId="7E771C55">
      <w:pPr>
        <w:pStyle w:val="21"/>
        <w:ind w:firstLine="480"/>
      </w:pPr>
      <w:r>
        <w:rPr>
          <w:rFonts w:cs="Times New Roman"/>
          <w:color w:val="000000" w:themeColor="text1"/>
          <w14:textFill>
            <w14:solidFill>
              <w14:schemeClr w14:val="tx1"/>
            </w14:solidFill>
          </w14:textFill>
        </w:rPr>
        <w:t>本</w:t>
      </w:r>
      <w:r>
        <w:rPr>
          <w:rFonts w:hint="eastAsia" w:cs="Times New Roman"/>
          <w:color w:val="000000" w:themeColor="text1"/>
          <w14:textFill>
            <w14:solidFill>
              <w14:schemeClr w14:val="tx1"/>
            </w14:solidFill>
          </w14:textFill>
        </w:rPr>
        <w:t>次扩建</w:t>
      </w:r>
      <w:r>
        <w:rPr>
          <w:rFonts w:cs="Times New Roman"/>
          <w:color w:val="000000" w:themeColor="text1"/>
          <w14:textFill>
            <w14:solidFill>
              <w14:schemeClr w14:val="tx1"/>
            </w14:solidFill>
          </w14:textFill>
        </w:rPr>
        <w:t>项目位于</w:t>
      </w:r>
      <w:r>
        <w:rPr>
          <w:rFonts w:hint="eastAsia"/>
          <w:lang w:val="en-US" w:eastAsia="zh-CN"/>
        </w:rPr>
        <w:t>衡阳市衡东县三樟镇长江村湘江滩涂地，厂址中心坐标为：</w:t>
      </w:r>
      <w:r>
        <w:rPr>
          <w:rFonts w:hint="default" w:ascii="Times New Roman" w:hAnsi="Times New Roman" w:cs="Times New Roman"/>
          <w:lang w:val="en-US" w:eastAsia="zh-CN"/>
        </w:rPr>
        <w:t>东经112°55′19.653″，北纬27°23′52.940″</w:t>
      </w:r>
      <w:r>
        <w:rPr>
          <w:rFonts w:hint="default" w:ascii="Times New Roman" w:hAnsi="Times New Roman" w:cs="Times New Roman"/>
        </w:rPr>
        <w:t>，</w:t>
      </w:r>
      <w:r>
        <w:rPr>
          <w:rFonts w:hint="eastAsia"/>
        </w:rPr>
        <w:t>具体地理位置见附图1。</w:t>
      </w:r>
    </w:p>
    <w:p w14:paraId="5229DF58">
      <w:pPr>
        <w:pStyle w:val="33"/>
        <w:rPr>
          <w:rFonts w:hint="default" w:eastAsia="宋体"/>
          <w:lang w:val="en-US" w:eastAsia="zh-CN"/>
        </w:rPr>
      </w:pPr>
      <w:bookmarkStart w:id="127" w:name="_Toc16488"/>
      <w:r>
        <w:rPr>
          <w:rFonts w:hint="eastAsia"/>
        </w:rPr>
        <w:t>4.1.2地形</w:t>
      </w:r>
      <w:r>
        <w:rPr>
          <w:rFonts w:hint="eastAsia"/>
          <w:lang w:eastAsia="zh-CN"/>
        </w:rPr>
        <w:t>、</w:t>
      </w:r>
      <w:r>
        <w:rPr>
          <w:rFonts w:hint="eastAsia"/>
        </w:rPr>
        <w:t>地貌</w:t>
      </w:r>
      <w:r>
        <w:rPr>
          <w:rFonts w:hint="eastAsia"/>
          <w:lang w:eastAsia="zh-CN"/>
        </w:rPr>
        <w:t>、</w:t>
      </w:r>
      <w:r>
        <w:rPr>
          <w:rFonts w:hint="eastAsia"/>
          <w:lang w:val="en-US" w:eastAsia="zh-CN"/>
        </w:rPr>
        <w:t>地质</w:t>
      </w:r>
      <w:bookmarkEnd w:id="127"/>
    </w:p>
    <w:p w14:paraId="361C8E52">
      <w:pPr>
        <w:pStyle w:val="39"/>
        <w:ind w:firstLine="480"/>
      </w:pPr>
      <w:r>
        <w:rPr>
          <w:rFonts w:hint="eastAsia"/>
        </w:rPr>
        <w:t>衡东县地处于新华夏第二沉降带南端，属衡阳盆地东北边缘和澧攸盆地西南边缘的桥接地带，各向西南、东南敞开，较大地影响着区域的地貌形态。除两盆地外，尚有一系列北北东</w:t>
      </w:r>
      <w:r>
        <w:t>~西西南的褶皱和压缩性断裂，其主体是金觉峰背斜，凤凰山单斜，吴集花岗岩体，栗木向斜及大清背斜，鹤（岭）~甘（溪）断层和吴（集）~江（滨）断层等深刻地塑造了丘陵地貌。</w:t>
      </w:r>
      <w:r>
        <w:rPr>
          <w:rFonts w:hint="eastAsia"/>
        </w:rPr>
        <w:t>三樟镇</w:t>
      </w:r>
      <w:r>
        <w:t>地貌类型多样，以岗丘为主，且多为低丘垅岗，起伏不大，冲沟较为发达，地势较低，形成“指状”谷地。</w:t>
      </w:r>
    </w:p>
    <w:p w14:paraId="008CBDD4">
      <w:pPr>
        <w:pStyle w:val="39"/>
        <w:ind w:firstLine="480"/>
      </w:pPr>
      <w:r>
        <w:rPr>
          <w:rFonts w:hint="eastAsia"/>
        </w:rPr>
        <w:t>区域丘陵多为土质或土石质，由于亚热带风化作用的红土化过程，导致组成丘陵的物质主要为红色，深红色残坡积的粘土、亚粘土及风化残余石块。地层为白垩纪、石灰系灰岩及燕山中期花岗闪长岩体，区域内岩层相对可划分为隔水层、弱充水层及强充水层，地下水的动态随季节和雨量变化，地下水的补给来源为大气降雨；地下水流向与地形一致，水质属良好，地下水对混凝土无腐蚀性。区域地质构造简单，未见滑坡、溶洞等不良地质现象。</w:t>
      </w:r>
    </w:p>
    <w:p w14:paraId="0B767A73">
      <w:pPr>
        <w:pStyle w:val="21"/>
        <w:ind w:firstLine="480"/>
      </w:pPr>
      <w:r>
        <w:rPr>
          <w:rFonts w:hint="eastAsia"/>
        </w:rPr>
        <w:t>根据</w:t>
      </w:r>
      <w:r>
        <w:rPr>
          <w:rFonts w:hint="eastAsia"/>
          <w:lang w:eastAsia="zh-CN"/>
        </w:rPr>
        <w:t>中国地震局</w:t>
      </w:r>
      <w:r>
        <w:rPr>
          <w:rFonts w:hint="eastAsia"/>
        </w:rPr>
        <w:t>编制的《中国地震烈度区划分》，项目所在区域基本地震裂度为</w:t>
      </w:r>
      <w:r>
        <w:t>6度。</w:t>
      </w:r>
    </w:p>
    <w:p w14:paraId="74D7DF1C">
      <w:pPr>
        <w:pStyle w:val="33"/>
      </w:pPr>
      <w:bookmarkStart w:id="128" w:name="_Toc21512"/>
      <w:r>
        <w:rPr>
          <w:rFonts w:hint="eastAsia"/>
        </w:rPr>
        <w:t>4.1.3水文水系</w:t>
      </w:r>
      <w:bookmarkEnd w:id="128"/>
    </w:p>
    <w:p w14:paraId="3A1D7365">
      <w:pPr>
        <w:pStyle w:val="39"/>
        <w:ind w:firstLine="480"/>
      </w:pPr>
      <w:r>
        <w:rPr>
          <w:rFonts w:hint="eastAsia"/>
        </w:rPr>
        <w:t>衡东县境内有江河溪</w:t>
      </w:r>
      <w:r>
        <w:t>169条，长993.5km，其中湘江的一级支流17条；长199.5km，二级支流46条，长307.2km；三级支流69条，长268.5km，四级支流23条，长95.8km；五级支流11条，长33.8km；六级支流2条，长3.6km。</w:t>
      </w:r>
    </w:p>
    <w:p w14:paraId="24309720">
      <w:pPr>
        <w:pStyle w:val="21"/>
        <w:ind w:firstLine="480"/>
      </w:pPr>
      <w:r>
        <w:rPr>
          <w:rFonts w:hint="eastAsia"/>
        </w:rPr>
        <w:t>湘江三樟段河道宽约</w:t>
      </w:r>
      <w:r>
        <w:t>680m，水面较为宽阔</w:t>
      </w:r>
      <w:r>
        <w:rPr>
          <w:rFonts w:hint="eastAsia"/>
        </w:rPr>
        <w:t>；</w:t>
      </w:r>
      <w:r>
        <w:t>该处河段微弯，弯曲度约10°。根据上游衡山水文站控制流域面积确定集雨面积为64360km</w:t>
      </w:r>
      <w:r>
        <w:rPr>
          <w:vertAlign w:val="superscript"/>
        </w:rPr>
        <w:t>2</w:t>
      </w:r>
      <w:r>
        <w:t>，河道加权坡降为 0.29%。根据衡山水文站资料，该处河段最高水位一般出现在5~6月，主要受洪水径流控制，实测最高水位54.88m(1994年6月7日，黄海85 高程)，实测最大流量20300m</w:t>
      </w:r>
      <w:r>
        <w:rPr>
          <w:vertAlign w:val="superscript"/>
        </w:rPr>
        <w:t>3</w:t>
      </w:r>
      <w:r>
        <w:t>/s，实测最大流速2.63m/s，实测最低水位39.41m(1966年10月5日)，洪水一般发生在4~6月，较大洪峰每年出现 4~5月，洪</w:t>
      </w:r>
      <w:r>
        <w:rPr>
          <w:rFonts w:hint="eastAsia"/>
        </w:rPr>
        <w:t>水发生频繁，洪峰接踵而来，峰量大，来势猛，持续时间。</w:t>
      </w:r>
    </w:p>
    <w:p w14:paraId="01794B1C">
      <w:pPr>
        <w:pStyle w:val="33"/>
      </w:pPr>
      <w:bookmarkStart w:id="129" w:name="_Toc22623"/>
      <w:r>
        <w:rPr>
          <w:rFonts w:hint="eastAsia"/>
        </w:rPr>
        <w:t>4.1.4气候气象</w:t>
      </w:r>
      <w:bookmarkEnd w:id="129"/>
    </w:p>
    <w:p w14:paraId="03DAA888">
      <w:pPr>
        <w:pStyle w:val="21"/>
        <w:ind w:firstLine="480"/>
      </w:pPr>
      <w:r>
        <w:rPr>
          <w:rFonts w:hint="eastAsia"/>
        </w:rPr>
        <w:t>衡东县属亚热带大陆性气候，热量充足、雨量较多、季节分明、春雨秋旱、冬冷夏热。全年主导风向为东北风，夏季主导风向为西南风；最大风速为</w:t>
      </w:r>
      <w:r>
        <w:t xml:space="preserve"> 20m/s，平均风速2.0m/s；年平均气温18.4℃，最冷月平均气温 6.3℃，年度极端最高气温 43.1℃，年最低气温-8.7℃；年平均降雨量1113.1mm，年最大降雨量1434.6mm；年平均气压为1010.1hpa；年平均日照为1577h，最冷月平均相对湿度82.0%，最热月平均相对湿度74.0%。</w:t>
      </w:r>
      <w:r>
        <w:rPr>
          <w:rFonts w:hint="eastAsia"/>
        </w:rPr>
        <w:t>年主导风向为</w:t>
      </w:r>
      <w:r>
        <w:t>NE，平均风速2m/s，夏季平均风速2.2m/s，冬季平均风速1.6m/s，历年最大风速为25m/s。夏季主导风为南风冬季盛行偏北风，年平均静风频率25%，静风频率夏季最高为40%。</w:t>
      </w:r>
    </w:p>
    <w:p w14:paraId="2D370361">
      <w:pPr>
        <w:pStyle w:val="33"/>
        <w:rPr>
          <w:rFonts w:hint="default" w:eastAsia="宋体"/>
          <w:lang w:val="en-US" w:eastAsia="zh-CN"/>
        </w:rPr>
      </w:pPr>
      <w:bookmarkStart w:id="130" w:name="_Toc25381"/>
      <w:r>
        <w:rPr>
          <w:rFonts w:hint="eastAsia"/>
        </w:rPr>
        <w:t>4.1.5</w:t>
      </w:r>
      <w:r>
        <w:rPr>
          <w:rFonts w:hint="eastAsia"/>
          <w:lang w:val="en-US" w:eastAsia="zh-CN"/>
        </w:rPr>
        <w:t>生态环境</w:t>
      </w:r>
      <w:bookmarkEnd w:id="130"/>
    </w:p>
    <w:p w14:paraId="12860618">
      <w:pPr>
        <w:pStyle w:val="39"/>
        <w:ind w:firstLine="480"/>
      </w:pPr>
      <w:r>
        <w:rPr>
          <w:rFonts w:hint="eastAsia"/>
        </w:rPr>
        <w:t>（1）</w:t>
      </w:r>
      <w:r>
        <w:t>动植物资源</w:t>
      </w:r>
    </w:p>
    <w:p w14:paraId="3AA48A14">
      <w:pPr>
        <w:pStyle w:val="39"/>
        <w:ind w:firstLine="480"/>
      </w:pPr>
      <w:r>
        <w:rPr>
          <w:rFonts w:hint="eastAsia"/>
        </w:rPr>
        <w:t>该区域内人类活动频繁，野生动物失去适宜的栖息繁衍场所。区域内主要野生动物田间青蛙、鼠、蛇及麻雀、燕子等各种常见的鸟类，未发现珍稀野生动物。家畜以牛、羊、猪为主，家禽以鸡、鸭、鹅为主。湘江及附近水塘中水生鱼类以青、草、鲤、鲫四大鱼类为主。</w:t>
      </w:r>
    </w:p>
    <w:p w14:paraId="5552066B">
      <w:pPr>
        <w:pStyle w:val="39"/>
        <w:ind w:firstLine="480"/>
      </w:pPr>
      <w:r>
        <w:rPr>
          <w:rFonts w:hint="eastAsia"/>
        </w:rPr>
        <w:t>三樟镇</w:t>
      </w:r>
      <w:r>
        <w:rPr>
          <w:rFonts w:cs="Times New Roman"/>
          <w:color w:val="000000" w:themeColor="text1"/>
          <w14:textFill>
            <w14:solidFill>
              <w14:schemeClr w14:val="tx1"/>
            </w14:solidFill>
          </w14:textFill>
        </w:rPr>
        <w:t>亚热带向热带过渡地带植被区，受气候、地形等因素的影响，植被覆盖较好</w:t>
      </w:r>
      <w:r>
        <w:rPr>
          <w:rFonts w:hint="eastAsia"/>
        </w:rPr>
        <w:t>，现有植被组成以人工植被为主，极小部分次生植被，</w:t>
      </w:r>
      <w:r>
        <w:rPr>
          <w:rFonts w:cs="Times New Roman"/>
          <w:color w:val="000000" w:themeColor="text1"/>
          <w14:textFill>
            <w14:solidFill>
              <w14:schemeClr w14:val="tx1"/>
            </w14:solidFill>
          </w14:textFill>
        </w:rPr>
        <w:t>沿线丘岗主要为灌木</w:t>
      </w:r>
      <w:r>
        <w:rPr>
          <w:rFonts w:hint="eastAsia"/>
        </w:rPr>
        <w:t>。区域内分布有山坡林地、旱地、水田等，水田主要种植水稻，旱地为菜土主要种植冬瓜、丝瓜、四季豆等，供周边村民自食，项目所在区域内未见珍稀野生植物。</w:t>
      </w:r>
    </w:p>
    <w:p w14:paraId="46CD18F4">
      <w:pPr>
        <w:pStyle w:val="39"/>
        <w:ind w:firstLine="480"/>
      </w:pPr>
      <w:r>
        <w:rPr>
          <w:rFonts w:hint="eastAsia"/>
        </w:rPr>
        <w:t>（2）土壤</w:t>
      </w:r>
    </w:p>
    <w:p w14:paraId="45431990">
      <w:pPr>
        <w:pStyle w:val="39"/>
        <w:ind w:firstLine="480"/>
      </w:pPr>
      <w:r>
        <w:rPr>
          <w:rFonts w:hint="eastAsia"/>
        </w:rPr>
        <w:t>衡东县县人多地少，后备资源不足，土地资源显得十分珍贵。但土壤种类多，以红壤为主，适种性广。但土壤障碍因子较多，低产面积较大，有待于综合治理与改良。</w:t>
      </w:r>
    </w:p>
    <w:p w14:paraId="3A3889BF">
      <w:pPr>
        <w:pStyle w:val="39"/>
        <w:ind w:firstLine="480"/>
      </w:pPr>
      <w:r>
        <w:rPr>
          <w:rFonts w:hint="eastAsia"/>
        </w:rPr>
        <w:t>衡东县土地面积为</w:t>
      </w:r>
      <w:r>
        <w:t>1926km</w:t>
      </w:r>
      <w:r>
        <w:rPr>
          <w:vertAlign w:val="superscript"/>
        </w:rPr>
        <w:t>2</w:t>
      </w:r>
      <w:r>
        <w:t>，耕地面积为64.8万亩。土壤共分8个士类(地带性土壤两类</w:t>
      </w:r>
      <w:r>
        <w:rPr>
          <w:rFonts w:hint="eastAsia"/>
        </w:rPr>
        <w:t>：</w:t>
      </w:r>
      <w:r>
        <w:t>红土壤、黄土壤</w:t>
      </w:r>
      <w:r>
        <w:rPr>
          <w:rFonts w:hint="eastAsia"/>
        </w:rPr>
        <w:t>；</w:t>
      </w:r>
      <w:r>
        <w:t>非地带性土壤六类</w:t>
      </w:r>
      <w:r>
        <w:rPr>
          <w:rFonts w:hint="eastAsia"/>
        </w:rPr>
        <w:t>：</w:t>
      </w:r>
      <w:r>
        <w:t>黑色石灰土</w:t>
      </w:r>
      <w:r>
        <w:rPr>
          <w:rFonts w:hint="eastAsia"/>
        </w:rPr>
        <w:t>、</w:t>
      </w:r>
      <w:r>
        <w:t>红色石灰土、紫色土、菜园土、潮土、水福土，17 个亚类，51 个土属</w:t>
      </w:r>
      <w:r>
        <w:rPr>
          <w:rFonts w:hint="eastAsia"/>
        </w:rPr>
        <w:t>，</w:t>
      </w:r>
      <w:r>
        <w:t>119 个土种。</w:t>
      </w:r>
    </w:p>
    <w:p w14:paraId="26093576">
      <w:pPr>
        <w:pStyle w:val="39"/>
        <w:ind w:firstLine="480"/>
      </w:pPr>
      <w:r>
        <w:rPr>
          <w:rFonts w:hint="eastAsia"/>
        </w:rPr>
        <w:t>（3）</w:t>
      </w:r>
      <w:r>
        <w:t>景观生态体系</w:t>
      </w:r>
    </w:p>
    <w:p w14:paraId="4A54B7DF">
      <w:pPr>
        <w:pStyle w:val="39"/>
        <w:ind w:firstLine="480"/>
      </w:pPr>
      <w:r>
        <w:rPr>
          <w:rFonts w:hint="eastAsia"/>
        </w:rPr>
        <w:t>评价区域景观生态体系由下列组分组成：</w:t>
      </w:r>
    </w:p>
    <w:p w14:paraId="2F1ED535">
      <w:pPr>
        <w:pStyle w:val="39"/>
        <w:ind w:firstLine="480"/>
      </w:pPr>
      <w:r>
        <w:rPr>
          <w:rFonts w:hint="eastAsia"/>
        </w:rPr>
        <w:t>①以针叶和针阔叶混交林为主的林地生态系统；</w:t>
      </w:r>
    </w:p>
    <w:p w14:paraId="4CE61B02">
      <w:pPr>
        <w:pStyle w:val="39"/>
        <w:ind w:firstLine="480"/>
      </w:pPr>
      <w:r>
        <w:rPr>
          <w:rFonts w:hint="eastAsia"/>
        </w:rPr>
        <w:t>②以灌、草丛为主的灌木、草丛生态系统；</w:t>
      </w:r>
    </w:p>
    <w:p w14:paraId="32A703E1">
      <w:pPr>
        <w:pStyle w:val="39"/>
        <w:ind w:firstLine="480"/>
      </w:pPr>
      <w:r>
        <w:rPr>
          <w:rFonts w:hint="eastAsia"/>
        </w:rPr>
        <w:t>③以人工植被为主的农业生态系统，主要种植水稻、蔬菜及其他经济作物；</w:t>
      </w:r>
    </w:p>
    <w:p w14:paraId="4C4C94A5">
      <w:pPr>
        <w:pStyle w:val="39"/>
        <w:ind w:firstLine="480"/>
      </w:pPr>
      <w:r>
        <w:rPr>
          <w:rFonts w:hint="eastAsia"/>
        </w:rPr>
        <w:t>④村镇等人工生态系统，受人类干扰最显著；</w:t>
      </w:r>
    </w:p>
    <w:p w14:paraId="30EF69D7">
      <w:pPr>
        <w:pStyle w:val="39"/>
        <w:ind w:firstLine="480"/>
      </w:pPr>
      <w:r>
        <w:rPr>
          <w:rFonts w:hint="eastAsia"/>
        </w:rPr>
        <w:t>⑤</w:t>
      </w:r>
      <w:r>
        <w:t xml:space="preserve"> 水生生态系统，水塘、水生动植物等组成的水生生态系统</w:t>
      </w:r>
      <w:r>
        <w:rPr>
          <w:rFonts w:hint="eastAsia" w:cs="宋体"/>
        </w:rPr>
        <w:t>⑥</w:t>
      </w:r>
      <w:r>
        <w:t>湘江水域生态系统。</w:t>
      </w:r>
    </w:p>
    <w:p w14:paraId="3FA366C2">
      <w:pPr>
        <w:pStyle w:val="21"/>
        <w:ind w:firstLine="480"/>
      </w:pPr>
      <w:r>
        <w:rPr>
          <w:rFonts w:hint="eastAsia"/>
        </w:rPr>
        <w:t>随着城镇化、工业化的进一步加快，评价区近年来景观系统在人为干扰作用下趋向于均质化，特别是乡镇基础设施开发，导致区域内整个景观生态系统多样性指数降低，系统优势度减少，总的来说，评价区域目前由于人为干扰，系统的生产力、稳定性、自我维持性正趋向于降低。</w:t>
      </w:r>
    </w:p>
    <w:p w14:paraId="6417A745">
      <w:pPr>
        <w:pStyle w:val="28"/>
      </w:pPr>
      <w:bookmarkStart w:id="131" w:name="_Toc15134"/>
      <w:r>
        <w:rPr>
          <w:rFonts w:hint="eastAsia"/>
        </w:rPr>
        <w:t>4.2环境空气质量现状</w:t>
      </w:r>
      <w:bookmarkEnd w:id="131"/>
    </w:p>
    <w:p w14:paraId="04DB248F">
      <w:pPr>
        <w:pStyle w:val="33"/>
      </w:pPr>
      <w:bookmarkStart w:id="132" w:name="_Toc19266"/>
      <w:r>
        <w:rPr>
          <w:rFonts w:hint="eastAsia"/>
        </w:rPr>
        <w:t>4.2.1达标区判定</w:t>
      </w:r>
      <w:bookmarkEnd w:id="132"/>
    </w:p>
    <w:p w14:paraId="7F29BDEA">
      <w:pPr>
        <w:pStyle w:val="21"/>
        <w:ind w:firstLine="480"/>
      </w:pPr>
      <w:r>
        <w:t>为了解项目所在地环境空气质量现状，</w:t>
      </w:r>
      <w:r>
        <w:rPr>
          <w:szCs w:val="32"/>
        </w:rPr>
        <w:t>项目位于</w:t>
      </w:r>
      <w:bookmarkStart w:id="133" w:name="_Hlk157152460"/>
      <w:r>
        <w:rPr>
          <w:rFonts w:hint="eastAsia"/>
          <w:szCs w:val="32"/>
        </w:rPr>
        <w:t>衡东经开区</w:t>
      </w:r>
      <w:bookmarkEnd w:id="133"/>
      <w:r>
        <w:rPr>
          <w:szCs w:val="32"/>
        </w:rPr>
        <w:t>，</w:t>
      </w:r>
      <w:r>
        <w:rPr>
          <w:rFonts w:hint="eastAsia"/>
          <w:szCs w:val="32"/>
        </w:rPr>
        <w:t>衡阳市石鼓区——衡东经开区——衡东县为1条大气传输通道，本次</w:t>
      </w:r>
      <w:r>
        <w:rPr>
          <w:szCs w:val="32"/>
        </w:rPr>
        <w:t>区域环境空气质量现状引用《</w:t>
      </w:r>
      <w:r>
        <w:rPr>
          <w:rFonts w:hint="eastAsia"/>
          <w:szCs w:val="32"/>
        </w:rPr>
        <w:t>衡阳</w:t>
      </w:r>
      <w:r>
        <w:rPr>
          <w:szCs w:val="32"/>
        </w:rPr>
        <w:t>市生态环境局</w:t>
      </w:r>
      <w:r>
        <w:rPr>
          <w:rFonts w:hint="eastAsia"/>
          <w:szCs w:val="32"/>
        </w:rPr>
        <w:t>关于202</w:t>
      </w:r>
      <w:r>
        <w:rPr>
          <w:rFonts w:hint="eastAsia"/>
          <w:szCs w:val="32"/>
          <w:lang w:val="en-US" w:eastAsia="zh-CN"/>
        </w:rPr>
        <w:t>4</w:t>
      </w:r>
      <w:r>
        <w:rPr>
          <w:rFonts w:hint="eastAsia"/>
          <w:szCs w:val="32"/>
        </w:rPr>
        <w:t>年12月及1-12月全市环境质量状况的通报</w:t>
      </w:r>
      <w:r>
        <w:rPr>
          <w:szCs w:val="32"/>
        </w:rPr>
        <w:t>》中附</w:t>
      </w:r>
      <w:r>
        <w:rPr>
          <w:rFonts w:hint="eastAsia"/>
          <w:szCs w:val="32"/>
        </w:rPr>
        <w:t>表</w:t>
      </w:r>
      <w:r>
        <w:rPr>
          <w:szCs w:val="32"/>
        </w:rPr>
        <w:t xml:space="preserve">2 </w:t>
      </w:r>
      <w:r>
        <w:rPr>
          <w:rFonts w:hint="eastAsia"/>
          <w:szCs w:val="32"/>
        </w:rPr>
        <w:t>和附表4环境空气污染物浓度情况</w:t>
      </w:r>
      <w:r>
        <w:rPr>
          <w:rFonts w:hint="eastAsia"/>
        </w:rPr>
        <w:t>。</w:t>
      </w:r>
    </w:p>
    <w:p w14:paraId="7F67C18D">
      <w:pPr>
        <w:pStyle w:val="23"/>
        <w:ind w:firstLine="480"/>
      </w:pPr>
      <w:r>
        <w:rPr>
          <w:rFonts w:hint="eastAsia"/>
        </w:rPr>
        <w:t xml:space="preserve">表4.2-1  </w:t>
      </w:r>
      <w:r>
        <w:t>项目</w:t>
      </w:r>
      <w:r>
        <w:rPr>
          <w:rFonts w:hint="eastAsia"/>
        </w:rPr>
        <w:t>所在</w:t>
      </w:r>
      <w:r>
        <w:t>区域202</w:t>
      </w:r>
      <w:r>
        <w:rPr>
          <w:rFonts w:hint="eastAsia"/>
        </w:rPr>
        <w:t>3</w:t>
      </w:r>
      <w:r>
        <w:t>年</w:t>
      </w:r>
      <w:r>
        <w:rPr>
          <w:rFonts w:hint="eastAsia"/>
        </w:rPr>
        <w:t>年度</w:t>
      </w:r>
      <w:r>
        <w:t>环境空气质量现状评价表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998"/>
        <w:gridCol w:w="1684"/>
        <w:gridCol w:w="1554"/>
        <w:gridCol w:w="1311"/>
        <w:gridCol w:w="898"/>
      </w:tblGrid>
      <w:tr w14:paraId="10645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4A792EB1">
            <w:pPr>
              <w:pStyle w:val="31"/>
            </w:pPr>
            <w:r>
              <w:t>监测因子</w:t>
            </w:r>
          </w:p>
        </w:tc>
        <w:tc>
          <w:tcPr>
            <w:tcW w:w="1172" w:type="pct"/>
            <w:vAlign w:val="center"/>
          </w:tcPr>
          <w:p w14:paraId="26010881">
            <w:pPr>
              <w:pStyle w:val="31"/>
            </w:pPr>
            <w:r>
              <w:t>年评价指标</w:t>
            </w:r>
          </w:p>
        </w:tc>
        <w:tc>
          <w:tcPr>
            <w:tcW w:w="988" w:type="pct"/>
            <w:vAlign w:val="center"/>
          </w:tcPr>
          <w:p w14:paraId="10B00C4A">
            <w:pPr>
              <w:pStyle w:val="31"/>
            </w:pPr>
            <w:r>
              <w:rPr>
                <w:rFonts w:hint="eastAsia"/>
              </w:rPr>
              <w:t>衡东县</w:t>
            </w:r>
            <w:r>
              <w:t>现状浓度/(ug/m</w:t>
            </w:r>
            <w:r>
              <w:rPr>
                <w:vertAlign w:val="superscript"/>
              </w:rPr>
              <w:t>3</w:t>
            </w:r>
            <w:r>
              <w:t>)</w:t>
            </w:r>
          </w:p>
        </w:tc>
        <w:tc>
          <w:tcPr>
            <w:tcW w:w="912" w:type="pct"/>
            <w:vAlign w:val="center"/>
          </w:tcPr>
          <w:p w14:paraId="4CD43B0A">
            <w:pPr>
              <w:pStyle w:val="31"/>
            </w:pPr>
            <w:r>
              <w:t>标准值/(ug/m</w:t>
            </w:r>
            <w:r>
              <w:rPr>
                <w:vertAlign w:val="superscript"/>
              </w:rPr>
              <w:t>3</w:t>
            </w:r>
            <w:r>
              <w:t>)</w:t>
            </w:r>
          </w:p>
        </w:tc>
        <w:tc>
          <w:tcPr>
            <w:tcW w:w="769" w:type="pct"/>
            <w:vAlign w:val="center"/>
          </w:tcPr>
          <w:p w14:paraId="04E9C567">
            <w:pPr>
              <w:pStyle w:val="31"/>
            </w:pPr>
            <w:r>
              <w:t>占标率/%</w:t>
            </w:r>
          </w:p>
        </w:tc>
        <w:tc>
          <w:tcPr>
            <w:tcW w:w="527" w:type="pct"/>
            <w:vAlign w:val="center"/>
          </w:tcPr>
          <w:p w14:paraId="1746C0EF">
            <w:pPr>
              <w:pStyle w:val="31"/>
            </w:pPr>
            <w:r>
              <w:t>达标情况</w:t>
            </w:r>
          </w:p>
        </w:tc>
      </w:tr>
      <w:tr w14:paraId="77DDB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73DED5A6">
            <w:pPr>
              <w:pStyle w:val="31"/>
            </w:pPr>
            <w:r>
              <w:t>PM</w:t>
            </w:r>
            <w:r>
              <w:rPr>
                <w:vertAlign w:val="subscript"/>
              </w:rPr>
              <w:t>2.5</w:t>
            </w:r>
          </w:p>
        </w:tc>
        <w:tc>
          <w:tcPr>
            <w:tcW w:w="1172" w:type="pct"/>
            <w:vAlign w:val="center"/>
          </w:tcPr>
          <w:p w14:paraId="46B72A5B">
            <w:pPr>
              <w:pStyle w:val="31"/>
            </w:pPr>
            <w:r>
              <w:t>年平均浓度</w:t>
            </w:r>
          </w:p>
        </w:tc>
        <w:tc>
          <w:tcPr>
            <w:tcW w:w="988" w:type="pct"/>
            <w:vAlign w:val="center"/>
          </w:tcPr>
          <w:p w14:paraId="7BE0B202">
            <w:pPr>
              <w:pStyle w:val="31"/>
              <w:rPr>
                <w:rFonts w:hint="default" w:eastAsia="宋体"/>
                <w:lang w:val="en-US" w:eastAsia="zh-CN"/>
              </w:rPr>
            </w:pPr>
            <w:r>
              <w:rPr>
                <w:rFonts w:hint="eastAsia"/>
                <w:lang w:val="en-US" w:eastAsia="zh-CN"/>
              </w:rPr>
              <w:t>31</w:t>
            </w:r>
          </w:p>
        </w:tc>
        <w:tc>
          <w:tcPr>
            <w:tcW w:w="912" w:type="pct"/>
            <w:vAlign w:val="center"/>
          </w:tcPr>
          <w:p w14:paraId="7619E578">
            <w:pPr>
              <w:pStyle w:val="31"/>
            </w:pPr>
            <w:r>
              <w:t>35</w:t>
            </w:r>
          </w:p>
        </w:tc>
        <w:tc>
          <w:tcPr>
            <w:tcW w:w="769" w:type="pct"/>
            <w:vAlign w:val="center"/>
          </w:tcPr>
          <w:p w14:paraId="5A85186A">
            <w:pPr>
              <w:pStyle w:val="31"/>
              <w:rPr>
                <w:rFonts w:hint="default" w:eastAsia="宋体"/>
                <w:lang w:val="en-US" w:eastAsia="zh-CN"/>
              </w:rPr>
            </w:pPr>
            <w:r>
              <w:rPr>
                <w:rFonts w:hint="eastAsia"/>
                <w:lang w:val="en-US" w:eastAsia="zh-CN"/>
              </w:rPr>
              <w:t>88.57</w:t>
            </w:r>
          </w:p>
        </w:tc>
        <w:tc>
          <w:tcPr>
            <w:tcW w:w="527" w:type="pct"/>
            <w:vAlign w:val="center"/>
          </w:tcPr>
          <w:p w14:paraId="3F068308">
            <w:pPr>
              <w:pStyle w:val="31"/>
            </w:pPr>
            <w:r>
              <w:t>达标</w:t>
            </w:r>
          </w:p>
        </w:tc>
      </w:tr>
      <w:tr w14:paraId="2CC1F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0F1BAE53">
            <w:pPr>
              <w:pStyle w:val="31"/>
            </w:pPr>
            <w:r>
              <w:t>PM</w:t>
            </w:r>
            <w:r>
              <w:rPr>
                <w:vertAlign w:val="subscript"/>
              </w:rPr>
              <w:t>10</w:t>
            </w:r>
          </w:p>
        </w:tc>
        <w:tc>
          <w:tcPr>
            <w:tcW w:w="1172" w:type="pct"/>
            <w:vAlign w:val="center"/>
          </w:tcPr>
          <w:p w14:paraId="33FB7128">
            <w:pPr>
              <w:pStyle w:val="31"/>
            </w:pPr>
            <w:r>
              <w:t>年平均浓度</w:t>
            </w:r>
          </w:p>
        </w:tc>
        <w:tc>
          <w:tcPr>
            <w:tcW w:w="988" w:type="pct"/>
            <w:vAlign w:val="center"/>
          </w:tcPr>
          <w:p w14:paraId="5030DE8D">
            <w:pPr>
              <w:pStyle w:val="31"/>
              <w:rPr>
                <w:rFonts w:hint="default" w:eastAsia="宋体"/>
                <w:lang w:val="en-US" w:eastAsia="zh-CN"/>
              </w:rPr>
            </w:pPr>
            <w:r>
              <w:rPr>
                <w:rFonts w:hint="eastAsia"/>
                <w:lang w:val="en-US" w:eastAsia="zh-CN"/>
              </w:rPr>
              <w:t>51</w:t>
            </w:r>
          </w:p>
        </w:tc>
        <w:tc>
          <w:tcPr>
            <w:tcW w:w="912" w:type="pct"/>
            <w:vAlign w:val="center"/>
          </w:tcPr>
          <w:p w14:paraId="7DD6AAF3">
            <w:pPr>
              <w:pStyle w:val="31"/>
            </w:pPr>
            <w:r>
              <w:t>70</w:t>
            </w:r>
          </w:p>
        </w:tc>
        <w:tc>
          <w:tcPr>
            <w:tcW w:w="769" w:type="pct"/>
            <w:vAlign w:val="center"/>
          </w:tcPr>
          <w:p w14:paraId="2F69236A">
            <w:pPr>
              <w:pStyle w:val="31"/>
              <w:rPr>
                <w:rFonts w:hint="default" w:eastAsia="宋体"/>
                <w:lang w:val="en-US" w:eastAsia="zh-CN"/>
              </w:rPr>
            </w:pPr>
            <w:r>
              <w:rPr>
                <w:rFonts w:hint="eastAsia"/>
                <w:lang w:val="en-US" w:eastAsia="zh-CN"/>
              </w:rPr>
              <w:t>72.86</w:t>
            </w:r>
          </w:p>
        </w:tc>
        <w:tc>
          <w:tcPr>
            <w:tcW w:w="527" w:type="pct"/>
            <w:vAlign w:val="center"/>
          </w:tcPr>
          <w:p w14:paraId="6F806C27">
            <w:pPr>
              <w:pStyle w:val="31"/>
            </w:pPr>
            <w:r>
              <w:t>达标</w:t>
            </w:r>
          </w:p>
        </w:tc>
      </w:tr>
      <w:tr w14:paraId="236AB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632" w:type="pct"/>
            <w:vAlign w:val="center"/>
          </w:tcPr>
          <w:p w14:paraId="28D71D67">
            <w:pPr>
              <w:pStyle w:val="31"/>
            </w:pPr>
            <w:r>
              <w:t>SO</w:t>
            </w:r>
            <w:r>
              <w:rPr>
                <w:vertAlign w:val="subscript"/>
              </w:rPr>
              <w:t>2</w:t>
            </w:r>
          </w:p>
        </w:tc>
        <w:tc>
          <w:tcPr>
            <w:tcW w:w="1172" w:type="pct"/>
            <w:vAlign w:val="center"/>
          </w:tcPr>
          <w:p w14:paraId="5F8FB09D">
            <w:pPr>
              <w:pStyle w:val="31"/>
            </w:pPr>
            <w:r>
              <w:t>年平均浓度</w:t>
            </w:r>
          </w:p>
        </w:tc>
        <w:tc>
          <w:tcPr>
            <w:tcW w:w="988" w:type="pct"/>
            <w:vAlign w:val="center"/>
          </w:tcPr>
          <w:p w14:paraId="267759B8">
            <w:pPr>
              <w:pStyle w:val="31"/>
              <w:rPr>
                <w:rFonts w:hint="eastAsia" w:eastAsia="宋体"/>
                <w:lang w:val="en-US" w:eastAsia="zh-CN"/>
              </w:rPr>
            </w:pPr>
            <w:r>
              <w:rPr>
                <w:rFonts w:hint="eastAsia"/>
                <w:lang w:val="en-US" w:eastAsia="zh-CN"/>
              </w:rPr>
              <w:t>8</w:t>
            </w:r>
          </w:p>
        </w:tc>
        <w:tc>
          <w:tcPr>
            <w:tcW w:w="912" w:type="pct"/>
            <w:vAlign w:val="center"/>
          </w:tcPr>
          <w:p w14:paraId="4BB9A3C9">
            <w:pPr>
              <w:pStyle w:val="31"/>
            </w:pPr>
            <w:r>
              <w:t>60</w:t>
            </w:r>
          </w:p>
        </w:tc>
        <w:tc>
          <w:tcPr>
            <w:tcW w:w="769" w:type="pct"/>
            <w:vAlign w:val="center"/>
          </w:tcPr>
          <w:p w14:paraId="2BCD3BD9">
            <w:pPr>
              <w:pStyle w:val="31"/>
              <w:rPr>
                <w:rFonts w:hint="default" w:eastAsia="宋体"/>
                <w:lang w:val="en-US" w:eastAsia="zh-CN"/>
              </w:rPr>
            </w:pPr>
            <w:r>
              <w:rPr>
                <w:rFonts w:hint="eastAsia"/>
                <w:lang w:val="en-US" w:eastAsia="zh-CN"/>
              </w:rPr>
              <w:t>13.33</w:t>
            </w:r>
          </w:p>
        </w:tc>
        <w:tc>
          <w:tcPr>
            <w:tcW w:w="527" w:type="pct"/>
            <w:vAlign w:val="center"/>
          </w:tcPr>
          <w:p w14:paraId="7B7DC7E6">
            <w:pPr>
              <w:pStyle w:val="31"/>
            </w:pPr>
            <w:r>
              <w:t>达标</w:t>
            </w:r>
          </w:p>
        </w:tc>
      </w:tr>
      <w:tr w14:paraId="39A1D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50992B6A">
            <w:pPr>
              <w:pStyle w:val="31"/>
            </w:pPr>
            <w:r>
              <w:t>NO</w:t>
            </w:r>
            <w:r>
              <w:rPr>
                <w:vertAlign w:val="subscript"/>
              </w:rPr>
              <w:t>2</w:t>
            </w:r>
          </w:p>
        </w:tc>
        <w:tc>
          <w:tcPr>
            <w:tcW w:w="1172" w:type="pct"/>
            <w:vAlign w:val="center"/>
          </w:tcPr>
          <w:p w14:paraId="1F236038">
            <w:pPr>
              <w:pStyle w:val="31"/>
            </w:pPr>
            <w:r>
              <w:t>年平均浓度</w:t>
            </w:r>
          </w:p>
        </w:tc>
        <w:tc>
          <w:tcPr>
            <w:tcW w:w="988" w:type="pct"/>
            <w:vAlign w:val="center"/>
          </w:tcPr>
          <w:p w14:paraId="2B2F0E99">
            <w:pPr>
              <w:pStyle w:val="31"/>
              <w:rPr>
                <w:rFonts w:hint="default" w:eastAsia="宋体"/>
                <w:lang w:val="en-US" w:eastAsia="zh-CN"/>
              </w:rPr>
            </w:pPr>
            <w:r>
              <w:rPr>
                <w:rFonts w:hint="eastAsia"/>
                <w:lang w:val="en-US" w:eastAsia="zh-CN"/>
              </w:rPr>
              <w:t>22</w:t>
            </w:r>
          </w:p>
        </w:tc>
        <w:tc>
          <w:tcPr>
            <w:tcW w:w="912" w:type="pct"/>
            <w:vAlign w:val="center"/>
          </w:tcPr>
          <w:p w14:paraId="474FDDA5">
            <w:pPr>
              <w:pStyle w:val="31"/>
            </w:pPr>
            <w:r>
              <w:t>40</w:t>
            </w:r>
          </w:p>
        </w:tc>
        <w:tc>
          <w:tcPr>
            <w:tcW w:w="769" w:type="pct"/>
            <w:vAlign w:val="center"/>
          </w:tcPr>
          <w:p w14:paraId="5DF6E984">
            <w:pPr>
              <w:pStyle w:val="31"/>
              <w:rPr>
                <w:rFonts w:hint="default" w:eastAsia="宋体"/>
                <w:lang w:val="en-US" w:eastAsia="zh-CN"/>
              </w:rPr>
            </w:pPr>
            <w:r>
              <w:rPr>
                <w:rFonts w:hint="eastAsia"/>
                <w:lang w:val="en-US" w:eastAsia="zh-CN"/>
              </w:rPr>
              <w:t>55.00</w:t>
            </w:r>
          </w:p>
        </w:tc>
        <w:tc>
          <w:tcPr>
            <w:tcW w:w="527" w:type="pct"/>
            <w:vAlign w:val="center"/>
          </w:tcPr>
          <w:p w14:paraId="64696057">
            <w:pPr>
              <w:pStyle w:val="31"/>
            </w:pPr>
            <w:r>
              <w:t>达标</w:t>
            </w:r>
          </w:p>
        </w:tc>
      </w:tr>
      <w:tr w14:paraId="0D4CA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12010DFB">
            <w:pPr>
              <w:pStyle w:val="31"/>
            </w:pPr>
            <w:r>
              <w:t>CO</w:t>
            </w:r>
          </w:p>
        </w:tc>
        <w:tc>
          <w:tcPr>
            <w:tcW w:w="1172" w:type="pct"/>
            <w:vAlign w:val="center"/>
          </w:tcPr>
          <w:p w14:paraId="4D820AB5">
            <w:pPr>
              <w:pStyle w:val="31"/>
            </w:pPr>
            <w:r>
              <w:t>24h平均浓度95百分位</w:t>
            </w:r>
          </w:p>
        </w:tc>
        <w:tc>
          <w:tcPr>
            <w:tcW w:w="988" w:type="pct"/>
            <w:vAlign w:val="center"/>
          </w:tcPr>
          <w:p w14:paraId="10E1A842">
            <w:pPr>
              <w:pStyle w:val="31"/>
              <w:rPr>
                <w:rFonts w:hint="default" w:eastAsia="宋体"/>
                <w:lang w:val="en-US" w:eastAsia="zh-CN"/>
              </w:rPr>
            </w:pPr>
            <w:r>
              <w:rPr>
                <w:rFonts w:hint="eastAsia"/>
                <w:lang w:val="en-US" w:eastAsia="zh-CN"/>
              </w:rPr>
              <w:t>1000</w:t>
            </w:r>
          </w:p>
        </w:tc>
        <w:tc>
          <w:tcPr>
            <w:tcW w:w="912" w:type="pct"/>
            <w:vAlign w:val="center"/>
          </w:tcPr>
          <w:p w14:paraId="3C00B209">
            <w:pPr>
              <w:pStyle w:val="31"/>
            </w:pPr>
            <w:r>
              <w:t>4000</w:t>
            </w:r>
          </w:p>
        </w:tc>
        <w:tc>
          <w:tcPr>
            <w:tcW w:w="769" w:type="pct"/>
            <w:vAlign w:val="center"/>
          </w:tcPr>
          <w:p w14:paraId="01BAD6BE">
            <w:pPr>
              <w:pStyle w:val="31"/>
              <w:rPr>
                <w:rFonts w:hint="default" w:eastAsia="宋体"/>
                <w:lang w:val="en-US" w:eastAsia="zh-CN"/>
              </w:rPr>
            </w:pPr>
            <w:r>
              <w:rPr>
                <w:rFonts w:hint="eastAsia"/>
                <w:lang w:val="en-US" w:eastAsia="zh-CN"/>
              </w:rPr>
              <w:t>25.00</w:t>
            </w:r>
          </w:p>
        </w:tc>
        <w:tc>
          <w:tcPr>
            <w:tcW w:w="527" w:type="pct"/>
            <w:vAlign w:val="center"/>
          </w:tcPr>
          <w:p w14:paraId="77CCF7D5">
            <w:pPr>
              <w:pStyle w:val="31"/>
            </w:pPr>
            <w:r>
              <w:t>达标</w:t>
            </w:r>
          </w:p>
        </w:tc>
      </w:tr>
      <w:tr w14:paraId="37D81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2" w:type="pct"/>
            <w:vAlign w:val="center"/>
          </w:tcPr>
          <w:p w14:paraId="514EE2FD">
            <w:pPr>
              <w:pStyle w:val="31"/>
            </w:pPr>
            <w:r>
              <w:t>O</w:t>
            </w:r>
            <w:r>
              <w:rPr>
                <w:vertAlign w:val="subscript"/>
              </w:rPr>
              <w:t>3</w:t>
            </w:r>
          </w:p>
        </w:tc>
        <w:tc>
          <w:tcPr>
            <w:tcW w:w="1172" w:type="pct"/>
            <w:vAlign w:val="center"/>
          </w:tcPr>
          <w:p w14:paraId="5A66EC5C">
            <w:pPr>
              <w:pStyle w:val="31"/>
            </w:pPr>
            <w:r>
              <w:t>最大8h平均浓度90百分位</w:t>
            </w:r>
          </w:p>
        </w:tc>
        <w:tc>
          <w:tcPr>
            <w:tcW w:w="988" w:type="pct"/>
            <w:vAlign w:val="center"/>
          </w:tcPr>
          <w:p w14:paraId="39866734">
            <w:pPr>
              <w:pStyle w:val="31"/>
              <w:rPr>
                <w:rFonts w:hint="default" w:eastAsia="宋体"/>
                <w:lang w:val="en-US" w:eastAsia="zh-CN"/>
              </w:rPr>
            </w:pPr>
            <w:r>
              <w:rPr>
                <w:rFonts w:hint="eastAsia"/>
                <w:lang w:val="en-US" w:eastAsia="zh-CN"/>
              </w:rPr>
              <w:t>134</w:t>
            </w:r>
          </w:p>
        </w:tc>
        <w:tc>
          <w:tcPr>
            <w:tcW w:w="912" w:type="pct"/>
            <w:vAlign w:val="center"/>
          </w:tcPr>
          <w:p w14:paraId="7432114D">
            <w:pPr>
              <w:pStyle w:val="31"/>
            </w:pPr>
            <w:r>
              <w:t>160</w:t>
            </w:r>
          </w:p>
        </w:tc>
        <w:tc>
          <w:tcPr>
            <w:tcW w:w="769" w:type="pct"/>
            <w:vAlign w:val="center"/>
          </w:tcPr>
          <w:p w14:paraId="3FCEA7E4">
            <w:pPr>
              <w:pStyle w:val="31"/>
              <w:rPr>
                <w:rFonts w:hint="default" w:eastAsia="宋体"/>
                <w:lang w:val="en-US" w:eastAsia="zh-CN"/>
              </w:rPr>
            </w:pPr>
            <w:r>
              <w:rPr>
                <w:rFonts w:hint="eastAsia"/>
                <w:lang w:val="en-US" w:eastAsia="zh-CN"/>
              </w:rPr>
              <w:t>83.75</w:t>
            </w:r>
          </w:p>
        </w:tc>
        <w:tc>
          <w:tcPr>
            <w:tcW w:w="527" w:type="pct"/>
            <w:vAlign w:val="center"/>
          </w:tcPr>
          <w:p w14:paraId="760BA579">
            <w:pPr>
              <w:pStyle w:val="31"/>
            </w:pPr>
            <w:r>
              <w:t>达标</w:t>
            </w:r>
          </w:p>
        </w:tc>
      </w:tr>
    </w:tbl>
    <w:p w14:paraId="1B0F338E">
      <w:pPr>
        <w:pStyle w:val="21"/>
        <w:ind w:firstLine="480"/>
      </w:pPr>
      <w:r>
        <w:rPr>
          <w:szCs w:val="32"/>
        </w:rPr>
        <w:t>经判定PM</w:t>
      </w:r>
      <w:r>
        <w:rPr>
          <w:szCs w:val="32"/>
          <w:vertAlign w:val="subscript"/>
        </w:rPr>
        <w:t>2.5</w:t>
      </w:r>
      <w:r>
        <w:rPr>
          <w:szCs w:val="32"/>
        </w:rPr>
        <w:t>、PM</w:t>
      </w:r>
      <w:r>
        <w:rPr>
          <w:szCs w:val="32"/>
          <w:vertAlign w:val="subscript"/>
        </w:rPr>
        <w:t>10</w:t>
      </w:r>
      <w:r>
        <w:rPr>
          <w:szCs w:val="32"/>
        </w:rPr>
        <w:t>、SO</w:t>
      </w:r>
      <w:r>
        <w:rPr>
          <w:szCs w:val="32"/>
          <w:vertAlign w:val="subscript"/>
        </w:rPr>
        <w:t>2</w:t>
      </w:r>
      <w:r>
        <w:rPr>
          <w:szCs w:val="32"/>
        </w:rPr>
        <w:t>、NO</w:t>
      </w:r>
      <w:r>
        <w:rPr>
          <w:szCs w:val="32"/>
          <w:vertAlign w:val="subscript"/>
        </w:rPr>
        <w:t>2</w:t>
      </w:r>
      <w:r>
        <w:rPr>
          <w:szCs w:val="32"/>
        </w:rPr>
        <w:t>年平均浓度、CO</w:t>
      </w:r>
      <w:r>
        <w:rPr>
          <w:szCs w:val="32"/>
          <w:vertAlign w:val="subscript"/>
        </w:rPr>
        <w:t>2</w:t>
      </w:r>
      <w:r>
        <w:rPr>
          <w:szCs w:val="32"/>
        </w:rPr>
        <w:t xml:space="preserve"> 4小时平均浓度、O</w:t>
      </w:r>
      <w:r>
        <w:rPr>
          <w:szCs w:val="32"/>
          <w:vertAlign w:val="subscript"/>
        </w:rPr>
        <w:t>3</w:t>
      </w:r>
      <w:r>
        <w:rPr>
          <w:szCs w:val="32"/>
        </w:rPr>
        <w:t>最大8小时平均浓度执行《环境空气质量标准》（GB3095-2012）二级标准，因此判定项目所在区域为达标区。</w:t>
      </w:r>
    </w:p>
    <w:p w14:paraId="099EDD28">
      <w:pPr>
        <w:pStyle w:val="33"/>
      </w:pPr>
      <w:bookmarkStart w:id="134" w:name="_Toc4062"/>
      <w:r>
        <w:rPr>
          <w:rFonts w:hint="eastAsia"/>
        </w:rPr>
        <w:t>4.2.2补充监测</w:t>
      </w:r>
      <w:bookmarkEnd w:id="134"/>
    </w:p>
    <w:p w14:paraId="77428361">
      <w:pPr>
        <w:pStyle w:val="21"/>
        <w:ind w:firstLine="480"/>
        <w:rPr>
          <w:rFonts w:hint="eastAsia"/>
          <w:szCs w:val="32"/>
        </w:rPr>
      </w:pPr>
      <w:r>
        <w:rPr>
          <w:rFonts w:hint="eastAsia"/>
        </w:rPr>
        <w:t>本次扩建项目特征污染物为颗粒物、挥发性有机物，</w:t>
      </w:r>
      <w:r>
        <w:rPr>
          <w:rFonts w:hint="eastAsia"/>
          <w:szCs w:val="32"/>
        </w:rPr>
        <w:t>次评价委托景倡源检测(湖南)有限公司</w:t>
      </w:r>
      <w:r>
        <w:rPr>
          <w:szCs w:val="32"/>
        </w:rPr>
        <w:t>于20</w:t>
      </w:r>
      <w:r>
        <w:rPr>
          <w:rFonts w:hint="eastAsia"/>
          <w:szCs w:val="32"/>
        </w:rPr>
        <w:t>2</w:t>
      </w:r>
      <w:r>
        <w:rPr>
          <w:rFonts w:hint="eastAsia"/>
          <w:szCs w:val="32"/>
          <w:lang w:val="en-US" w:eastAsia="zh-CN"/>
        </w:rPr>
        <w:t>5</w:t>
      </w:r>
      <w:r>
        <w:rPr>
          <w:szCs w:val="32"/>
        </w:rPr>
        <w:t>年</w:t>
      </w:r>
      <w:r>
        <w:rPr>
          <w:rFonts w:hint="eastAsia"/>
          <w:szCs w:val="32"/>
          <w:lang w:val="en-US" w:eastAsia="zh-CN"/>
        </w:rPr>
        <w:t>5</w:t>
      </w:r>
      <w:r>
        <w:rPr>
          <w:szCs w:val="32"/>
        </w:rPr>
        <w:t>月</w:t>
      </w:r>
      <w:r>
        <w:rPr>
          <w:color w:val="000000"/>
          <w:szCs w:val="32"/>
        </w:rPr>
        <w:t>16日</w:t>
      </w:r>
      <w:r>
        <w:rPr>
          <w:rFonts w:hint="eastAsia"/>
          <w:color w:val="000000"/>
          <w:szCs w:val="32"/>
        </w:rPr>
        <w:t>~</w:t>
      </w:r>
      <w:r>
        <w:rPr>
          <w:rFonts w:hint="eastAsia"/>
          <w:color w:val="000000"/>
          <w:szCs w:val="32"/>
          <w:lang w:val="en-US" w:eastAsia="zh-CN"/>
        </w:rPr>
        <w:t>22</w:t>
      </w:r>
      <w:r>
        <w:rPr>
          <w:rFonts w:hint="eastAsia"/>
          <w:color w:val="000000"/>
          <w:szCs w:val="32"/>
        </w:rPr>
        <w:t>日（连续</w:t>
      </w:r>
      <w:r>
        <w:rPr>
          <w:rFonts w:hint="eastAsia"/>
          <w:color w:val="000000"/>
          <w:szCs w:val="32"/>
          <w:lang w:val="en-US" w:eastAsia="zh-CN"/>
        </w:rPr>
        <w:t>7</w:t>
      </w:r>
      <w:r>
        <w:rPr>
          <w:rFonts w:hint="eastAsia"/>
          <w:color w:val="000000"/>
          <w:szCs w:val="32"/>
        </w:rPr>
        <w:t>日）</w:t>
      </w:r>
      <w:r>
        <w:rPr>
          <w:szCs w:val="32"/>
        </w:rPr>
        <w:t>对</w:t>
      </w:r>
      <w:r>
        <w:rPr>
          <w:rFonts w:hint="eastAsia"/>
          <w:szCs w:val="32"/>
        </w:rPr>
        <w:t>所在区域环境空气质量现状</w:t>
      </w:r>
      <w:bookmarkStart w:id="135" w:name="_Hlk157197759"/>
      <w:r>
        <w:rPr>
          <w:rFonts w:hint="eastAsia"/>
          <w:szCs w:val="32"/>
        </w:rPr>
        <w:t>进行监测，监测详情及结果如下：</w:t>
      </w:r>
      <w:bookmarkEnd w:id="135"/>
    </w:p>
    <w:p w14:paraId="551518F9">
      <w:pPr>
        <w:pStyle w:val="21"/>
        <w:ind w:firstLine="480"/>
        <w:rPr>
          <w:rFonts w:hint="eastAsia"/>
          <w:szCs w:val="32"/>
          <w:lang w:val="en-US" w:eastAsia="zh-CN"/>
        </w:rPr>
      </w:pPr>
      <w:r>
        <w:rPr>
          <w:rFonts w:hint="eastAsia"/>
          <w:szCs w:val="32"/>
          <w:lang w:val="en-US" w:eastAsia="zh-CN"/>
        </w:rPr>
        <w:t>（1）监测点位：</w:t>
      </w:r>
    </w:p>
    <w:p w14:paraId="19FFC607">
      <w:pPr>
        <w:pStyle w:val="21"/>
        <w:ind w:firstLine="480"/>
        <w:rPr>
          <w:rFonts w:hint="eastAsia"/>
          <w:szCs w:val="32"/>
          <w:lang w:val="en-US" w:eastAsia="zh-CN"/>
        </w:rPr>
      </w:pPr>
      <w:r>
        <w:rPr>
          <w:rFonts w:hint="eastAsia"/>
          <w:szCs w:val="32"/>
          <w:lang w:val="en-US" w:eastAsia="zh-CN"/>
        </w:rPr>
        <w:t>设置1个监测点位：G1项目南侧380m处木桥港居民点</w:t>
      </w:r>
    </w:p>
    <w:p w14:paraId="6882762F">
      <w:pPr>
        <w:pStyle w:val="21"/>
        <w:ind w:firstLine="480"/>
        <w:rPr>
          <w:rFonts w:hint="eastAsia"/>
          <w:szCs w:val="32"/>
          <w:lang w:val="en-US" w:eastAsia="zh-CN"/>
        </w:rPr>
      </w:pPr>
      <w:r>
        <w:rPr>
          <w:rFonts w:hint="eastAsia"/>
          <w:szCs w:val="32"/>
          <w:lang w:val="en-US" w:eastAsia="zh-CN"/>
        </w:rPr>
        <w:t>（2）监测因子</w:t>
      </w:r>
    </w:p>
    <w:p w14:paraId="53163070">
      <w:pPr>
        <w:pStyle w:val="21"/>
        <w:ind w:firstLine="480"/>
        <w:rPr>
          <w:rFonts w:hint="eastAsia"/>
          <w:szCs w:val="32"/>
          <w:lang w:val="en-US" w:eastAsia="zh-CN"/>
        </w:rPr>
      </w:pPr>
      <w:r>
        <w:rPr>
          <w:rFonts w:hint="eastAsia"/>
          <w:szCs w:val="32"/>
          <w:lang w:val="en-US" w:eastAsia="zh-CN"/>
        </w:rPr>
        <w:t>NMHC（小时均值）、TSP（日均值）</w:t>
      </w:r>
    </w:p>
    <w:p w14:paraId="7193BDDC">
      <w:pPr>
        <w:pStyle w:val="21"/>
        <w:ind w:firstLine="480"/>
        <w:rPr>
          <w:rFonts w:hint="eastAsia"/>
          <w:szCs w:val="32"/>
          <w:lang w:val="en-US" w:eastAsia="zh-CN"/>
        </w:rPr>
      </w:pPr>
      <w:r>
        <w:rPr>
          <w:rFonts w:hint="eastAsia"/>
          <w:szCs w:val="32"/>
          <w:lang w:val="en-US" w:eastAsia="zh-CN"/>
        </w:rPr>
        <w:t>（3）监测频次</w:t>
      </w:r>
    </w:p>
    <w:p w14:paraId="27803E10">
      <w:pPr>
        <w:pStyle w:val="21"/>
        <w:ind w:firstLine="480"/>
        <w:rPr>
          <w:rFonts w:hint="eastAsia"/>
          <w:szCs w:val="32"/>
          <w:lang w:val="en-US" w:eastAsia="zh-CN"/>
        </w:rPr>
      </w:pPr>
      <w:r>
        <w:rPr>
          <w:rFonts w:hint="eastAsia"/>
          <w:szCs w:val="32"/>
          <w:lang w:val="en-US" w:eastAsia="zh-CN"/>
        </w:rPr>
        <w:t>NMHC（小时均值）每日监测4次，连续监测7日；TSP（日均值）连续监测7日；</w:t>
      </w:r>
    </w:p>
    <w:p w14:paraId="49E5EE5A">
      <w:pPr>
        <w:pStyle w:val="21"/>
        <w:ind w:firstLine="480"/>
        <w:rPr>
          <w:rFonts w:hint="eastAsia"/>
          <w:szCs w:val="32"/>
          <w:lang w:val="en-US" w:eastAsia="zh-CN"/>
        </w:rPr>
      </w:pPr>
      <w:r>
        <w:rPr>
          <w:rFonts w:hint="eastAsia"/>
          <w:szCs w:val="32"/>
          <w:lang w:val="en-US" w:eastAsia="zh-CN"/>
        </w:rPr>
        <w:t>（4）监测结果及评价</w:t>
      </w:r>
    </w:p>
    <w:p w14:paraId="128D556F">
      <w:pPr>
        <w:pStyle w:val="23"/>
        <w:bidi w:val="0"/>
        <w:rPr>
          <w:rFonts w:hint="eastAsia"/>
          <w:lang w:val="en-US" w:eastAsia="zh-CN"/>
        </w:rPr>
      </w:pPr>
      <w:r>
        <w:rPr>
          <w:rFonts w:hint="eastAsia"/>
          <w:lang w:val="en-US" w:eastAsia="zh-CN"/>
        </w:rPr>
        <w:t>表4.2-2  补充监测结果及评价表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3"/>
        <w:gridCol w:w="1120"/>
        <w:gridCol w:w="2216"/>
        <w:gridCol w:w="1770"/>
        <w:gridCol w:w="1120"/>
      </w:tblGrid>
      <w:tr w14:paraId="0DCBF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pct"/>
          </w:tcPr>
          <w:p w14:paraId="2C5FFDF2">
            <w:pPr>
              <w:pStyle w:val="31"/>
              <w:bidi w:val="0"/>
              <w:rPr>
                <w:rFonts w:hint="default"/>
                <w:lang w:val="en-US" w:eastAsia="zh-CN"/>
              </w:rPr>
            </w:pPr>
            <w:r>
              <w:rPr>
                <w:rFonts w:hint="eastAsia"/>
                <w:lang w:val="en-US" w:eastAsia="zh-CN"/>
              </w:rPr>
              <w:t>监测点位</w:t>
            </w:r>
          </w:p>
        </w:tc>
        <w:tc>
          <w:tcPr>
            <w:tcW w:w="657" w:type="pct"/>
          </w:tcPr>
          <w:p w14:paraId="5D99C08F">
            <w:pPr>
              <w:pStyle w:val="31"/>
              <w:bidi w:val="0"/>
              <w:rPr>
                <w:rFonts w:hint="default"/>
                <w:lang w:val="en-US" w:eastAsia="zh-CN"/>
              </w:rPr>
            </w:pPr>
            <w:r>
              <w:rPr>
                <w:rFonts w:hint="eastAsia"/>
                <w:lang w:val="en-US" w:eastAsia="zh-CN"/>
              </w:rPr>
              <w:t>监测因子</w:t>
            </w:r>
          </w:p>
        </w:tc>
        <w:tc>
          <w:tcPr>
            <w:tcW w:w="1300" w:type="pct"/>
          </w:tcPr>
          <w:p w14:paraId="3480E8AE">
            <w:pPr>
              <w:pStyle w:val="31"/>
              <w:bidi w:val="0"/>
              <w:rPr>
                <w:rFonts w:hint="default"/>
                <w:vertAlign w:val="baseline"/>
                <w:lang w:val="en-US" w:eastAsia="zh-CN"/>
              </w:rPr>
            </w:pPr>
            <w:r>
              <w:rPr>
                <w:rFonts w:hint="eastAsia"/>
                <w:lang w:val="en-US" w:eastAsia="zh-CN"/>
              </w:rPr>
              <w:t>监测浓度范围mg/m</w:t>
            </w:r>
            <w:r>
              <w:rPr>
                <w:rFonts w:hint="eastAsia"/>
                <w:vertAlign w:val="superscript"/>
                <w:lang w:val="en-US" w:eastAsia="zh-CN"/>
              </w:rPr>
              <w:t>3</w:t>
            </w:r>
          </w:p>
        </w:tc>
        <w:tc>
          <w:tcPr>
            <w:tcW w:w="1038" w:type="pct"/>
          </w:tcPr>
          <w:p w14:paraId="2DDFC1D3">
            <w:pPr>
              <w:pStyle w:val="31"/>
              <w:bidi w:val="0"/>
              <w:rPr>
                <w:rFonts w:hint="default"/>
                <w:vertAlign w:val="baseline"/>
                <w:lang w:val="en-US" w:eastAsia="zh-CN"/>
              </w:rPr>
            </w:pPr>
            <w:r>
              <w:rPr>
                <w:rFonts w:hint="eastAsia"/>
                <w:lang w:val="en-US" w:eastAsia="zh-CN"/>
              </w:rPr>
              <w:t>标准限值mg/m</w:t>
            </w:r>
            <w:r>
              <w:rPr>
                <w:rFonts w:hint="eastAsia"/>
                <w:vertAlign w:val="superscript"/>
                <w:lang w:val="en-US" w:eastAsia="zh-CN"/>
              </w:rPr>
              <w:t>3</w:t>
            </w:r>
          </w:p>
        </w:tc>
        <w:tc>
          <w:tcPr>
            <w:tcW w:w="657" w:type="pct"/>
          </w:tcPr>
          <w:p w14:paraId="12F36F08">
            <w:pPr>
              <w:pStyle w:val="31"/>
              <w:bidi w:val="0"/>
              <w:rPr>
                <w:rFonts w:hint="default"/>
                <w:lang w:val="en-US" w:eastAsia="zh-CN"/>
              </w:rPr>
            </w:pPr>
            <w:r>
              <w:rPr>
                <w:rFonts w:hint="eastAsia"/>
                <w:lang w:val="en-US" w:eastAsia="zh-CN"/>
              </w:rPr>
              <w:t>达标情况</w:t>
            </w:r>
          </w:p>
        </w:tc>
      </w:tr>
      <w:tr w14:paraId="6AD99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pct"/>
            <w:vMerge w:val="restart"/>
          </w:tcPr>
          <w:p w14:paraId="50431F05">
            <w:pPr>
              <w:pStyle w:val="31"/>
              <w:bidi w:val="0"/>
              <w:rPr>
                <w:rFonts w:hint="default"/>
                <w:lang w:val="en-US" w:eastAsia="zh-CN"/>
              </w:rPr>
            </w:pPr>
            <w:r>
              <w:rPr>
                <w:rFonts w:hint="eastAsia"/>
                <w:szCs w:val="32"/>
                <w:lang w:val="en-US" w:eastAsia="zh-CN"/>
              </w:rPr>
              <w:t>G1项目南侧380m处木桥港居民点</w:t>
            </w:r>
          </w:p>
        </w:tc>
        <w:tc>
          <w:tcPr>
            <w:tcW w:w="657" w:type="pct"/>
          </w:tcPr>
          <w:p w14:paraId="36B90C78">
            <w:pPr>
              <w:pStyle w:val="31"/>
              <w:bidi w:val="0"/>
              <w:rPr>
                <w:rFonts w:hint="default"/>
                <w:lang w:val="en-US" w:eastAsia="zh-CN"/>
              </w:rPr>
            </w:pPr>
            <w:r>
              <w:rPr>
                <w:rFonts w:hint="eastAsia"/>
                <w:lang w:val="en-US" w:eastAsia="zh-CN"/>
              </w:rPr>
              <w:t>NMHC</w:t>
            </w:r>
          </w:p>
        </w:tc>
        <w:tc>
          <w:tcPr>
            <w:tcW w:w="1300" w:type="pct"/>
          </w:tcPr>
          <w:p w14:paraId="6EA35BFC">
            <w:pPr>
              <w:pStyle w:val="31"/>
              <w:bidi w:val="0"/>
              <w:rPr>
                <w:rFonts w:hint="default"/>
                <w:lang w:val="en-US" w:eastAsia="zh-CN"/>
              </w:rPr>
            </w:pPr>
            <w:r>
              <w:rPr>
                <w:rFonts w:hint="eastAsia"/>
                <w:lang w:val="en-US" w:eastAsia="zh-CN"/>
              </w:rPr>
              <w:t>0.56~1.66</w:t>
            </w:r>
          </w:p>
        </w:tc>
        <w:tc>
          <w:tcPr>
            <w:tcW w:w="1038" w:type="pct"/>
          </w:tcPr>
          <w:p w14:paraId="0552748A">
            <w:pPr>
              <w:pStyle w:val="31"/>
              <w:bidi w:val="0"/>
              <w:rPr>
                <w:rFonts w:hint="default"/>
                <w:lang w:val="en-US" w:eastAsia="zh-CN"/>
              </w:rPr>
            </w:pPr>
            <w:r>
              <w:rPr>
                <w:rFonts w:hint="eastAsia"/>
                <w:lang w:val="en-US" w:eastAsia="zh-CN"/>
              </w:rPr>
              <w:t>2.0</w:t>
            </w:r>
          </w:p>
        </w:tc>
        <w:tc>
          <w:tcPr>
            <w:tcW w:w="657" w:type="pct"/>
          </w:tcPr>
          <w:p w14:paraId="4001146C">
            <w:pPr>
              <w:pStyle w:val="31"/>
              <w:bidi w:val="0"/>
              <w:rPr>
                <w:rFonts w:hint="default"/>
                <w:lang w:val="en-US" w:eastAsia="zh-CN"/>
              </w:rPr>
            </w:pPr>
            <w:r>
              <w:rPr>
                <w:rFonts w:hint="eastAsia"/>
                <w:lang w:val="en-US" w:eastAsia="zh-CN"/>
              </w:rPr>
              <w:t>达标</w:t>
            </w:r>
          </w:p>
        </w:tc>
      </w:tr>
      <w:tr w14:paraId="0ED1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pct"/>
            <w:vMerge w:val="continue"/>
          </w:tcPr>
          <w:p w14:paraId="41F69F78">
            <w:pPr>
              <w:pStyle w:val="31"/>
              <w:bidi w:val="0"/>
              <w:rPr>
                <w:rFonts w:hint="default"/>
                <w:lang w:val="en-US" w:eastAsia="zh-CN"/>
              </w:rPr>
            </w:pPr>
          </w:p>
        </w:tc>
        <w:tc>
          <w:tcPr>
            <w:tcW w:w="657" w:type="pct"/>
          </w:tcPr>
          <w:p w14:paraId="53E6E441">
            <w:pPr>
              <w:pStyle w:val="31"/>
              <w:bidi w:val="0"/>
              <w:rPr>
                <w:rFonts w:hint="default"/>
                <w:lang w:val="en-US" w:eastAsia="zh-CN"/>
              </w:rPr>
            </w:pPr>
            <w:r>
              <w:rPr>
                <w:rFonts w:hint="eastAsia"/>
                <w:lang w:val="en-US" w:eastAsia="zh-CN"/>
              </w:rPr>
              <w:t>TSP</w:t>
            </w:r>
          </w:p>
        </w:tc>
        <w:tc>
          <w:tcPr>
            <w:tcW w:w="1300" w:type="pct"/>
          </w:tcPr>
          <w:p w14:paraId="6E755739">
            <w:pPr>
              <w:pStyle w:val="31"/>
              <w:bidi w:val="0"/>
              <w:rPr>
                <w:rFonts w:hint="default"/>
                <w:lang w:val="en-US" w:eastAsia="zh-CN"/>
              </w:rPr>
            </w:pPr>
            <w:r>
              <w:rPr>
                <w:rFonts w:hint="eastAsia"/>
                <w:lang w:val="en-US" w:eastAsia="zh-CN"/>
              </w:rPr>
              <w:t>0.089~0.094</w:t>
            </w:r>
          </w:p>
        </w:tc>
        <w:tc>
          <w:tcPr>
            <w:tcW w:w="1038" w:type="pct"/>
          </w:tcPr>
          <w:p w14:paraId="42A71F04">
            <w:pPr>
              <w:pStyle w:val="31"/>
              <w:bidi w:val="0"/>
              <w:rPr>
                <w:rFonts w:hint="default"/>
                <w:lang w:val="en-US" w:eastAsia="zh-CN"/>
              </w:rPr>
            </w:pPr>
            <w:r>
              <w:rPr>
                <w:rFonts w:hint="eastAsia"/>
                <w:lang w:val="en-US" w:eastAsia="zh-CN"/>
              </w:rPr>
              <w:t>0.3</w:t>
            </w:r>
          </w:p>
        </w:tc>
        <w:tc>
          <w:tcPr>
            <w:tcW w:w="657" w:type="pct"/>
          </w:tcPr>
          <w:p w14:paraId="5A7F6B34">
            <w:pPr>
              <w:pStyle w:val="31"/>
              <w:bidi w:val="0"/>
              <w:rPr>
                <w:rFonts w:hint="default"/>
                <w:lang w:val="en-US" w:eastAsia="zh-CN"/>
              </w:rPr>
            </w:pPr>
            <w:r>
              <w:rPr>
                <w:rFonts w:hint="eastAsia"/>
                <w:lang w:val="en-US" w:eastAsia="zh-CN"/>
              </w:rPr>
              <w:t>达标</w:t>
            </w:r>
          </w:p>
        </w:tc>
      </w:tr>
    </w:tbl>
    <w:p w14:paraId="3C981381">
      <w:pPr>
        <w:pStyle w:val="21"/>
        <w:rPr>
          <w:rFonts w:hint="default"/>
          <w:lang w:val="en-US" w:eastAsia="zh-CN"/>
        </w:rPr>
      </w:pPr>
      <w:r>
        <w:rPr>
          <w:rFonts w:hint="eastAsia"/>
          <w:lang w:val="en-US" w:eastAsia="zh-CN"/>
        </w:rPr>
        <w:t>根据监测结果可知，项目区域NMHC小时均值监测浓度能够满足《大气污染物综合排放标准详解》中推荐标准限值（≤2.0mg/m</w:t>
      </w:r>
      <w:r>
        <w:rPr>
          <w:rFonts w:hint="eastAsia"/>
          <w:vertAlign w:val="superscript"/>
          <w:lang w:val="en-US" w:eastAsia="zh-CN"/>
        </w:rPr>
        <w:t>3</w:t>
      </w:r>
      <w:r>
        <w:rPr>
          <w:rFonts w:hint="eastAsia"/>
          <w:lang w:val="en-US" w:eastAsia="zh-CN"/>
        </w:rPr>
        <w:t>），TSP日均值监测浓度均能满足《环境空气质量标准》（GB3095-2012）二级标准限值。</w:t>
      </w:r>
    </w:p>
    <w:p w14:paraId="7BB93787">
      <w:pPr>
        <w:pStyle w:val="28"/>
      </w:pPr>
      <w:bookmarkStart w:id="136" w:name="_Toc27490"/>
      <w:r>
        <w:rPr>
          <w:rFonts w:hint="eastAsia"/>
        </w:rPr>
        <w:t>4.3地表水环境质量现状</w:t>
      </w:r>
      <w:bookmarkEnd w:id="136"/>
    </w:p>
    <w:p w14:paraId="3433291D">
      <w:pPr>
        <w:pStyle w:val="33"/>
      </w:pPr>
      <w:bookmarkStart w:id="137" w:name="_Toc890"/>
      <w:r>
        <w:rPr>
          <w:rFonts w:hint="eastAsia"/>
        </w:rPr>
        <w:t>4.3.1国省控断面监测结论</w:t>
      </w:r>
      <w:bookmarkEnd w:id="137"/>
    </w:p>
    <w:p w14:paraId="00A2157E">
      <w:pPr>
        <w:pStyle w:val="21"/>
        <w:ind w:firstLine="480"/>
      </w:pPr>
      <w:r>
        <w:t>为了解项目所在区域地表水水质现状，本环评收集</w:t>
      </w:r>
      <w:r>
        <w:rPr>
          <w:rFonts w:hint="eastAsia"/>
        </w:rPr>
        <w:t>衡阳</w:t>
      </w:r>
      <w:r>
        <w:t>市生态环境局关于202</w:t>
      </w:r>
      <w:r>
        <w:rPr>
          <w:rFonts w:hint="eastAsia"/>
          <w:lang w:val="en-US" w:eastAsia="zh-CN"/>
        </w:rPr>
        <w:t>4</w:t>
      </w:r>
      <w:r>
        <w:t>年1月-12月全市环境质量状况的通报，调取202</w:t>
      </w:r>
      <w:r>
        <w:rPr>
          <w:rFonts w:hint="eastAsia"/>
          <w:lang w:val="en-US" w:eastAsia="zh-CN"/>
        </w:rPr>
        <w:t>4</w:t>
      </w:r>
      <w:r>
        <w:t>年度地表水监测断面水质状况，监测结果具体如下：</w:t>
      </w:r>
    </w:p>
    <w:p w14:paraId="21C83E6A">
      <w:pPr>
        <w:pStyle w:val="23"/>
      </w:pPr>
      <w:r>
        <w:rPr>
          <w:rFonts w:hint="eastAsia"/>
        </w:rPr>
        <w:t>表4.3-1  衡阳</w:t>
      </w:r>
      <w:r>
        <w:t>市地表水监测断面水质状况监测结果</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5"/>
        <w:gridCol w:w="637"/>
        <w:gridCol w:w="868"/>
        <w:gridCol w:w="636"/>
        <w:gridCol w:w="476"/>
        <w:gridCol w:w="476"/>
        <w:gridCol w:w="476"/>
        <w:gridCol w:w="476"/>
        <w:gridCol w:w="476"/>
        <w:gridCol w:w="476"/>
        <w:gridCol w:w="476"/>
        <w:gridCol w:w="476"/>
        <w:gridCol w:w="476"/>
        <w:gridCol w:w="512"/>
        <w:gridCol w:w="508"/>
        <w:gridCol w:w="512"/>
      </w:tblGrid>
      <w:tr w14:paraId="5CE7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restart"/>
            <w:vAlign w:val="center"/>
          </w:tcPr>
          <w:p w14:paraId="78917883">
            <w:pPr>
              <w:pStyle w:val="31"/>
            </w:pPr>
            <w:r>
              <w:t>所</w:t>
            </w:r>
            <w:r>
              <w:rPr>
                <w:rFonts w:hint="eastAsia"/>
              </w:rPr>
              <w:t>属流域</w:t>
            </w:r>
          </w:p>
        </w:tc>
        <w:tc>
          <w:tcPr>
            <w:tcW w:w="374" w:type="pct"/>
            <w:vMerge w:val="restart"/>
            <w:vAlign w:val="center"/>
          </w:tcPr>
          <w:p w14:paraId="7FC9251C">
            <w:pPr>
              <w:pStyle w:val="31"/>
            </w:pPr>
            <w:r>
              <w:t>河流名称</w:t>
            </w:r>
          </w:p>
        </w:tc>
        <w:tc>
          <w:tcPr>
            <w:tcW w:w="509" w:type="pct"/>
            <w:vMerge w:val="restart"/>
            <w:vAlign w:val="center"/>
          </w:tcPr>
          <w:p w14:paraId="62A1962F">
            <w:pPr>
              <w:pStyle w:val="31"/>
            </w:pPr>
            <w:r>
              <w:t>断面属性</w:t>
            </w:r>
          </w:p>
        </w:tc>
        <w:tc>
          <w:tcPr>
            <w:tcW w:w="373" w:type="pct"/>
            <w:vMerge w:val="restart"/>
            <w:vAlign w:val="center"/>
          </w:tcPr>
          <w:p w14:paraId="6C0B8261">
            <w:pPr>
              <w:pStyle w:val="31"/>
            </w:pPr>
            <w:r>
              <w:t>断面</w:t>
            </w:r>
            <w:r>
              <w:rPr>
                <w:rFonts w:hint="eastAsia"/>
              </w:rPr>
              <w:t>名称</w:t>
            </w:r>
          </w:p>
        </w:tc>
        <w:tc>
          <w:tcPr>
            <w:tcW w:w="3409" w:type="pct"/>
            <w:gridSpan w:val="12"/>
            <w:vAlign w:val="center"/>
          </w:tcPr>
          <w:p w14:paraId="1095C65E">
            <w:pPr>
              <w:pStyle w:val="31"/>
            </w:pPr>
            <w:r>
              <w:t>监测水质类别（202</w:t>
            </w:r>
            <w:r>
              <w:rPr>
                <w:rFonts w:hint="eastAsia"/>
                <w:lang w:val="en-US" w:eastAsia="zh-CN"/>
              </w:rPr>
              <w:t>4</w:t>
            </w:r>
            <w:r>
              <w:t>年）</w:t>
            </w:r>
          </w:p>
        </w:tc>
      </w:tr>
      <w:tr w14:paraId="08665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Merge w:val="continue"/>
            <w:vAlign w:val="center"/>
          </w:tcPr>
          <w:p w14:paraId="3FC44F13">
            <w:pPr>
              <w:pStyle w:val="31"/>
            </w:pPr>
          </w:p>
        </w:tc>
        <w:tc>
          <w:tcPr>
            <w:tcW w:w="374" w:type="pct"/>
            <w:vMerge w:val="continue"/>
            <w:vAlign w:val="center"/>
          </w:tcPr>
          <w:p w14:paraId="691A607F">
            <w:pPr>
              <w:pStyle w:val="31"/>
            </w:pPr>
          </w:p>
        </w:tc>
        <w:tc>
          <w:tcPr>
            <w:tcW w:w="509" w:type="pct"/>
            <w:vMerge w:val="continue"/>
            <w:vAlign w:val="center"/>
          </w:tcPr>
          <w:p w14:paraId="33F4C4C0">
            <w:pPr>
              <w:pStyle w:val="31"/>
            </w:pPr>
          </w:p>
        </w:tc>
        <w:tc>
          <w:tcPr>
            <w:tcW w:w="373" w:type="pct"/>
            <w:vMerge w:val="continue"/>
            <w:vAlign w:val="center"/>
          </w:tcPr>
          <w:p w14:paraId="502CC0B5">
            <w:pPr>
              <w:pStyle w:val="31"/>
            </w:pPr>
          </w:p>
        </w:tc>
        <w:tc>
          <w:tcPr>
            <w:tcW w:w="279" w:type="pct"/>
            <w:vAlign w:val="center"/>
          </w:tcPr>
          <w:p w14:paraId="5FE9BA1E">
            <w:pPr>
              <w:pStyle w:val="31"/>
            </w:pPr>
            <w:r>
              <w:t>1月</w:t>
            </w:r>
          </w:p>
        </w:tc>
        <w:tc>
          <w:tcPr>
            <w:tcW w:w="279" w:type="pct"/>
            <w:vAlign w:val="center"/>
          </w:tcPr>
          <w:p w14:paraId="2495ECFD">
            <w:pPr>
              <w:pStyle w:val="31"/>
            </w:pPr>
            <w:r>
              <w:t>2月</w:t>
            </w:r>
          </w:p>
        </w:tc>
        <w:tc>
          <w:tcPr>
            <w:tcW w:w="279" w:type="pct"/>
            <w:vAlign w:val="center"/>
          </w:tcPr>
          <w:p w14:paraId="26B16274">
            <w:pPr>
              <w:pStyle w:val="31"/>
            </w:pPr>
            <w:r>
              <w:t>3月</w:t>
            </w:r>
          </w:p>
        </w:tc>
        <w:tc>
          <w:tcPr>
            <w:tcW w:w="279" w:type="pct"/>
            <w:vAlign w:val="center"/>
          </w:tcPr>
          <w:p w14:paraId="7E1ACCFC">
            <w:pPr>
              <w:pStyle w:val="31"/>
            </w:pPr>
            <w:r>
              <w:t>4月</w:t>
            </w:r>
          </w:p>
        </w:tc>
        <w:tc>
          <w:tcPr>
            <w:tcW w:w="279" w:type="pct"/>
            <w:vAlign w:val="center"/>
          </w:tcPr>
          <w:p w14:paraId="6536DF5F">
            <w:pPr>
              <w:pStyle w:val="31"/>
            </w:pPr>
            <w:r>
              <w:t>5月</w:t>
            </w:r>
          </w:p>
        </w:tc>
        <w:tc>
          <w:tcPr>
            <w:tcW w:w="279" w:type="pct"/>
            <w:vAlign w:val="center"/>
          </w:tcPr>
          <w:p w14:paraId="05243B39">
            <w:pPr>
              <w:pStyle w:val="31"/>
            </w:pPr>
            <w:r>
              <w:t>6月</w:t>
            </w:r>
          </w:p>
        </w:tc>
        <w:tc>
          <w:tcPr>
            <w:tcW w:w="279" w:type="pct"/>
            <w:vAlign w:val="center"/>
          </w:tcPr>
          <w:p w14:paraId="5A00A8E9">
            <w:pPr>
              <w:pStyle w:val="31"/>
            </w:pPr>
            <w:r>
              <w:t>7月</w:t>
            </w:r>
          </w:p>
        </w:tc>
        <w:tc>
          <w:tcPr>
            <w:tcW w:w="279" w:type="pct"/>
            <w:vAlign w:val="center"/>
          </w:tcPr>
          <w:p w14:paraId="665CDD1E">
            <w:pPr>
              <w:pStyle w:val="31"/>
            </w:pPr>
            <w:r>
              <w:t>8月</w:t>
            </w:r>
          </w:p>
        </w:tc>
        <w:tc>
          <w:tcPr>
            <w:tcW w:w="279" w:type="pct"/>
            <w:vAlign w:val="center"/>
          </w:tcPr>
          <w:p w14:paraId="139BA603">
            <w:pPr>
              <w:pStyle w:val="31"/>
            </w:pPr>
            <w:r>
              <w:t>9月</w:t>
            </w:r>
          </w:p>
        </w:tc>
        <w:tc>
          <w:tcPr>
            <w:tcW w:w="300" w:type="pct"/>
            <w:vAlign w:val="center"/>
          </w:tcPr>
          <w:p w14:paraId="553C79F6">
            <w:pPr>
              <w:pStyle w:val="31"/>
            </w:pPr>
            <w:r>
              <w:t>10月</w:t>
            </w:r>
          </w:p>
        </w:tc>
        <w:tc>
          <w:tcPr>
            <w:tcW w:w="298" w:type="pct"/>
            <w:vAlign w:val="center"/>
          </w:tcPr>
          <w:p w14:paraId="0C1FA70A">
            <w:pPr>
              <w:pStyle w:val="31"/>
            </w:pPr>
            <w:r>
              <w:t>11月</w:t>
            </w:r>
          </w:p>
        </w:tc>
        <w:tc>
          <w:tcPr>
            <w:tcW w:w="296" w:type="pct"/>
            <w:vAlign w:val="center"/>
          </w:tcPr>
          <w:p w14:paraId="3557E7DA">
            <w:pPr>
              <w:pStyle w:val="31"/>
            </w:pPr>
            <w:r>
              <w:t>12月</w:t>
            </w:r>
          </w:p>
        </w:tc>
      </w:tr>
      <w:tr w14:paraId="1A3A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2" w:type="pct"/>
            <w:vAlign w:val="center"/>
          </w:tcPr>
          <w:p w14:paraId="597262A5">
            <w:pPr>
              <w:pStyle w:val="31"/>
            </w:pPr>
            <w:r>
              <w:rPr>
                <w:rFonts w:hint="eastAsia"/>
              </w:rPr>
              <w:t>湘江流域</w:t>
            </w:r>
          </w:p>
        </w:tc>
        <w:tc>
          <w:tcPr>
            <w:tcW w:w="374" w:type="pct"/>
            <w:vAlign w:val="center"/>
          </w:tcPr>
          <w:p w14:paraId="143F2C82">
            <w:pPr>
              <w:pStyle w:val="31"/>
            </w:pPr>
            <w:r>
              <w:rPr>
                <w:rFonts w:hint="eastAsia"/>
              </w:rPr>
              <w:t>湘江</w:t>
            </w:r>
          </w:p>
        </w:tc>
        <w:tc>
          <w:tcPr>
            <w:tcW w:w="509" w:type="pct"/>
            <w:vAlign w:val="center"/>
          </w:tcPr>
          <w:p w14:paraId="569B4587">
            <w:pPr>
              <w:pStyle w:val="31"/>
            </w:pPr>
            <w:r>
              <w:rPr>
                <w:rFonts w:hint="eastAsia"/>
              </w:rPr>
              <w:t>衡山县（左）衡东县（右）</w:t>
            </w:r>
          </w:p>
        </w:tc>
        <w:tc>
          <w:tcPr>
            <w:tcW w:w="373" w:type="pct"/>
            <w:vAlign w:val="center"/>
          </w:tcPr>
          <w:p w14:paraId="1DC71EC4">
            <w:pPr>
              <w:pStyle w:val="31"/>
            </w:pPr>
            <w:r>
              <w:rPr>
                <w:rFonts w:hint="eastAsia"/>
              </w:rPr>
              <w:t>熬洲</w:t>
            </w:r>
          </w:p>
        </w:tc>
        <w:tc>
          <w:tcPr>
            <w:tcW w:w="279" w:type="pct"/>
            <w:vAlign w:val="center"/>
          </w:tcPr>
          <w:p w14:paraId="7AF40D0E">
            <w:pPr>
              <w:pStyle w:val="31"/>
            </w:pPr>
            <w:r>
              <w:t>Ⅱ</w:t>
            </w:r>
          </w:p>
        </w:tc>
        <w:tc>
          <w:tcPr>
            <w:tcW w:w="279" w:type="pct"/>
            <w:vAlign w:val="center"/>
          </w:tcPr>
          <w:p w14:paraId="7FA5D9B4">
            <w:pPr>
              <w:pStyle w:val="31"/>
            </w:pPr>
            <w:r>
              <w:t>Ⅱ</w:t>
            </w:r>
          </w:p>
        </w:tc>
        <w:tc>
          <w:tcPr>
            <w:tcW w:w="279" w:type="pct"/>
            <w:vAlign w:val="center"/>
          </w:tcPr>
          <w:p w14:paraId="189DC5E7">
            <w:pPr>
              <w:pStyle w:val="31"/>
            </w:pPr>
            <w:r>
              <w:t>Ⅱ</w:t>
            </w:r>
          </w:p>
        </w:tc>
        <w:tc>
          <w:tcPr>
            <w:tcW w:w="279" w:type="pct"/>
            <w:vAlign w:val="center"/>
          </w:tcPr>
          <w:p w14:paraId="77BDFDF7">
            <w:pPr>
              <w:pStyle w:val="31"/>
              <w:rPr>
                <w:rFonts w:hint="eastAsia" w:eastAsia="宋体"/>
                <w:lang w:eastAsia="zh-CN"/>
              </w:rPr>
            </w:pPr>
            <w:r>
              <w:rPr>
                <w:rFonts w:hint="eastAsia"/>
                <w:lang w:val="en-US" w:eastAsia="zh-CN"/>
              </w:rPr>
              <w:t>Ⅲ</w:t>
            </w:r>
          </w:p>
        </w:tc>
        <w:tc>
          <w:tcPr>
            <w:tcW w:w="279" w:type="pct"/>
            <w:vAlign w:val="center"/>
          </w:tcPr>
          <w:p w14:paraId="4EC4DEC5">
            <w:pPr>
              <w:pStyle w:val="31"/>
            </w:pPr>
            <w:r>
              <w:rPr>
                <w:rFonts w:hint="eastAsia"/>
                <w:lang w:val="en-US" w:eastAsia="zh-CN"/>
              </w:rPr>
              <w:t>Ⅲ</w:t>
            </w:r>
          </w:p>
        </w:tc>
        <w:tc>
          <w:tcPr>
            <w:tcW w:w="279" w:type="pct"/>
            <w:vAlign w:val="center"/>
          </w:tcPr>
          <w:p w14:paraId="71A31716">
            <w:pPr>
              <w:pStyle w:val="31"/>
            </w:pPr>
            <w:r>
              <w:rPr>
                <w:rFonts w:hint="eastAsia"/>
                <w:lang w:val="en-US" w:eastAsia="zh-CN"/>
              </w:rPr>
              <w:t>Ⅲ</w:t>
            </w:r>
          </w:p>
        </w:tc>
        <w:tc>
          <w:tcPr>
            <w:tcW w:w="279" w:type="pct"/>
            <w:vAlign w:val="center"/>
          </w:tcPr>
          <w:p w14:paraId="18B999EF">
            <w:pPr>
              <w:pStyle w:val="31"/>
            </w:pPr>
            <w:r>
              <w:rPr>
                <w:rFonts w:cs="Times New Roman"/>
              </w:rPr>
              <w:t>Ⅱ</w:t>
            </w:r>
          </w:p>
        </w:tc>
        <w:tc>
          <w:tcPr>
            <w:tcW w:w="279" w:type="pct"/>
            <w:vAlign w:val="center"/>
          </w:tcPr>
          <w:p w14:paraId="235331E1">
            <w:pPr>
              <w:pStyle w:val="31"/>
            </w:pPr>
            <w:r>
              <w:rPr>
                <w:rFonts w:cs="Times New Roman"/>
              </w:rPr>
              <w:t>Ⅱ</w:t>
            </w:r>
          </w:p>
        </w:tc>
        <w:tc>
          <w:tcPr>
            <w:tcW w:w="279" w:type="pct"/>
            <w:vAlign w:val="center"/>
          </w:tcPr>
          <w:p w14:paraId="49AD463A">
            <w:pPr>
              <w:pStyle w:val="31"/>
            </w:pPr>
            <w:r>
              <w:rPr>
                <w:rFonts w:cs="Times New Roman"/>
              </w:rPr>
              <w:t>Ⅱ</w:t>
            </w:r>
          </w:p>
        </w:tc>
        <w:tc>
          <w:tcPr>
            <w:tcW w:w="300" w:type="pct"/>
            <w:vAlign w:val="center"/>
          </w:tcPr>
          <w:p w14:paraId="176BEF79">
            <w:pPr>
              <w:pStyle w:val="31"/>
            </w:pPr>
            <w:r>
              <w:rPr>
                <w:rFonts w:cs="Times New Roman"/>
              </w:rPr>
              <w:t>Ⅱ</w:t>
            </w:r>
          </w:p>
        </w:tc>
        <w:tc>
          <w:tcPr>
            <w:tcW w:w="298" w:type="pct"/>
            <w:vAlign w:val="center"/>
          </w:tcPr>
          <w:p w14:paraId="22CEA49D">
            <w:pPr>
              <w:pStyle w:val="31"/>
            </w:pPr>
            <w:r>
              <w:rPr>
                <w:rFonts w:cs="Times New Roman"/>
              </w:rPr>
              <w:t>Ⅱ</w:t>
            </w:r>
          </w:p>
        </w:tc>
        <w:tc>
          <w:tcPr>
            <w:tcW w:w="296" w:type="pct"/>
            <w:vAlign w:val="center"/>
          </w:tcPr>
          <w:p w14:paraId="6C8DE297">
            <w:pPr>
              <w:pStyle w:val="31"/>
            </w:pPr>
            <w:r>
              <w:rPr>
                <w:rFonts w:cs="Times New Roman"/>
              </w:rPr>
              <w:t>Ⅱ</w:t>
            </w:r>
          </w:p>
        </w:tc>
      </w:tr>
    </w:tbl>
    <w:p w14:paraId="762602EB">
      <w:pPr>
        <w:pStyle w:val="21"/>
        <w:ind w:firstLine="480"/>
        <w:rPr>
          <w:rFonts w:hint="eastAsia"/>
          <w:szCs w:val="32"/>
          <w:lang w:eastAsia="zh-CN"/>
        </w:rPr>
      </w:pPr>
      <w:r>
        <w:rPr>
          <w:szCs w:val="32"/>
        </w:rPr>
        <w:t>根据公布结果显示，</w:t>
      </w:r>
      <w:r>
        <w:rPr>
          <w:rFonts w:hint="eastAsia"/>
          <w:szCs w:val="32"/>
        </w:rPr>
        <w:t>湘江-熬洲断面</w:t>
      </w:r>
      <w:r>
        <w:rPr>
          <w:szCs w:val="32"/>
        </w:rPr>
        <w:t>（位于项目</w:t>
      </w:r>
      <w:r>
        <w:rPr>
          <w:rFonts w:hint="eastAsia"/>
          <w:szCs w:val="32"/>
        </w:rPr>
        <w:t>上游</w:t>
      </w:r>
      <w:r>
        <w:rPr>
          <w:rFonts w:hint="eastAsia"/>
          <w:szCs w:val="32"/>
          <w:lang w:val="en-US" w:eastAsia="zh-CN"/>
        </w:rPr>
        <w:t>8.6</w:t>
      </w:r>
      <w:r>
        <w:rPr>
          <w:szCs w:val="32"/>
        </w:rPr>
        <w:t>km处）水质监测结果各项指标均</w:t>
      </w:r>
      <w:r>
        <w:rPr>
          <w:rFonts w:hint="eastAsia"/>
          <w:szCs w:val="32"/>
        </w:rPr>
        <w:t>满足</w:t>
      </w:r>
      <w:r>
        <w:rPr>
          <w:szCs w:val="32"/>
        </w:rPr>
        <w:t>《地表水环境质量标准》（GB3838-2002）中</w:t>
      </w:r>
      <w:r>
        <w:rPr>
          <w:rFonts w:hint="eastAsia"/>
          <w:szCs w:val="32"/>
          <w:lang w:val="en-US" w:eastAsia="zh-CN"/>
        </w:rPr>
        <w:t>Ⅲ</w:t>
      </w:r>
      <w:r>
        <w:rPr>
          <w:szCs w:val="32"/>
        </w:rPr>
        <w:t>类标准</w:t>
      </w:r>
      <w:r>
        <w:rPr>
          <w:rFonts w:hint="eastAsia"/>
          <w:szCs w:val="32"/>
          <w:lang w:eastAsia="zh-CN"/>
        </w:rPr>
        <w:t>。</w:t>
      </w:r>
    </w:p>
    <w:p w14:paraId="23E2362A">
      <w:pPr>
        <w:pStyle w:val="21"/>
        <w:ind w:firstLine="480"/>
        <w:rPr>
          <w:rFonts w:hint="default"/>
          <w:szCs w:val="32"/>
          <w:lang w:val="en-US" w:eastAsia="zh-CN"/>
        </w:rPr>
      </w:pPr>
      <w:r>
        <w:rPr>
          <w:rFonts w:hint="eastAsia"/>
          <w:szCs w:val="32"/>
          <w:lang w:val="en-US" w:eastAsia="zh-CN"/>
        </w:rPr>
        <w:t>另外根据衡东县人民政府公布的《衡东县环境质量监测月报》，2024年1月~12月，三樟镇自来水厂取水口（位于本项目上游3.4km处）水质均能满足</w:t>
      </w:r>
      <w:r>
        <w:rPr>
          <w:szCs w:val="32"/>
        </w:rPr>
        <w:t>《地表水环境质量标准》（GB3838-2002）中</w:t>
      </w:r>
      <w:r>
        <w:rPr>
          <w:rFonts w:hint="eastAsia"/>
          <w:szCs w:val="32"/>
          <w:lang w:val="en-US" w:eastAsia="zh-CN"/>
        </w:rPr>
        <w:t>Ⅲ</w:t>
      </w:r>
      <w:r>
        <w:rPr>
          <w:szCs w:val="32"/>
        </w:rPr>
        <w:t>类标准</w:t>
      </w:r>
      <w:r>
        <w:rPr>
          <w:rFonts w:hint="eastAsia"/>
          <w:szCs w:val="32"/>
          <w:lang w:eastAsia="zh-CN"/>
        </w:rPr>
        <w:t>。</w:t>
      </w:r>
    </w:p>
    <w:p w14:paraId="7BA74D71">
      <w:pPr>
        <w:pStyle w:val="33"/>
        <w:rPr>
          <w:rFonts w:hint="default" w:eastAsia="宋体"/>
          <w:lang w:val="en-US" w:eastAsia="zh-CN"/>
        </w:rPr>
      </w:pPr>
      <w:bookmarkStart w:id="138" w:name="_Toc1851"/>
      <w:r>
        <w:rPr>
          <w:rFonts w:hint="eastAsia"/>
        </w:rPr>
        <w:t>4.3.2</w:t>
      </w:r>
      <w:r>
        <w:rPr>
          <w:rFonts w:hint="eastAsia"/>
          <w:lang w:val="en-US" w:eastAsia="zh-CN"/>
        </w:rPr>
        <w:t>引用监测数据</w:t>
      </w:r>
      <w:bookmarkEnd w:id="138"/>
    </w:p>
    <w:p w14:paraId="02D4531B">
      <w:pPr>
        <w:pStyle w:val="21"/>
        <w:ind w:firstLine="480"/>
        <w:rPr>
          <w:rFonts w:hint="eastAsia" w:ascii="Times New Roman" w:hAnsi="Times New Roman" w:cs="Times New Roman"/>
          <w:vertAlign w:val="baseline"/>
          <w:lang w:val="en-US" w:eastAsia="zh-CN"/>
        </w:rPr>
      </w:pPr>
      <w:r>
        <w:rPr>
          <w:rFonts w:hint="eastAsia"/>
          <w:lang w:val="en-US" w:eastAsia="zh-CN"/>
        </w:rPr>
        <w:t>本项目污水经处理达标后排入湘江，排污口设置位于本项目岸线下游边界处湘江右岸，排污口坐标为</w:t>
      </w:r>
      <w:r>
        <w:rPr>
          <w:rFonts w:hint="default" w:ascii="Times New Roman" w:hAnsi="Times New Roman" w:cs="Times New Roman"/>
          <w:vertAlign w:val="baseline"/>
          <w:lang w:val="en-US" w:eastAsia="zh-CN"/>
        </w:rPr>
        <w:t>E112°55′17.43″，N27°23′54.26″</w:t>
      </w:r>
      <w:r>
        <w:rPr>
          <w:rFonts w:hint="eastAsia" w:ascii="Times New Roman" w:hAnsi="Times New Roman" w:cs="Times New Roman"/>
          <w:vertAlign w:val="baseline"/>
          <w:lang w:val="en-US" w:eastAsia="zh-CN"/>
        </w:rPr>
        <w:t>。本次需调查排污口上游和下游湘江水质情况，分别引用《衡东县三樟镇污水处理厂入河排污口设置论证报告》及《湖南省鑫安畜牧有限公司入河排污口设置论证报告》中检测数据，引用断面及监测因子情况如下：</w:t>
      </w:r>
    </w:p>
    <w:p w14:paraId="416142F0">
      <w:pPr>
        <w:pStyle w:val="23"/>
        <w:bidi w:val="0"/>
        <w:rPr>
          <w:rFonts w:hint="eastAsia"/>
          <w:lang w:val="en-US" w:eastAsia="zh-CN"/>
        </w:rPr>
      </w:pPr>
      <w:r>
        <w:rPr>
          <w:rFonts w:hint="eastAsia"/>
          <w:lang w:val="en-US" w:eastAsia="zh-CN"/>
        </w:rPr>
        <w:t>表4.3-2  引用地表水监测数据情况表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4"/>
        <w:gridCol w:w="1704"/>
        <w:gridCol w:w="1704"/>
      </w:tblGrid>
      <w:tr w14:paraId="0F3E3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Align w:val="center"/>
          </w:tcPr>
          <w:p w14:paraId="32B859E5">
            <w:pPr>
              <w:pStyle w:val="31"/>
              <w:bidi w:val="0"/>
              <w:jc w:val="center"/>
              <w:rPr>
                <w:rFonts w:hint="default"/>
                <w:lang w:val="en-US" w:eastAsia="zh-CN"/>
              </w:rPr>
            </w:pPr>
            <w:r>
              <w:rPr>
                <w:rFonts w:hint="eastAsia"/>
                <w:lang w:val="en-US" w:eastAsia="zh-CN"/>
              </w:rPr>
              <w:t>数据来源</w:t>
            </w:r>
          </w:p>
        </w:tc>
        <w:tc>
          <w:tcPr>
            <w:tcW w:w="1703" w:type="dxa"/>
            <w:vAlign w:val="center"/>
          </w:tcPr>
          <w:p w14:paraId="6D56E38D">
            <w:pPr>
              <w:pStyle w:val="31"/>
              <w:bidi w:val="0"/>
              <w:jc w:val="center"/>
              <w:rPr>
                <w:rFonts w:hint="default"/>
                <w:lang w:val="en-US" w:eastAsia="zh-CN"/>
              </w:rPr>
            </w:pPr>
            <w:r>
              <w:rPr>
                <w:rFonts w:hint="eastAsia"/>
                <w:lang w:val="en-US" w:eastAsia="zh-CN"/>
              </w:rPr>
              <w:t>引用断面</w:t>
            </w:r>
          </w:p>
        </w:tc>
        <w:tc>
          <w:tcPr>
            <w:tcW w:w="1704" w:type="dxa"/>
            <w:vAlign w:val="center"/>
          </w:tcPr>
          <w:p w14:paraId="7FE9971F">
            <w:pPr>
              <w:pStyle w:val="31"/>
              <w:bidi w:val="0"/>
              <w:jc w:val="center"/>
              <w:rPr>
                <w:rFonts w:hint="default"/>
                <w:lang w:val="en-US" w:eastAsia="zh-CN"/>
              </w:rPr>
            </w:pPr>
            <w:r>
              <w:rPr>
                <w:rFonts w:hint="eastAsia"/>
                <w:lang w:val="en-US" w:eastAsia="zh-CN"/>
              </w:rPr>
              <w:t>与本项目排污口位置关系</w:t>
            </w:r>
          </w:p>
        </w:tc>
        <w:tc>
          <w:tcPr>
            <w:tcW w:w="1704" w:type="dxa"/>
            <w:vAlign w:val="center"/>
          </w:tcPr>
          <w:p w14:paraId="21036FB0">
            <w:pPr>
              <w:pStyle w:val="31"/>
              <w:bidi w:val="0"/>
              <w:jc w:val="center"/>
              <w:rPr>
                <w:rFonts w:hint="default"/>
                <w:lang w:val="en-US" w:eastAsia="zh-CN"/>
              </w:rPr>
            </w:pPr>
            <w:r>
              <w:rPr>
                <w:rFonts w:hint="eastAsia"/>
                <w:lang w:val="en-US" w:eastAsia="zh-CN"/>
              </w:rPr>
              <w:t>引用监测因子</w:t>
            </w:r>
          </w:p>
        </w:tc>
        <w:tc>
          <w:tcPr>
            <w:tcW w:w="1704" w:type="dxa"/>
            <w:vAlign w:val="center"/>
          </w:tcPr>
          <w:p w14:paraId="79DE9C7C">
            <w:pPr>
              <w:pStyle w:val="31"/>
              <w:bidi w:val="0"/>
              <w:jc w:val="center"/>
              <w:rPr>
                <w:rFonts w:hint="default"/>
                <w:lang w:val="en-US" w:eastAsia="zh-CN"/>
              </w:rPr>
            </w:pPr>
            <w:r>
              <w:rPr>
                <w:rFonts w:hint="eastAsia"/>
                <w:lang w:val="en-US" w:eastAsia="zh-CN"/>
              </w:rPr>
              <w:t>监测时间</w:t>
            </w:r>
          </w:p>
        </w:tc>
      </w:tr>
      <w:tr w14:paraId="3046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vAlign w:val="center"/>
          </w:tcPr>
          <w:p w14:paraId="7F67206C">
            <w:pPr>
              <w:pStyle w:val="31"/>
              <w:bidi w:val="0"/>
              <w:jc w:val="center"/>
              <w:rPr>
                <w:rFonts w:hint="default"/>
                <w:lang w:val="en-US" w:eastAsia="zh-CN"/>
              </w:rPr>
            </w:pPr>
            <w:r>
              <w:rPr>
                <w:rFonts w:hint="eastAsia" w:ascii="Times New Roman" w:hAnsi="Times New Roman" w:cs="Times New Roman"/>
                <w:vertAlign w:val="baseline"/>
                <w:lang w:val="en-US" w:eastAsia="zh-CN"/>
              </w:rPr>
              <w:t>衡东县三樟镇污水处理厂入河排污口设置论证报告</w:t>
            </w:r>
          </w:p>
        </w:tc>
        <w:tc>
          <w:tcPr>
            <w:tcW w:w="1703" w:type="dxa"/>
            <w:vAlign w:val="center"/>
          </w:tcPr>
          <w:p w14:paraId="1485BBB8">
            <w:pPr>
              <w:pStyle w:val="31"/>
              <w:bidi w:val="0"/>
              <w:jc w:val="center"/>
              <w:rPr>
                <w:rFonts w:hint="default"/>
                <w:lang w:val="en-US" w:eastAsia="zh-CN"/>
              </w:rPr>
            </w:pPr>
            <w:r>
              <w:rPr>
                <w:rFonts w:hint="eastAsia"/>
                <w:lang w:val="en-US" w:eastAsia="zh-CN"/>
              </w:rPr>
              <w:t>SW1三樟镇污水处理厂排污口上游500m处断面</w:t>
            </w:r>
          </w:p>
        </w:tc>
        <w:tc>
          <w:tcPr>
            <w:tcW w:w="1704" w:type="dxa"/>
            <w:vAlign w:val="center"/>
          </w:tcPr>
          <w:p w14:paraId="0E111D1C">
            <w:pPr>
              <w:pStyle w:val="31"/>
              <w:bidi w:val="0"/>
              <w:jc w:val="center"/>
              <w:rPr>
                <w:rFonts w:hint="default"/>
                <w:lang w:val="en-US" w:eastAsia="zh-CN"/>
              </w:rPr>
            </w:pPr>
            <w:r>
              <w:rPr>
                <w:rFonts w:hint="eastAsia"/>
                <w:lang w:val="en-US" w:eastAsia="zh-CN"/>
              </w:rPr>
              <w:t>位于本项目排污口上游2.7km处</w:t>
            </w:r>
          </w:p>
        </w:tc>
        <w:tc>
          <w:tcPr>
            <w:tcW w:w="1704" w:type="dxa"/>
            <w:vMerge w:val="restart"/>
            <w:vAlign w:val="center"/>
          </w:tcPr>
          <w:p w14:paraId="26CC9273">
            <w:pPr>
              <w:pStyle w:val="31"/>
              <w:bidi w:val="0"/>
              <w:jc w:val="center"/>
              <w:rPr>
                <w:rFonts w:hint="default"/>
                <w:lang w:val="en-US" w:eastAsia="zh-CN"/>
              </w:rPr>
            </w:pPr>
            <w:r>
              <w:t>pH、CODCr、SS、BOD</w:t>
            </w:r>
            <w:r>
              <w:rPr>
                <w:vertAlign w:val="subscript"/>
              </w:rPr>
              <w:t>5</w:t>
            </w:r>
            <w:r>
              <w:t>、</w:t>
            </w:r>
            <w:r>
              <w:rPr>
                <w:rFonts w:hint="eastAsia"/>
              </w:rPr>
              <w:t>高锰酸盐指数、总磷、总氮、</w:t>
            </w:r>
            <w:r>
              <w:t>氨氮、石油类、粪大肠菌群</w:t>
            </w:r>
          </w:p>
        </w:tc>
        <w:tc>
          <w:tcPr>
            <w:tcW w:w="1704" w:type="dxa"/>
            <w:vMerge w:val="restart"/>
            <w:vAlign w:val="center"/>
          </w:tcPr>
          <w:p w14:paraId="3BED61D1">
            <w:pPr>
              <w:pStyle w:val="31"/>
              <w:bidi w:val="0"/>
              <w:jc w:val="center"/>
              <w:rPr>
                <w:rFonts w:hint="default"/>
                <w:lang w:val="en-US" w:eastAsia="zh-CN"/>
              </w:rPr>
            </w:pPr>
            <w:r>
              <w:rPr>
                <w:szCs w:val="24"/>
              </w:rPr>
              <w:t>20</w:t>
            </w:r>
            <w:r>
              <w:rPr>
                <w:rFonts w:hint="eastAsia"/>
                <w:szCs w:val="24"/>
              </w:rPr>
              <w:t>2</w:t>
            </w:r>
            <w:r>
              <w:rPr>
                <w:szCs w:val="24"/>
              </w:rPr>
              <w:t>4年</w:t>
            </w:r>
            <w:r>
              <w:rPr>
                <w:rFonts w:hint="eastAsia"/>
                <w:szCs w:val="24"/>
              </w:rPr>
              <w:t>4</w:t>
            </w:r>
            <w:r>
              <w:rPr>
                <w:szCs w:val="24"/>
              </w:rPr>
              <w:t>月</w:t>
            </w:r>
            <w:r>
              <w:rPr>
                <w:rFonts w:hint="eastAsia"/>
                <w:szCs w:val="24"/>
              </w:rPr>
              <w:t>24</w:t>
            </w:r>
            <w:r>
              <w:rPr>
                <w:szCs w:val="24"/>
              </w:rPr>
              <w:t>日</w:t>
            </w:r>
            <w:r>
              <w:rPr>
                <w:rFonts w:hint="eastAsia"/>
                <w:szCs w:val="24"/>
              </w:rPr>
              <w:t>～26</w:t>
            </w:r>
            <w:r>
              <w:rPr>
                <w:szCs w:val="24"/>
              </w:rPr>
              <w:t>日</w:t>
            </w:r>
          </w:p>
        </w:tc>
      </w:tr>
      <w:tr w14:paraId="46325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vAlign w:val="center"/>
          </w:tcPr>
          <w:p w14:paraId="0067549C">
            <w:pPr>
              <w:pStyle w:val="31"/>
              <w:bidi w:val="0"/>
              <w:jc w:val="center"/>
              <w:rPr>
                <w:rFonts w:hint="default"/>
                <w:lang w:val="en-US" w:eastAsia="zh-CN"/>
              </w:rPr>
            </w:pPr>
          </w:p>
        </w:tc>
        <w:tc>
          <w:tcPr>
            <w:tcW w:w="1703" w:type="dxa"/>
            <w:vAlign w:val="center"/>
          </w:tcPr>
          <w:p w14:paraId="4C41C71F">
            <w:pPr>
              <w:pStyle w:val="31"/>
              <w:bidi w:val="0"/>
              <w:jc w:val="center"/>
              <w:rPr>
                <w:rFonts w:hint="default"/>
                <w:lang w:val="en-US" w:eastAsia="zh-CN"/>
              </w:rPr>
            </w:pPr>
            <w:r>
              <w:rPr>
                <w:rFonts w:hint="eastAsia"/>
                <w:lang w:val="en-US" w:eastAsia="zh-CN"/>
              </w:rPr>
              <w:t>SW2三樟镇污水处理厂排污口下游1000m处</w:t>
            </w:r>
          </w:p>
        </w:tc>
        <w:tc>
          <w:tcPr>
            <w:tcW w:w="1704" w:type="dxa"/>
            <w:vAlign w:val="center"/>
          </w:tcPr>
          <w:p w14:paraId="48CF3A3E">
            <w:pPr>
              <w:pStyle w:val="31"/>
              <w:bidi w:val="0"/>
              <w:jc w:val="center"/>
              <w:rPr>
                <w:rFonts w:hint="default"/>
                <w:lang w:val="en-US" w:eastAsia="zh-CN"/>
              </w:rPr>
            </w:pPr>
            <w:r>
              <w:rPr>
                <w:rFonts w:hint="eastAsia"/>
                <w:lang w:val="en-US" w:eastAsia="zh-CN"/>
              </w:rPr>
              <w:t>位于本项目排污口上游1.2km处</w:t>
            </w:r>
          </w:p>
        </w:tc>
        <w:tc>
          <w:tcPr>
            <w:tcW w:w="1704" w:type="dxa"/>
            <w:vMerge w:val="continue"/>
            <w:vAlign w:val="center"/>
          </w:tcPr>
          <w:p w14:paraId="179308AB">
            <w:pPr>
              <w:pStyle w:val="31"/>
              <w:bidi w:val="0"/>
              <w:jc w:val="center"/>
              <w:rPr>
                <w:rFonts w:hint="default"/>
                <w:lang w:val="en-US" w:eastAsia="zh-CN"/>
              </w:rPr>
            </w:pPr>
          </w:p>
        </w:tc>
        <w:tc>
          <w:tcPr>
            <w:tcW w:w="1704" w:type="dxa"/>
            <w:vMerge w:val="continue"/>
            <w:vAlign w:val="center"/>
          </w:tcPr>
          <w:p w14:paraId="34BE4240">
            <w:pPr>
              <w:pStyle w:val="31"/>
              <w:bidi w:val="0"/>
              <w:jc w:val="center"/>
              <w:rPr>
                <w:rFonts w:hint="default"/>
                <w:lang w:val="en-US" w:eastAsia="zh-CN"/>
              </w:rPr>
            </w:pPr>
          </w:p>
        </w:tc>
      </w:tr>
      <w:tr w14:paraId="2E940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restart"/>
            <w:vAlign w:val="center"/>
          </w:tcPr>
          <w:p w14:paraId="4EC83A47">
            <w:pPr>
              <w:pStyle w:val="31"/>
              <w:bidi w:val="0"/>
              <w:jc w:val="center"/>
              <w:rPr>
                <w:rFonts w:hint="default"/>
                <w:lang w:val="en-US" w:eastAsia="zh-CN"/>
              </w:rPr>
            </w:pPr>
            <w:r>
              <w:rPr>
                <w:rFonts w:hint="eastAsia" w:ascii="Times New Roman" w:hAnsi="Times New Roman" w:cs="Times New Roman"/>
                <w:vertAlign w:val="baseline"/>
                <w:lang w:val="en-US" w:eastAsia="zh-CN"/>
              </w:rPr>
              <w:t>湖南省鑫安畜牧有限公司入河排污口设置论证报告</w:t>
            </w:r>
          </w:p>
        </w:tc>
        <w:tc>
          <w:tcPr>
            <w:tcW w:w="1703" w:type="dxa"/>
            <w:vAlign w:val="center"/>
          </w:tcPr>
          <w:p w14:paraId="394A154C">
            <w:pPr>
              <w:pStyle w:val="31"/>
              <w:bidi w:val="0"/>
              <w:jc w:val="center"/>
              <w:rPr>
                <w:rFonts w:hint="default"/>
                <w:lang w:val="en-US" w:eastAsia="zh-CN"/>
              </w:rPr>
            </w:pPr>
            <w:r>
              <w:rPr>
                <w:rFonts w:hint="eastAsia"/>
                <w:lang w:val="en-US" w:eastAsia="zh-CN"/>
              </w:rPr>
              <w:t>SW3</w:t>
            </w:r>
            <w:r>
              <w:rPr>
                <w:rFonts w:hint="eastAsia" w:ascii="Times New Roman" w:hAnsi="Times New Roman" w:cs="Times New Roman"/>
                <w:vertAlign w:val="baseline"/>
                <w:lang w:val="en-US" w:eastAsia="zh-CN"/>
              </w:rPr>
              <w:t>湖南省鑫安畜牧有限公司排污口上游500m处</w:t>
            </w:r>
          </w:p>
        </w:tc>
        <w:tc>
          <w:tcPr>
            <w:tcW w:w="1704" w:type="dxa"/>
            <w:vAlign w:val="center"/>
          </w:tcPr>
          <w:p w14:paraId="4AEE7310">
            <w:pPr>
              <w:pStyle w:val="31"/>
              <w:bidi w:val="0"/>
              <w:jc w:val="center"/>
              <w:rPr>
                <w:rFonts w:hint="default"/>
                <w:lang w:val="en-US" w:eastAsia="zh-CN"/>
              </w:rPr>
            </w:pPr>
            <w:r>
              <w:rPr>
                <w:rFonts w:hint="eastAsia"/>
                <w:lang w:val="en-US" w:eastAsia="zh-CN"/>
              </w:rPr>
              <w:t>位于本项目排污口下游6.5km处</w:t>
            </w:r>
          </w:p>
        </w:tc>
        <w:tc>
          <w:tcPr>
            <w:tcW w:w="1704" w:type="dxa"/>
            <w:vMerge w:val="restart"/>
            <w:vAlign w:val="center"/>
          </w:tcPr>
          <w:p w14:paraId="1B27DFF8">
            <w:pPr>
              <w:pStyle w:val="31"/>
              <w:bidi w:val="0"/>
              <w:jc w:val="center"/>
              <w:rPr>
                <w:rFonts w:hint="default"/>
                <w:lang w:val="en-US" w:eastAsia="zh-CN"/>
              </w:rPr>
            </w:pPr>
            <w:r>
              <w:rPr>
                <w:rFonts w:hint="eastAsia"/>
              </w:rPr>
              <w:t>pH值、COD、氨氮、总磷、总氮、BOD</w:t>
            </w:r>
            <w:r>
              <w:rPr>
                <w:rFonts w:hint="eastAsia"/>
                <w:vertAlign w:val="subscript"/>
              </w:rPr>
              <w:t>5</w:t>
            </w:r>
            <w:r>
              <w:rPr>
                <w:rFonts w:hint="eastAsia"/>
              </w:rPr>
              <w:t>、SS、石油类、动植物油、粪大肠菌群</w:t>
            </w:r>
          </w:p>
        </w:tc>
        <w:tc>
          <w:tcPr>
            <w:tcW w:w="1704" w:type="dxa"/>
            <w:vMerge w:val="restart"/>
            <w:vAlign w:val="center"/>
          </w:tcPr>
          <w:p w14:paraId="31B1FBEF">
            <w:pPr>
              <w:pStyle w:val="31"/>
              <w:bidi w:val="0"/>
              <w:jc w:val="center"/>
              <w:rPr>
                <w:rFonts w:hint="default"/>
                <w:lang w:val="en-US" w:eastAsia="zh-CN"/>
              </w:rPr>
            </w:pPr>
            <w:r>
              <w:rPr>
                <w:szCs w:val="24"/>
              </w:rPr>
              <w:t>20</w:t>
            </w:r>
            <w:r>
              <w:rPr>
                <w:rFonts w:hint="eastAsia"/>
                <w:szCs w:val="24"/>
              </w:rPr>
              <w:t>2</w:t>
            </w:r>
            <w:r>
              <w:rPr>
                <w:szCs w:val="24"/>
              </w:rPr>
              <w:t>4年</w:t>
            </w:r>
            <w:r>
              <w:rPr>
                <w:rFonts w:hint="eastAsia"/>
                <w:szCs w:val="24"/>
              </w:rPr>
              <w:t>9</w:t>
            </w:r>
            <w:r>
              <w:rPr>
                <w:szCs w:val="24"/>
              </w:rPr>
              <w:t>月</w:t>
            </w:r>
            <w:r>
              <w:rPr>
                <w:rFonts w:hint="eastAsia"/>
                <w:szCs w:val="24"/>
              </w:rPr>
              <w:t>14</w:t>
            </w:r>
            <w:r>
              <w:rPr>
                <w:szCs w:val="24"/>
              </w:rPr>
              <w:t>日</w:t>
            </w:r>
            <w:r>
              <w:rPr>
                <w:rFonts w:hint="eastAsia"/>
                <w:szCs w:val="24"/>
              </w:rPr>
              <w:t>～16</w:t>
            </w:r>
            <w:r>
              <w:rPr>
                <w:szCs w:val="24"/>
              </w:rPr>
              <w:t>日</w:t>
            </w:r>
          </w:p>
        </w:tc>
      </w:tr>
      <w:tr w14:paraId="12FB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vMerge w:val="continue"/>
            <w:vAlign w:val="center"/>
          </w:tcPr>
          <w:p w14:paraId="72B31A7D">
            <w:pPr>
              <w:pStyle w:val="31"/>
              <w:bidi w:val="0"/>
              <w:jc w:val="center"/>
              <w:rPr>
                <w:rFonts w:hint="default"/>
                <w:lang w:val="en-US" w:eastAsia="zh-CN"/>
              </w:rPr>
            </w:pPr>
          </w:p>
        </w:tc>
        <w:tc>
          <w:tcPr>
            <w:tcW w:w="1703" w:type="dxa"/>
            <w:vAlign w:val="center"/>
          </w:tcPr>
          <w:p w14:paraId="2429D5C1">
            <w:pPr>
              <w:pStyle w:val="31"/>
              <w:bidi w:val="0"/>
              <w:jc w:val="center"/>
              <w:rPr>
                <w:rFonts w:hint="default"/>
                <w:lang w:val="en-US" w:eastAsia="zh-CN"/>
              </w:rPr>
            </w:pPr>
            <w:r>
              <w:rPr>
                <w:rFonts w:hint="eastAsia"/>
                <w:lang w:val="en-US" w:eastAsia="zh-CN"/>
              </w:rPr>
              <w:t>SW4</w:t>
            </w:r>
            <w:r>
              <w:rPr>
                <w:rFonts w:hint="eastAsia" w:ascii="Times New Roman" w:hAnsi="Times New Roman" w:cs="Times New Roman"/>
                <w:vertAlign w:val="baseline"/>
                <w:lang w:val="en-US" w:eastAsia="zh-CN"/>
              </w:rPr>
              <w:t>湖南省鑫安畜牧有限公司排污口下游1000m处</w:t>
            </w:r>
          </w:p>
        </w:tc>
        <w:tc>
          <w:tcPr>
            <w:tcW w:w="1704" w:type="dxa"/>
            <w:vAlign w:val="center"/>
          </w:tcPr>
          <w:p w14:paraId="531401EB">
            <w:pPr>
              <w:pStyle w:val="31"/>
              <w:bidi w:val="0"/>
              <w:jc w:val="center"/>
              <w:rPr>
                <w:rFonts w:hint="default"/>
                <w:lang w:val="en-US" w:eastAsia="zh-CN"/>
              </w:rPr>
            </w:pPr>
            <w:r>
              <w:rPr>
                <w:rFonts w:hint="eastAsia"/>
                <w:lang w:val="en-US" w:eastAsia="zh-CN"/>
              </w:rPr>
              <w:t>位于本项目排污口下游8.0km处</w:t>
            </w:r>
          </w:p>
        </w:tc>
        <w:tc>
          <w:tcPr>
            <w:tcW w:w="1704" w:type="dxa"/>
            <w:vMerge w:val="continue"/>
            <w:vAlign w:val="center"/>
          </w:tcPr>
          <w:p w14:paraId="085A7EAD">
            <w:pPr>
              <w:pStyle w:val="31"/>
              <w:bidi w:val="0"/>
              <w:jc w:val="center"/>
              <w:rPr>
                <w:rFonts w:hint="default"/>
                <w:lang w:val="en-US" w:eastAsia="zh-CN"/>
              </w:rPr>
            </w:pPr>
          </w:p>
        </w:tc>
        <w:tc>
          <w:tcPr>
            <w:tcW w:w="1704" w:type="dxa"/>
            <w:vMerge w:val="continue"/>
            <w:vAlign w:val="center"/>
          </w:tcPr>
          <w:p w14:paraId="79706535">
            <w:pPr>
              <w:pStyle w:val="31"/>
              <w:bidi w:val="0"/>
              <w:jc w:val="center"/>
              <w:rPr>
                <w:rFonts w:hint="default"/>
                <w:lang w:val="en-US" w:eastAsia="zh-CN"/>
              </w:rPr>
            </w:pPr>
          </w:p>
        </w:tc>
      </w:tr>
    </w:tbl>
    <w:p w14:paraId="1D9D7931">
      <w:pPr>
        <w:pStyle w:val="21"/>
        <w:rPr>
          <w:rFonts w:hint="eastAsia"/>
          <w:lang w:val="en-US" w:eastAsia="zh-CN"/>
        </w:rPr>
      </w:pPr>
      <w:r>
        <w:rPr>
          <w:rFonts w:hint="eastAsia"/>
          <w:lang w:val="en-US" w:eastAsia="zh-CN"/>
        </w:rPr>
        <w:t>引用监测结果如下：</w:t>
      </w:r>
    </w:p>
    <w:p w14:paraId="229E5C99">
      <w:pPr>
        <w:pStyle w:val="23"/>
        <w:bidi w:val="0"/>
        <w:rPr>
          <w:rFonts w:hint="default"/>
          <w:lang w:val="en-US" w:eastAsia="zh-CN"/>
        </w:rPr>
      </w:pPr>
      <w:r>
        <w:rPr>
          <w:rFonts w:hint="eastAsia"/>
          <w:lang w:val="en-US" w:eastAsia="zh-CN"/>
        </w:rPr>
        <w:t>表4.3-3  引用三樟镇污水处理厂入河排污口设置论证监测数据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588"/>
        <w:gridCol w:w="921"/>
        <w:gridCol w:w="1132"/>
        <w:gridCol w:w="1132"/>
        <w:gridCol w:w="1138"/>
        <w:gridCol w:w="796"/>
        <w:gridCol w:w="683"/>
      </w:tblGrid>
      <w:tr w14:paraId="72F6B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restart"/>
            <w:vAlign w:val="center"/>
          </w:tcPr>
          <w:p w14:paraId="0B50CDD9">
            <w:pPr>
              <w:pStyle w:val="31"/>
              <w:bidi w:val="0"/>
            </w:pPr>
            <w:r>
              <w:rPr>
                <w:rFonts w:hint="eastAsia"/>
              </w:rPr>
              <w:t>监测点位</w:t>
            </w:r>
          </w:p>
        </w:tc>
        <w:tc>
          <w:tcPr>
            <w:tcW w:w="931" w:type="pct"/>
            <w:vMerge w:val="restart"/>
            <w:vAlign w:val="center"/>
          </w:tcPr>
          <w:p w14:paraId="35F5B02F">
            <w:pPr>
              <w:pStyle w:val="31"/>
              <w:bidi w:val="0"/>
            </w:pPr>
            <w:r>
              <w:rPr>
                <w:rFonts w:hint="eastAsia"/>
              </w:rPr>
              <w:t>监测项目</w:t>
            </w:r>
          </w:p>
        </w:tc>
        <w:tc>
          <w:tcPr>
            <w:tcW w:w="540" w:type="pct"/>
            <w:vMerge w:val="restart"/>
            <w:vAlign w:val="center"/>
          </w:tcPr>
          <w:p w14:paraId="2D74D750">
            <w:pPr>
              <w:pStyle w:val="31"/>
              <w:bidi w:val="0"/>
            </w:pPr>
            <w:r>
              <w:rPr>
                <w:rFonts w:hint="eastAsia"/>
              </w:rPr>
              <w:t>单位</w:t>
            </w:r>
          </w:p>
        </w:tc>
        <w:tc>
          <w:tcPr>
            <w:tcW w:w="1995" w:type="pct"/>
            <w:gridSpan w:val="3"/>
            <w:vAlign w:val="center"/>
          </w:tcPr>
          <w:p w14:paraId="7674E28A">
            <w:pPr>
              <w:pStyle w:val="31"/>
              <w:bidi w:val="0"/>
            </w:pPr>
            <w:r>
              <w:rPr>
                <w:rFonts w:hint="eastAsia"/>
              </w:rPr>
              <w:t>监测结果</w:t>
            </w:r>
          </w:p>
        </w:tc>
        <w:tc>
          <w:tcPr>
            <w:tcW w:w="467" w:type="pct"/>
            <w:vMerge w:val="restart"/>
            <w:vAlign w:val="center"/>
          </w:tcPr>
          <w:p w14:paraId="7D23B719">
            <w:pPr>
              <w:pStyle w:val="31"/>
              <w:bidi w:val="0"/>
            </w:pPr>
            <w:r>
              <w:rPr>
                <w:rFonts w:hint="eastAsia"/>
              </w:rPr>
              <w:t>标准</w:t>
            </w:r>
          </w:p>
          <w:p w14:paraId="5E343ABB">
            <w:pPr>
              <w:pStyle w:val="31"/>
              <w:bidi w:val="0"/>
            </w:pPr>
            <w:r>
              <w:rPr>
                <w:rFonts w:hint="eastAsia"/>
              </w:rPr>
              <w:t>限值</w:t>
            </w:r>
          </w:p>
        </w:tc>
        <w:tc>
          <w:tcPr>
            <w:tcW w:w="400" w:type="pct"/>
            <w:vMerge w:val="restart"/>
            <w:vAlign w:val="center"/>
          </w:tcPr>
          <w:p w14:paraId="14BE137E">
            <w:pPr>
              <w:pStyle w:val="31"/>
              <w:bidi w:val="0"/>
            </w:pPr>
            <w:r>
              <w:rPr>
                <w:rFonts w:hint="eastAsia"/>
              </w:rPr>
              <w:t>达标</w:t>
            </w:r>
          </w:p>
          <w:p w14:paraId="5AFE9067">
            <w:pPr>
              <w:pStyle w:val="31"/>
              <w:bidi w:val="0"/>
            </w:pPr>
            <w:r>
              <w:rPr>
                <w:rFonts w:hint="eastAsia"/>
              </w:rPr>
              <w:t>情况</w:t>
            </w:r>
          </w:p>
        </w:tc>
      </w:tr>
      <w:tr w14:paraId="145F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7D1C9FB5">
            <w:pPr>
              <w:pStyle w:val="31"/>
              <w:bidi w:val="0"/>
            </w:pPr>
          </w:p>
        </w:tc>
        <w:tc>
          <w:tcPr>
            <w:tcW w:w="931" w:type="pct"/>
            <w:vMerge w:val="continue"/>
            <w:vAlign w:val="center"/>
          </w:tcPr>
          <w:p w14:paraId="4E27EF8B">
            <w:pPr>
              <w:pStyle w:val="31"/>
              <w:bidi w:val="0"/>
            </w:pPr>
          </w:p>
        </w:tc>
        <w:tc>
          <w:tcPr>
            <w:tcW w:w="540" w:type="pct"/>
            <w:vMerge w:val="continue"/>
            <w:vAlign w:val="center"/>
          </w:tcPr>
          <w:p w14:paraId="6D1D8D06">
            <w:pPr>
              <w:pStyle w:val="31"/>
              <w:bidi w:val="0"/>
            </w:pPr>
          </w:p>
        </w:tc>
        <w:tc>
          <w:tcPr>
            <w:tcW w:w="664" w:type="pct"/>
            <w:vAlign w:val="center"/>
          </w:tcPr>
          <w:p w14:paraId="21B7FDBE">
            <w:pPr>
              <w:pStyle w:val="31"/>
              <w:bidi w:val="0"/>
            </w:pPr>
            <w:r>
              <w:rPr>
                <w:rFonts w:hint="eastAsia"/>
              </w:rPr>
              <w:t>2</w:t>
            </w:r>
            <w:r>
              <w:t>0240</w:t>
            </w:r>
            <w:r>
              <w:rPr>
                <w:rFonts w:hint="eastAsia"/>
              </w:rPr>
              <w:t>424</w:t>
            </w:r>
          </w:p>
        </w:tc>
        <w:tc>
          <w:tcPr>
            <w:tcW w:w="664" w:type="pct"/>
            <w:vAlign w:val="center"/>
          </w:tcPr>
          <w:p w14:paraId="2A8E1E7E">
            <w:pPr>
              <w:pStyle w:val="31"/>
              <w:bidi w:val="0"/>
            </w:pPr>
            <w:r>
              <w:rPr>
                <w:rFonts w:hint="eastAsia"/>
              </w:rPr>
              <w:t>2</w:t>
            </w:r>
            <w:r>
              <w:t>0240</w:t>
            </w:r>
            <w:r>
              <w:rPr>
                <w:rFonts w:hint="eastAsia"/>
              </w:rPr>
              <w:t>425</w:t>
            </w:r>
          </w:p>
        </w:tc>
        <w:tc>
          <w:tcPr>
            <w:tcW w:w="665" w:type="pct"/>
            <w:vAlign w:val="center"/>
          </w:tcPr>
          <w:p w14:paraId="293491A8">
            <w:pPr>
              <w:pStyle w:val="31"/>
              <w:bidi w:val="0"/>
            </w:pPr>
            <w:r>
              <w:rPr>
                <w:rFonts w:hint="eastAsia"/>
              </w:rPr>
              <w:t>2</w:t>
            </w:r>
            <w:r>
              <w:t>0240</w:t>
            </w:r>
            <w:r>
              <w:rPr>
                <w:rFonts w:hint="eastAsia"/>
              </w:rPr>
              <w:t>426</w:t>
            </w:r>
          </w:p>
        </w:tc>
        <w:tc>
          <w:tcPr>
            <w:tcW w:w="467" w:type="pct"/>
            <w:vMerge w:val="continue"/>
            <w:vAlign w:val="center"/>
          </w:tcPr>
          <w:p w14:paraId="60C49140">
            <w:pPr>
              <w:pStyle w:val="31"/>
              <w:bidi w:val="0"/>
            </w:pPr>
          </w:p>
        </w:tc>
        <w:tc>
          <w:tcPr>
            <w:tcW w:w="400" w:type="pct"/>
            <w:vMerge w:val="continue"/>
            <w:vAlign w:val="center"/>
          </w:tcPr>
          <w:p w14:paraId="70053F6E">
            <w:pPr>
              <w:pStyle w:val="31"/>
              <w:bidi w:val="0"/>
            </w:pPr>
          </w:p>
        </w:tc>
      </w:tr>
      <w:tr w14:paraId="38DF6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4" w:type="pct"/>
            <w:vMerge w:val="restart"/>
            <w:vAlign w:val="center"/>
          </w:tcPr>
          <w:p w14:paraId="279F395B">
            <w:pPr>
              <w:pStyle w:val="31"/>
              <w:bidi w:val="0"/>
            </w:pPr>
            <w:r>
              <w:rPr>
                <w:rFonts w:hint="eastAsia"/>
                <w:lang w:val="en-US" w:eastAsia="zh-CN"/>
              </w:rPr>
              <w:t>SW1三樟镇污水处理厂排污口上游500m处断面</w:t>
            </w:r>
          </w:p>
        </w:tc>
        <w:tc>
          <w:tcPr>
            <w:tcW w:w="931" w:type="pct"/>
            <w:vAlign w:val="center"/>
          </w:tcPr>
          <w:p w14:paraId="22681427">
            <w:pPr>
              <w:pStyle w:val="31"/>
              <w:bidi w:val="0"/>
            </w:pPr>
            <w:r>
              <w:rPr>
                <w:rFonts w:hint="eastAsia"/>
              </w:rPr>
              <w:t>p</w:t>
            </w:r>
            <w:r>
              <w:t>H</w:t>
            </w:r>
            <w:r>
              <w:rPr>
                <w:rFonts w:hint="eastAsia"/>
              </w:rPr>
              <w:t>值</w:t>
            </w:r>
          </w:p>
        </w:tc>
        <w:tc>
          <w:tcPr>
            <w:tcW w:w="540" w:type="pct"/>
            <w:vAlign w:val="center"/>
          </w:tcPr>
          <w:p w14:paraId="0DD9E993">
            <w:pPr>
              <w:pStyle w:val="31"/>
              <w:bidi w:val="0"/>
            </w:pPr>
            <w:r>
              <w:rPr>
                <w:rFonts w:hint="eastAsia"/>
              </w:rPr>
              <w:t>无量纲</w:t>
            </w:r>
          </w:p>
        </w:tc>
        <w:tc>
          <w:tcPr>
            <w:tcW w:w="664" w:type="pct"/>
            <w:vAlign w:val="center"/>
          </w:tcPr>
          <w:p w14:paraId="7BE251DD">
            <w:pPr>
              <w:pStyle w:val="31"/>
              <w:bidi w:val="0"/>
            </w:pPr>
            <w:r>
              <w:rPr>
                <w:rFonts w:hint="eastAsia"/>
              </w:rPr>
              <w:t>7.7</w:t>
            </w:r>
          </w:p>
        </w:tc>
        <w:tc>
          <w:tcPr>
            <w:tcW w:w="664" w:type="pct"/>
            <w:vAlign w:val="center"/>
          </w:tcPr>
          <w:p w14:paraId="346B8498">
            <w:pPr>
              <w:pStyle w:val="31"/>
              <w:bidi w:val="0"/>
            </w:pPr>
            <w:r>
              <w:rPr>
                <w:rFonts w:hint="eastAsia"/>
              </w:rPr>
              <w:t>6.8</w:t>
            </w:r>
          </w:p>
        </w:tc>
        <w:tc>
          <w:tcPr>
            <w:tcW w:w="665" w:type="pct"/>
            <w:vAlign w:val="center"/>
          </w:tcPr>
          <w:p w14:paraId="1BCA980F">
            <w:pPr>
              <w:pStyle w:val="31"/>
              <w:bidi w:val="0"/>
            </w:pPr>
            <w:r>
              <w:rPr>
                <w:rFonts w:hint="eastAsia"/>
              </w:rPr>
              <w:t>7.6</w:t>
            </w:r>
          </w:p>
        </w:tc>
        <w:tc>
          <w:tcPr>
            <w:tcW w:w="467" w:type="pct"/>
            <w:vAlign w:val="center"/>
          </w:tcPr>
          <w:p w14:paraId="46382CF3">
            <w:pPr>
              <w:pStyle w:val="31"/>
              <w:bidi w:val="0"/>
            </w:pPr>
            <w:r>
              <w:rPr>
                <w:rFonts w:hint="eastAsia"/>
              </w:rPr>
              <w:t>6</w:t>
            </w:r>
            <w:r>
              <w:t>~9</w:t>
            </w:r>
          </w:p>
        </w:tc>
        <w:tc>
          <w:tcPr>
            <w:tcW w:w="400" w:type="pct"/>
            <w:vAlign w:val="center"/>
          </w:tcPr>
          <w:p w14:paraId="74213446">
            <w:pPr>
              <w:pStyle w:val="31"/>
              <w:bidi w:val="0"/>
            </w:pPr>
            <w:r>
              <w:rPr>
                <w:rFonts w:hint="eastAsia"/>
              </w:rPr>
              <w:t>达标</w:t>
            </w:r>
          </w:p>
        </w:tc>
      </w:tr>
      <w:tr w14:paraId="566BA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6D32AFB4">
            <w:pPr>
              <w:pStyle w:val="31"/>
              <w:bidi w:val="0"/>
            </w:pPr>
          </w:p>
        </w:tc>
        <w:tc>
          <w:tcPr>
            <w:tcW w:w="931" w:type="pct"/>
            <w:vAlign w:val="center"/>
          </w:tcPr>
          <w:p w14:paraId="4C8B6C26">
            <w:pPr>
              <w:pStyle w:val="31"/>
              <w:bidi w:val="0"/>
            </w:pPr>
            <w:r>
              <w:rPr>
                <w:rFonts w:hint="eastAsia"/>
              </w:rPr>
              <w:t>高锰酸盐指数</w:t>
            </w:r>
          </w:p>
        </w:tc>
        <w:tc>
          <w:tcPr>
            <w:tcW w:w="540" w:type="pct"/>
            <w:vAlign w:val="center"/>
          </w:tcPr>
          <w:p w14:paraId="1BC0CD0B">
            <w:pPr>
              <w:pStyle w:val="31"/>
              <w:bidi w:val="0"/>
            </w:pPr>
            <w:r>
              <w:rPr>
                <w:rFonts w:hint="eastAsia"/>
              </w:rPr>
              <w:t>mg</w:t>
            </w:r>
            <w:r>
              <w:t>/L</w:t>
            </w:r>
          </w:p>
        </w:tc>
        <w:tc>
          <w:tcPr>
            <w:tcW w:w="664" w:type="pct"/>
            <w:vAlign w:val="center"/>
          </w:tcPr>
          <w:p w14:paraId="4E86CD4D">
            <w:pPr>
              <w:pStyle w:val="31"/>
              <w:bidi w:val="0"/>
            </w:pPr>
            <w:r>
              <w:rPr>
                <w:rFonts w:hint="eastAsia"/>
              </w:rPr>
              <w:t>1.7</w:t>
            </w:r>
          </w:p>
        </w:tc>
        <w:tc>
          <w:tcPr>
            <w:tcW w:w="664" w:type="pct"/>
            <w:vAlign w:val="center"/>
          </w:tcPr>
          <w:p w14:paraId="247EE68E">
            <w:pPr>
              <w:pStyle w:val="31"/>
              <w:bidi w:val="0"/>
            </w:pPr>
            <w:r>
              <w:rPr>
                <w:rFonts w:hint="eastAsia"/>
              </w:rPr>
              <w:t>1.5</w:t>
            </w:r>
          </w:p>
        </w:tc>
        <w:tc>
          <w:tcPr>
            <w:tcW w:w="665" w:type="pct"/>
            <w:vAlign w:val="center"/>
          </w:tcPr>
          <w:p w14:paraId="335F986C">
            <w:pPr>
              <w:pStyle w:val="31"/>
              <w:bidi w:val="0"/>
            </w:pPr>
            <w:r>
              <w:rPr>
                <w:rFonts w:hint="eastAsia"/>
              </w:rPr>
              <w:t>1.4</w:t>
            </w:r>
          </w:p>
        </w:tc>
        <w:tc>
          <w:tcPr>
            <w:tcW w:w="467" w:type="pct"/>
            <w:vAlign w:val="center"/>
          </w:tcPr>
          <w:p w14:paraId="756741F8">
            <w:pPr>
              <w:pStyle w:val="31"/>
              <w:bidi w:val="0"/>
            </w:pPr>
            <w:r>
              <w:rPr>
                <w:rFonts w:hint="eastAsia"/>
              </w:rPr>
              <w:t>6</w:t>
            </w:r>
          </w:p>
        </w:tc>
        <w:tc>
          <w:tcPr>
            <w:tcW w:w="400" w:type="pct"/>
            <w:vAlign w:val="center"/>
          </w:tcPr>
          <w:p w14:paraId="155AC606">
            <w:pPr>
              <w:pStyle w:val="31"/>
              <w:bidi w:val="0"/>
            </w:pPr>
            <w:r>
              <w:rPr>
                <w:rFonts w:hint="eastAsia"/>
              </w:rPr>
              <w:t>达标</w:t>
            </w:r>
          </w:p>
        </w:tc>
      </w:tr>
      <w:tr w14:paraId="781F5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7A4ADB24">
            <w:pPr>
              <w:pStyle w:val="31"/>
              <w:bidi w:val="0"/>
            </w:pPr>
          </w:p>
        </w:tc>
        <w:tc>
          <w:tcPr>
            <w:tcW w:w="931" w:type="pct"/>
            <w:vAlign w:val="center"/>
          </w:tcPr>
          <w:p w14:paraId="24C6006C">
            <w:pPr>
              <w:pStyle w:val="31"/>
              <w:bidi w:val="0"/>
            </w:pPr>
            <w:r>
              <w:rPr>
                <w:rFonts w:hint="eastAsia"/>
              </w:rPr>
              <w:t>COD</w:t>
            </w:r>
          </w:p>
        </w:tc>
        <w:tc>
          <w:tcPr>
            <w:tcW w:w="540" w:type="pct"/>
          </w:tcPr>
          <w:p w14:paraId="5B0AEAF3">
            <w:pPr>
              <w:pStyle w:val="31"/>
              <w:bidi w:val="0"/>
            </w:pPr>
            <w:r>
              <w:rPr>
                <w:rFonts w:hint="eastAsia"/>
              </w:rPr>
              <w:t>mg</w:t>
            </w:r>
            <w:r>
              <w:t>/L</w:t>
            </w:r>
          </w:p>
        </w:tc>
        <w:tc>
          <w:tcPr>
            <w:tcW w:w="664" w:type="pct"/>
            <w:vAlign w:val="center"/>
          </w:tcPr>
          <w:p w14:paraId="4CE46390">
            <w:pPr>
              <w:pStyle w:val="31"/>
              <w:bidi w:val="0"/>
            </w:pPr>
            <w:r>
              <w:rPr>
                <w:rFonts w:hint="eastAsia"/>
              </w:rPr>
              <w:t>13</w:t>
            </w:r>
          </w:p>
        </w:tc>
        <w:tc>
          <w:tcPr>
            <w:tcW w:w="664" w:type="pct"/>
            <w:vAlign w:val="center"/>
          </w:tcPr>
          <w:p w14:paraId="70CC6BBE">
            <w:pPr>
              <w:pStyle w:val="31"/>
              <w:bidi w:val="0"/>
            </w:pPr>
            <w:r>
              <w:rPr>
                <w:rFonts w:hint="eastAsia"/>
              </w:rPr>
              <w:t>14</w:t>
            </w:r>
          </w:p>
        </w:tc>
        <w:tc>
          <w:tcPr>
            <w:tcW w:w="665" w:type="pct"/>
            <w:vAlign w:val="center"/>
          </w:tcPr>
          <w:p w14:paraId="6D4E4F75">
            <w:pPr>
              <w:pStyle w:val="31"/>
              <w:bidi w:val="0"/>
            </w:pPr>
            <w:r>
              <w:rPr>
                <w:rFonts w:hint="eastAsia"/>
              </w:rPr>
              <w:t>13</w:t>
            </w:r>
          </w:p>
        </w:tc>
        <w:tc>
          <w:tcPr>
            <w:tcW w:w="467" w:type="pct"/>
            <w:vAlign w:val="center"/>
          </w:tcPr>
          <w:p w14:paraId="704B2A05">
            <w:pPr>
              <w:pStyle w:val="31"/>
              <w:bidi w:val="0"/>
            </w:pPr>
            <w:r>
              <w:rPr>
                <w:rFonts w:hint="eastAsia"/>
              </w:rPr>
              <w:t>2</w:t>
            </w:r>
            <w:r>
              <w:t>0</w:t>
            </w:r>
          </w:p>
        </w:tc>
        <w:tc>
          <w:tcPr>
            <w:tcW w:w="400" w:type="pct"/>
            <w:vAlign w:val="center"/>
          </w:tcPr>
          <w:p w14:paraId="0E97FF06">
            <w:pPr>
              <w:pStyle w:val="31"/>
              <w:bidi w:val="0"/>
            </w:pPr>
            <w:r>
              <w:rPr>
                <w:rFonts w:hint="eastAsia"/>
              </w:rPr>
              <w:t>达标</w:t>
            </w:r>
          </w:p>
        </w:tc>
      </w:tr>
      <w:tr w14:paraId="02D41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6469280B">
            <w:pPr>
              <w:pStyle w:val="31"/>
              <w:bidi w:val="0"/>
            </w:pPr>
          </w:p>
        </w:tc>
        <w:tc>
          <w:tcPr>
            <w:tcW w:w="931" w:type="pct"/>
            <w:vAlign w:val="center"/>
          </w:tcPr>
          <w:p w14:paraId="31320FA1">
            <w:pPr>
              <w:pStyle w:val="31"/>
              <w:bidi w:val="0"/>
            </w:pPr>
            <w:r>
              <w:rPr>
                <w:rFonts w:hint="eastAsia"/>
              </w:rPr>
              <w:t>BOD</w:t>
            </w:r>
            <w:r>
              <w:t>5</w:t>
            </w:r>
          </w:p>
        </w:tc>
        <w:tc>
          <w:tcPr>
            <w:tcW w:w="540" w:type="pct"/>
          </w:tcPr>
          <w:p w14:paraId="688E60F6">
            <w:pPr>
              <w:pStyle w:val="31"/>
              <w:bidi w:val="0"/>
            </w:pPr>
            <w:r>
              <w:rPr>
                <w:rFonts w:hint="eastAsia"/>
              </w:rPr>
              <w:t>mg</w:t>
            </w:r>
            <w:r>
              <w:t>/L</w:t>
            </w:r>
          </w:p>
        </w:tc>
        <w:tc>
          <w:tcPr>
            <w:tcW w:w="664" w:type="pct"/>
            <w:vAlign w:val="center"/>
          </w:tcPr>
          <w:p w14:paraId="392AB687">
            <w:pPr>
              <w:pStyle w:val="31"/>
              <w:bidi w:val="0"/>
            </w:pPr>
            <w:r>
              <w:rPr>
                <w:rFonts w:hint="eastAsia"/>
              </w:rPr>
              <w:t>3.3</w:t>
            </w:r>
          </w:p>
        </w:tc>
        <w:tc>
          <w:tcPr>
            <w:tcW w:w="664" w:type="pct"/>
            <w:vAlign w:val="center"/>
          </w:tcPr>
          <w:p w14:paraId="36A927DE">
            <w:pPr>
              <w:pStyle w:val="31"/>
              <w:bidi w:val="0"/>
            </w:pPr>
            <w:r>
              <w:rPr>
                <w:rFonts w:hint="eastAsia"/>
              </w:rPr>
              <w:t>3.5</w:t>
            </w:r>
          </w:p>
        </w:tc>
        <w:tc>
          <w:tcPr>
            <w:tcW w:w="665" w:type="pct"/>
            <w:vAlign w:val="center"/>
          </w:tcPr>
          <w:p w14:paraId="126B4CCA">
            <w:pPr>
              <w:pStyle w:val="31"/>
              <w:bidi w:val="0"/>
            </w:pPr>
            <w:r>
              <w:rPr>
                <w:rFonts w:hint="eastAsia"/>
              </w:rPr>
              <w:t>3.1</w:t>
            </w:r>
          </w:p>
        </w:tc>
        <w:tc>
          <w:tcPr>
            <w:tcW w:w="467" w:type="pct"/>
            <w:vAlign w:val="center"/>
          </w:tcPr>
          <w:p w14:paraId="396D8C64">
            <w:pPr>
              <w:pStyle w:val="31"/>
              <w:bidi w:val="0"/>
            </w:pPr>
            <w:r>
              <w:rPr>
                <w:rFonts w:hint="eastAsia"/>
              </w:rPr>
              <w:t>4</w:t>
            </w:r>
          </w:p>
        </w:tc>
        <w:tc>
          <w:tcPr>
            <w:tcW w:w="400" w:type="pct"/>
            <w:vAlign w:val="center"/>
          </w:tcPr>
          <w:p w14:paraId="3AAFBC35">
            <w:pPr>
              <w:pStyle w:val="31"/>
              <w:bidi w:val="0"/>
            </w:pPr>
            <w:r>
              <w:rPr>
                <w:rFonts w:hint="eastAsia"/>
              </w:rPr>
              <w:t>达标</w:t>
            </w:r>
          </w:p>
        </w:tc>
      </w:tr>
      <w:tr w14:paraId="5A1D3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1E419CFD">
            <w:pPr>
              <w:pStyle w:val="31"/>
              <w:bidi w:val="0"/>
            </w:pPr>
          </w:p>
        </w:tc>
        <w:tc>
          <w:tcPr>
            <w:tcW w:w="931" w:type="pct"/>
            <w:vAlign w:val="center"/>
          </w:tcPr>
          <w:p w14:paraId="5630499D">
            <w:pPr>
              <w:pStyle w:val="31"/>
              <w:bidi w:val="0"/>
            </w:pPr>
            <w:r>
              <w:rPr>
                <w:rFonts w:hint="eastAsia"/>
              </w:rPr>
              <w:t>SS</w:t>
            </w:r>
            <w:r>
              <w:t xml:space="preserve"> </w:t>
            </w:r>
          </w:p>
        </w:tc>
        <w:tc>
          <w:tcPr>
            <w:tcW w:w="540" w:type="pct"/>
          </w:tcPr>
          <w:p w14:paraId="1584E341">
            <w:pPr>
              <w:pStyle w:val="31"/>
              <w:bidi w:val="0"/>
            </w:pPr>
            <w:r>
              <w:rPr>
                <w:rFonts w:hint="eastAsia"/>
              </w:rPr>
              <w:t>mg</w:t>
            </w:r>
            <w:r>
              <w:t>/L</w:t>
            </w:r>
          </w:p>
        </w:tc>
        <w:tc>
          <w:tcPr>
            <w:tcW w:w="664" w:type="pct"/>
            <w:vAlign w:val="center"/>
          </w:tcPr>
          <w:p w14:paraId="260EF893">
            <w:pPr>
              <w:pStyle w:val="31"/>
              <w:bidi w:val="0"/>
            </w:pPr>
            <w:r>
              <w:rPr>
                <w:rFonts w:hint="eastAsia"/>
              </w:rPr>
              <w:t>17</w:t>
            </w:r>
          </w:p>
        </w:tc>
        <w:tc>
          <w:tcPr>
            <w:tcW w:w="664" w:type="pct"/>
            <w:vAlign w:val="center"/>
          </w:tcPr>
          <w:p w14:paraId="2762EF94">
            <w:pPr>
              <w:pStyle w:val="31"/>
              <w:bidi w:val="0"/>
            </w:pPr>
            <w:r>
              <w:rPr>
                <w:rFonts w:hint="eastAsia"/>
              </w:rPr>
              <w:t>15</w:t>
            </w:r>
          </w:p>
        </w:tc>
        <w:tc>
          <w:tcPr>
            <w:tcW w:w="665" w:type="pct"/>
            <w:vAlign w:val="center"/>
          </w:tcPr>
          <w:p w14:paraId="198DC1E2">
            <w:pPr>
              <w:pStyle w:val="31"/>
              <w:bidi w:val="0"/>
            </w:pPr>
            <w:r>
              <w:rPr>
                <w:rFonts w:hint="eastAsia"/>
              </w:rPr>
              <w:t>19</w:t>
            </w:r>
          </w:p>
        </w:tc>
        <w:tc>
          <w:tcPr>
            <w:tcW w:w="467" w:type="pct"/>
            <w:vAlign w:val="center"/>
          </w:tcPr>
          <w:p w14:paraId="6E53A8A8">
            <w:pPr>
              <w:pStyle w:val="31"/>
              <w:bidi w:val="0"/>
            </w:pPr>
            <w:r>
              <w:rPr>
                <w:rFonts w:hint="eastAsia"/>
              </w:rPr>
              <w:t>/</w:t>
            </w:r>
          </w:p>
        </w:tc>
        <w:tc>
          <w:tcPr>
            <w:tcW w:w="400" w:type="pct"/>
            <w:vAlign w:val="center"/>
          </w:tcPr>
          <w:p w14:paraId="1A7A1FA8">
            <w:pPr>
              <w:pStyle w:val="31"/>
              <w:bidi w:val="0"/>
            </w:pPr>
            <w:r>
              <w:rPr>
                <w:rFonts w:hint="eastAsia"/>
              </w:rPr>
              <w:t>达标</w:t>
            </w:r>
          </w:p>
        </w:tc>
      </w:tr>
      <w:tr w14:paraId="4302B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2DA56458">
            <w:pPr>
              <w:pStyle w:val="31"/>
              <w:bidi w:val="0"/>
            </w:pPr>
          </w:p>
        </w:tc>
        <w:tc>
          <w:tcPr>
            <w:tcW w:w="931" w:type="pct"/>
            <w:vAlign w:val="center"/>
          </w:tcPr>
          <w:p w14:paraId="3D075544">
            <w:pPr>
              <w:pStyle w:val="31"/>
              <w:bidi w:val="0"/>
            </w:pPr>
            <w:r>
              <w:rPr>
                <w:rFonts w:hint="eastAsia"/>
              </w:rPr>
              <w:t>氨氮</w:t>
            </w:r>
          </w:p>
        </w:tc>
        <w:tc>
          <w:tcPr>
            <w:tcW w:w="540" w:type="pct"/>
          </w:tcPr>
          <w:p w14:paraId="5D5EEE9D">
            <w:pPr>
              <w:pStyle w:val="31"/>
              <w:bidi w:val="0"/>
            </w:pPr>
            <w:r>
              <w:rPr>
                <w:rFonts w:hint="eastAsia"/>
              </w:rPr>
              <w:t>mg</w:t>
            </w:r>
            <w:r>
              <w:t>/L</w:t>
            </w:r>
          </w:p>
        </w:tc>
        <w:tc>
          <w:tcPr>
            <w:tcW w:w="664" w:type="pct"/>
            <w:vAlign w:val="center"/>
          </w:tcPr>
          <w:p w14:paraId="1DF4DFDE">
            <w:pPr>
              <w:pStyle w:val="31"/>
              <w:bidi w:val="0"/>
            </w:pPr>
            <w:r>
              <w:rPr>
                <w:rFonts w:hint="eastAsia"/>
              </w:rPr>
              <w:t>0.114</w:t>
            </w:r>
          </w:p>
        </w:tc>
        <w:tc>
          <w:tcPr>
            <w:tcW w:w="664" w:type="pct"/>
            <w:vAlign w:val="center"/>
          </w:tcPr>
          <w:p w14:paraId="563D1187">
            <w:pPr>
              <w:pStyle w:val="31"/>
              <w:bidi w:val="0"/>
            </w:pPr>
            <w:r>
              <w:rPr>
                <w:rFonts w:hint="eastAsia"/>
              </w:rPr>
              <w:t>0.103</w:t>
            </w:r>
          </w:p>
        </w:tc>
        <w:tc>
          <w:tcPr>
            <w:tcW w:w="665" w:type="pct"/>
            <w:vAlign w:val="center"/>
          </w:tcPr>
          <w:p w14:paraId="7FD645A0">
            <w:pPr>
              <w:pStyle w:val="31"/>
              <w:bidi w:val="0"/>
            </w:pPr>
            <w:r>
              <w:rPr>
                <w:rFonts w:hint="eastAsia"/>
              </w:rPr>
              <w:t>0.071</w:t>
            </w:r>
          </w:p>
        </w:tc>
        <w:tc>
          <w:tcPr>
            <w:tcW w:w="467" w:type="pct"/>
            <w:vAlign w:val="center"/>
          </w:tcPr>
          <w:p w14:paraId="5A3A064E">
            <w:pPr>
              <w:pStyle w:val="31"/>
              <w:bidi w:val="0"/>
            </w:pPr>
            <w:r>
              <w:rPr>
                <w:rFonts w:hint="eastAsia"/>
              </w:rPr>
              <w:t>1.0</w:t>
            </w:r>
          </w:p>
        </w:tc>
        <w:tc>
          <w:tcPr>
            <w:tcW w:w="400" w:type="pct"/>
            <w:vAlign w:val="center"/>
          </w:tcPr>
          <w:p w14:paraId="7F10CFD9">
            <w:pPr>
              <w:pStyle w:val="31"/>
              <w:bidi w:val="0"/>
            </w:pPr>
            <w:r>
              <w:rPr>
                <w:rFonts w:hint="eastAsia"/>
              </w:rPr>
              <w:t>达标</w:t>
            </w:r>
          </w:p>
        </w:tc>
      </w:tr>
      <w:tr w14:paraId="73281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5B6C16CE">
            <w:pPr>
              <w:pStyle w:val="31"/>
              <w:bidi w:val="0"/>
            </w:pPr>
          </w:p>
        </w:tc>
        <w:tc>
          <w:tcPr>
            <w:tcW w:w="931" w:type="pct"/>
            <w:vAlign w:val="center"/>
          </w:tcPr>
          <w:p w14:paraId="5CB3BC4B">
            <w:pPr>
              <w:pStyle w:val="31"/>
              <w:bidi w:val="0"/>
            </w:pPr>
            <w:r>
              <w:rPr>
                <w:rFonts w:hint="eastAsia"/>
              </w:rPr>
              <w:t>TP</w:t>
            </w:r>
          </w:p>
        </w:tc>
        <w:tc>
          <w:tcPr>
            <w:tcW w:w="540" w:type="pct"/>
          </w:tcPr>
          <w:p w14:paraId="764B72D1">
            <w:pPr>
              <w:pStyle w:val="31"/>
              <w:bidi w:val="0"/>
            </w:pPr>
            <w:r>
              <w:rPr>
                <w:rFonts w:hint="eastAsia"/>
              </w:rPr>
              <w:t>mg</w:t>
            </w:r>
            <w:r>
              <w:t>/L</w:t>
            </w:r>
          </w:p>
        </w:tc>
        <w:tc>
          <w:tcPr>
            <w:tcW w:w="664" w:type="pct"/>
            <w:vAlign w:val="center"/>
          </w:tcPr>
          <w:p w14:paraId="4780B981">
            <w:pPr>
              <w:pStyle w:val="31"/>
              <w:bidi w:val="0"/>
            </w:pPr>
            <w:r>
              <w:rPr>
                <w:rFonts w:hint="eastAsia"/>
              </w:rPr>
              <w:t>0.07</w:t>
            </w:r>
          </w:p>
        </w:tc>
        <w:tc>
          <w:tcPr>
            <w:tcW w:w="664" w:type="pct"/>
            <w:vAlign w:val="center"/>
          </w:tcPr>
          <w:p w14:paraId="30597430">
            <w:pPr>
              <w:pStyle w:val="31"/>
              <w:bidi w:val="0"/>
            </w:pPr>
            <w:r>
              <w:rPr>
                <w:rFonts w:hint="eastAsia"/>
              </w:rPr>
              <w:t>0.06</w:t>
            </w:r>
          </w:p>
        </w:tc>
        <w:tc>
          <w:tcPr>
            <w:tcW w:w="665" w:type="pct"/>
            <w:vAlign w:val="center"/>
          </w:tcPr>
          <w:p w14:paraId="72CB259C">
            <w:pPr>
              <w:pStyle w:val="31"/>
              <w:bidi w:val="0"/>
            </w:pPr>
            <w:r>
              <w:rPr>
                <w:rFonts w:hint="eastAsia"/>
              </w:rPr>
              <w:t>0.06</w:t>
            </w:r>
          </w:p>
        </w:tc>
        <w:tc>
          <w:tcPr>
            <w:tcW w:w="467" w:type="pct"/>
            <w:vAlign w:val="center"/>
          </w:tcPr>
          <w:p w14:paraId="766EB925">
            <w:pPr>
              <w:pStyle w:val="31"/>
              <w:bidi w:val="0"/>
            </w:pPr>
            <w:r>
              <w:rPr>
                <w:rFonts w:hint="eastAsia"/>
              </w:rPr>
              <w:t>0.2</w:t>
            </w:r>
          </w:p>
        </w:tc>
        <w:tc>
          <w:tcPr>
            <w:tcW w:w="400" w:type="pct"/>
            <w:vAlign w:val="center"/>
          </w:tcPr>
          <w:p w14:paraId="10C1BACD">
            <w:pPr>
              <w:pStyle w:val="31"/>
              <w:bidi w:val="0"/>
            </w:pPr>
            <w:r>
              <w:rPr>
                <w:rFonts w:hint="eastAsia"/>
              </w:rPr>
              <w:t>达标</w:t>
            </w:r>
          </w:p>
        </w:tc>
      </w:tr>
      <w:tr w14:paraId="448BC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63D83BD2">
            <w:pPr>
              <w:pStyle w:val="31"/>
              <w:bidi w:val="0"/>
            </w:pPr>
          </w:p>
        </w:tc>
        <w:tc>
          <w:tcPr>
            <w:tcW w:w="931" w:type="pct"/>
            <w:vAlign w:val="center"/>
          </w:tcPr>
          <w:p w14:paraId="797BE0E5">
            <w:pPr>
              <w:pStyle w:val="31"/>
              <w:bidi w:val="0"/>
            </w:pPr>
            <w:r>
              <w:rPr>
                <w:rFonts w:hint="eastAsia"/>
              </w:rPr>
              <w:t>TN</w:t>
            </w:r>
          </w:p>
        </w:tc>
        <w:tc>
          <w:tcPr>
            <w:tcW w:w="540" w:type="pct"/>
          </w:tcPr>
          <w:p w14:paraId="206FA9D4">
            <w:pPr>
              <w:pStyle w:val="31"/>
              <w:bidi w:val="0"/>
            </w:pPr>
            <w:r>
              <w:rPr>
                <w:rFonts w:hint="eastAsia"/>
              </w:rPr>
              <w:t>mg</w:t>
            </w:r>
            <w:r>
              <w:t>/L</w:t>
            </w:r>
          </w:p>
        </w:tc>
        <w:tc>
          <w:tcPr>
            <w:tcW w:w="664" w:type="pct"/>
            <w:vAlign w:val="center"/>
          </w:tcPr>
          <w:p w14:paraId="76D2EE92">
            <w:pPr>
              <w:pStyle w:val="31"/>
              <w:bidi w:val="0"/>
            </w:pPr>
            <w:r>
              <w:rPr>
                <w:rFonts w:hint="eastAsia"/>
              </w:rPr>
              <w:t>1.69</w:t>
            </w:r>
          </w:p>
        </w:tc>
        <w:tc>
          <w:tcPr>
            <w:tcW w:w="664" w:type="pct"/>
            <w:vAlign w:val="center"/>
          </w:tcPr>
          <w:p w14:paraId="15175EF6">
            <w:pPr>
              <w:pStyle w:val="31"/>
              <w:bidi w:val="0"/>
            </w:pPr>
            <w:r>
              <w:rPr>
                <w:rFonts w:hint="eastAsia"/>
              </w:rPr>
              <w:t>2.20</w:t>
            </w:r>
          </w:p>
        </w:tc>
        <w:tc>
          <w:tcPr>
            <w:tcW w:w="665" w:type="pct"/>
            <w:vAlign w:val="center"/>
          </w:tcPr>
          <w:p w14:paraId="3CA2CA06">
            <w:pPr>
              <w:pStyle w:val="31"/>
              <w:bidi w:val="0"/>
            </w:pPr>
            <w:r>
              <w:rPr>
                <w:rFonts w:hint="eastAsia"/>
              </w:rPr>
              <w:t>0.89</w:t>
            </w:r>
          </w:p>
        </w:tc>
        <w:tc>
          <w:tcPr>
            <w:tcW w:w="467" w:type="pct"/>
            <w:vAlign w:val="center"/>
          </w:tcPr>
          <w:p w14:paraId="4C2D2D08">
            <w:pPr>
              <w:pStyle w:val="31"/>
              <w:bidi w:val="0"/>
            </w:pPr>
            <w:r>
              <w:rPr>
                <w:rFonts w:hint="eastAsia"/>
              </w:rPr>
              <w:t>/</w:t>
            </w:r>
          </w:p>
        </w:tc>
        <w:tc>
          <w:tcPr>
            <w:tcW w:w="400" w:type="pct"/>
            <w:vAlign w:val="center"/>
          </w:tcPr>
          <w:p w14:paraId="7C257879">
            <w:pPr>
              <w:pStyle w:val="31"/>
              <w:bidi w:val="0"/>
            </w:pPr>
            <w:r>
              <w:rPr>
                <w:rFonts w:hint="eastAsia"/>
              </w:rPr>
              <w:t>达标</w:t>
            </w:r>
          </w:p>
        </w:tc>
      </w:tr>
      <w:tr w14:paraId="5EA81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4" w:type="pct"/>
            <w:vMerge w:val="continue"/>
            <w:vAlign w:val="center"/>
          </w:tcPr>
          <w:p w14:paraId="4093DB81">
            <w:pPr>
              <w:pStyle w:val="31"/>
              <w:bidi w:val="0"/>
            </w:pPr>
          </w:p>
        </w:tc>
        <w:tc>
          <w:tcPr>
            <w:tcW w:w="931" w:type="pct"/>
            <w:vAlign w:val="center"/>
          </w:tcPr>
          <w:p w14:paraId="0358C307">
            <w:pPr>
              <w:pStyle w:val="31"/>
              <w:bidi w:val="0"/>
            </w:pPr>
            <w:r>
              <w:rPr>
                <w:rFonts w:hint="eastAsia"/>
              </w:rPr>
              <w:t>石油类</w:t>
            </w:r>
          </w:p>
        </w:tc>
        <w:tc>
          <w:tcPr>
            <w:tcW w:w="540" w:type="pct"/>
          </w:tcPr>
          <w:p w14:paraId="7F3E8AE0">
            <w:pPr>
              <w:pStyle w:val="31"/>
              <w:bidi w:val="0"/>
            </w:pPr>
            <w:r>
              <w:t xml:space="preserve">mg/L </w:t>
            </w:r>
          </w:p>
        </w:tc>
        <w:tc>
          <w:tcPr>
            <w:tcW w:w="664" w:type="pct"/>
            <w:vAlign w:val="center"/>
          </w:tcPr>
          <w:p w14:paraId="1D62C171">
            <w:pPr>
              <w:pStyle w:val="31"/>
              <w:bidi w:val="0"/>
            </w:pPr>
            <w:r>
              <w:rPr>
                <w:rFonts w:hint="eastAsia"/>
              </w:rPr>
              <w:t>0.01L</w:t>
            </w:r>
          </w:p>
        </w:tc>
        <w:tc>
          <w:tcPr>
            <w:tcW w:w="664" w:type="pct"/>
            <w:vAlign w:val="center"/>
          </w:tcPr>
          <w:p w14:paraId="70A3CE82">
            <w:pPr>
              <w:pStyle w:val="31"/>
              <w:bidi w:val="0"/>
            </w:pPr>
            <w:r>
              <w:rPr>
                <w:rFonts w:hint="eastAsia"/>
              </w:rPr>
              <w:t>0.01L</w:t>
            </w:r>
          </w:p>
        </w:tc>
        <w:tc>
          <w:tcPr>
            <w:tcW w:w="665" w:type="pct"/>
            <w:vAlign w:val="center"/>
          </w:tcPr>
          <w:p w14:paraId="573655D9">
            <w:pPr>
              <w:pStyle w:val="31"/>
              <w:bidi w:val="0"/>
            </w:pPr>
            <w:r>
              <w:rPr>
                <w:rFonts w:hint="eastAsia"/>
              </w:rPr>
              <w:t>0.01L</w:t>
            </w:r>
          </w:p>
        </w:tc>
        <w:tc>
          <w:tcPr>
            <w:tcW w:w="467" w:type="pct"/>
            <w:vAlign w:val="center"/>
          </w:tcPr>
          <w:p w14:paraId="5A885327">
            <w:pPr>
              <w:pStyle w:val="31"/>
              <w:bidi w:val="0"/>
            </w:pPr>
            <w:r>
              <w:rPr>
                <w:rFonts w:hint="eastAsia"/>
              </w:rPr>
              <w:t>0.05</w:t>
            </w:r>
          </w:p>
        </w:tc>
        <w:tc>
          <w:tcPr>
            <w:tcW w:w="400" w:type="pct"/>
            <w:vAlign w:val="center"/>
          </w:tcPr>
          <w:p w14:paraId="3AEAD988">
            <w:pPr>
              <w:pStyle w:val="31"/>
              <w:bidi w:val="0"/>
            </w:pPr>
            <w:r>
              <w:rPr>
                <w:rFonts w:hint="eastAsia"/>
              </w:rPr>
              <w:t>达标</w:t>
            </w:r>
          </w:p>
        </w:tc>
      </w:tr>
      <w:tr w14:paraId="3A81A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70DA4EAD">
            <w:pPr>
              <w:pStyle w:val="31"/>
              <w:bidi w:val="0"/>
            </w:pPr>
          </w:p>
        </w:tc>
        <w:tc>
          <w:tcPr>
            <w:tcW w:w="931" w:type="pct"/>
            <w:vAlign w:val="center"/>
          </w:tcPr>
          <w:p w14:paraId="02093A10">
            <w:pPr>
              <w:pStyle w:val="31"/>
              <w:bidi w:val="0"/>
            </w:pPr>
            <w:r>
              <w:rPr>
                <w:rFonts w:hint="eastAsia"/>
              </w:rPr>
              <w:t>粪大肠菌群</w:t>
            </w:r>
          </w:p>
        </w:tc>
        <w:tc>
          <w:tcPr>
            <w:tcW w:w="540" w:type="pct"/>
          </w:tcPr>
          <w:p w14:paraId="37052AFD">
            <w:pPr>
              <w:pStyle w:val="31"/>
              <w:bidi w:val="0"/>
            </w:pPr>
            <w:r>
              <w:t>MPN/L</w:t>
            </w:r>
          </w:p>
        </w:tc>
        <w:tc>
          <w:tcPr>
            <w:tcW w:w="664" w:type="pct"/>
            <w:vAlign w:val="center"/>
          </w:tcPr>
          <w:p w14:paraId="5C4F0813">
            <w:pPr>
              <w:pStyle w:val="31"/>
              <w:bidi w:val="0"/>
            </w:pPr>
            <w:r>
              <w:rPr>
                <w:rFonts w:hint="eastAsia"/>
              </w:rPr>
              <w:t>70</w:t>
            </w:r>
          </w:p>
        </w:tc>
        <w:tc>
          <w:tcPr>
            <w:tcW w:w="664" w:type="pct"/>
            <w:vAlign w:val="center"/>
          </w:tcPr>
          <w:p w14:paraId="5EF59B6A">
            <w:pPr>
              <w:pStyle w:val="31"/>
              <w:bidi w:val="0"/>
            </w:pPr>
            <w:r>
              <w:rPr>
                <w:rFonts w:hint="eastAsia"/>
              </w:rPr>
              <w:t>170</w:t>
            </w:r>
          </w:p>
        </w:tc>
        <w:tc>
          <w:tcPr>
            <w:tcW w:w="665" w:type="pct"/>
            <w:vAlign w:val="center"/>
          </w:tcPr>
          <w:p w14:paraId="0F581B89">
            <w:pPr>
              <w:pStyle w:val="31"/>
              <w:bidi w:val="0"/>
            </w:pPr>
            <w:r>
              <w:rPr>
                <w:rFonts w:hint="eastAsia"/>
              </w:rPr>
              <w:t>460</w:t>
            </w:r>
          </w:p>
        </w:tc>
        <w:tc>
          <w:tcPr>
            <w:tcW w:w="467" w:type="pct"/>
            <w:vAlign w:val="center"/>
          </w:tcPr>
          <w:p w14:paraId="42250B12">
            <w:pPr>
              <w:pStyle w:val="31"/>
              <w:bidi w:val="0"/>
            </w:pPr>
            <w:r>
              <w:rPr>
                <w:rFonts w:hint="eastAsia"/>
              </w:rPr>
              <w:t>1</w:t>
            </w:r>
            <w:r>
              <w:t>0000</w:t>
            </w:r>
          </w:p>
        </w:tc>
        <w:tc>
          <w:tcPr>
            <w:tcW w:w="400" w:type="pct"/>
            <w:vAlign w:val="center"/>
          </w:tcPr>
          <w:p w14:paraId="22268323">
            <w:pPr>
              <w:pStyle w:val="31"/>
              <w:bidi w:val="0"/>
            </w:pPr>
            <w:r>
              <w:rPr>
                <w:rFonts w:hint="eastAsia"/>
              </w:rPr>
              <w:t>/</w:t>
            </w:r>
          </w:p>
        </w:tc>
      </w:tr>
      <w:tr w14:paraId="35474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restart"/>
            <w:vAlign w:val="center"/>
          </w:tcPr>
          <w:p w14:paraId="1B1C1910">
            <w:pPr>
              <w:pStyle w:val="31"/>
              <w:bidi w:val="0"/>
            </w:pPr>
            <w:r>
              <w:rPr>
                <w:rFonts w:hint="eastAsia"/>
                <w:lang w:val="en-US" w:eastAsia="zh-CN"/>
              </w:rPr>
              <w:t>SW2三樟镇污水处理厂排污口下游1000m处</w:t>
            </w:r>
          </w:p>
        </w:tc>
        <w:tc>
          <w:tcPr>
            <w:tcW w:w="931" w:type="pct"/>
            <w:vAlign w:val="center"/>
          </w:tcPr>
          <w:p w14:paraId="1FFA4631">
            <w:pPr>
              <w:pStyle w:val="31"/>
              <w:bidi w:val="0"/>
            </w:pPr>
            <w:r>
              <w:rPr>
                <w:rFonts w:hint="eastAsia"/>
              </w:rPr>
              <w:t>p</w:t>
            </w:r>
            <w:r>
              <w:t>H</w:t>
            </w:r>
            <w:r>
              <w:rPr>
                <w:rFonts w:hint="eastAsia"/>
              </w:rPr>
              <w:t>值</w:t>
            </w:r>
          </w:p>
        </w:tc>
        <w:tc>
          <w:tcPr>
            <w:tcW w:w="540" w:type="pct"/>
            <w:vAlign w:val="center"/>
          </w:tcPr>
          <w:p w14:paraId="5F63954C">
            <w:pPr>
              <w:pStyle w:val="31"/>
              <w:bidi w:val="0"/>
            </w:pPr>
            <w:r>
              <w:rPr>
                <w:rFonts w:hint="eastAsia"/>
              </w:rPr>
              <w:t>无量纲</w:t>
            </w:r>
          </w:p>
        </w:tc>
        <w:tc>
          <w:tcPr>
            <w:tcW w:w="664" w:type="pct"/>
            <w:vAlign w:val="center"/>
          </w:tcPr>
          <w:p w14:paraId="0A637A1A">
            <w:pPr>
              <w:pStyle w:val="31"/>
              <w:bidi w:val="0"/>
            </w:pPr>
            <w:r>
              <w:rPr>
                <w:rFonts w:hint="eastAsia"/>
              </w:rPr>
              <w:t>7.7</w:t>
            </w:r>
          </w:p>
        </w:tc>
        <w:tc>
          <w:tcPr>
            <w:tcW w:w="664" w:type="pct"/>
            <w:vAlign w:val="bottom"/>
          </w:tcPr>
          <w:p w14:paraId="254FE3BB">
            <w:pPr>
              <w:pStyle w:val="31"/>
              <w:bidi w:val="0"/>
            </w:pPr>
            <w:r>
              <w:rPr>
                <w:rFonts w:hint="eastAsia"/>
              </w:rPr>
              <w:t>6.7</w:t>
            </w:r>
          </w:p>
        </w:tc>
        <w:tc>
          <w:tcPr>
            <w:tcW w:w="665" w:type="pct"/>
            <w:vAlign w:val="bottom"/>
          </w:tcPr>
          <w:p w14:paraId="04E03DD3">
            <w:pPr>
              <w:pStyle w:val="31"/>
              <w:bidi w:val="0"/>
            </w:pPr>
            <w:r>
              <w:rPr>
                <w:rFonts w:hint="eastAsia"/>
              </w:rPr>
              <w:t>7.6</w:t>
            </w:r>
          </w:p>
        </w:tc>
        <w:tc>
          <w:tcPr>
            <w:tcW w:w="467" w:type="pct"/>
            <w:vAlign w:val="center"/>
          </w:tcPr>
          <w:p w14:paraId="29B086AB">
            <w:pPr>
              <w:pStyle w:val="31"/>
              <w:bidi w:val="0"/>
            </w:pPr>
            <w:r>
              <w:rPr>
                <w:rFonts w:hint="eastAsia"/>
              </w:rPr>
              <w:t>6</w:t>
            </w:r>
            <w:r>
              <w:t>~9</w:t>
            </w:r>
          </w:p>
        </w:tc>
        <w:tc>
          <w:tcPr>
            <w:tcW w:w="400" w:type="pct"/>
            <w:vAlign w:val="center"/>
          </w:tcPr>
          <w:p w14:paraId="742B1EBE">
            <w:pPr>
              <w:pStyle w:val="31"/>
              <w:bidi w:val="0"/>
            </w:pPr>
            <w:r>
              <w:rPr>
                <w:rFonts w:hint="eastAsia"/>
              </w:rPr>
              <w:t>达标</w:t>
            </w:r>
          </w:p>
        </w:tc>
      </w:tr>
      <w:tr w14:paraId="5352A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0AECAA8D">
            <w:pPr>
              <w:pStyle w:val="31"/>
              <w:bidi w:val="0"/>
            </w:pPr>
          </w:p>
        </w:tc>
        <w:tc>
          <w:tcPr>
            <w:tcW w:w="931" w:type="pct"/>
            <w:vAlign w:val="center"/>
          </w:tcPr>
          <w:p w14:paraId="34578A56">
            <w:pPr>
              <w:pStyle w:val="31"/>
              <w:bidi w:val="0"/>
            </w:pPr>
            <w:r>
              <w:rPr>
                <w:rFonts w:hint="eastAsia"/>
              </w:rPr>
              <w:t>高锰酸盐指数</w:t>
            </w:r>
          </w:p>
        </w:tc>
        <w:tc>
          <w:tcPr>
            <w:tcW w:w="540" w:type="pct"/>
            <w:vAlign w:val="center"/>
          </w:tcPr>
          <w:p w14:paraId="1D62D80A">
            <w:pPr>
              <w:pStyle w:val="31"/>
              <w:bidi w:val="0"/>
            </w:pPr>
            <w:r>
              <w:rPr>
                <w:rFonts w:hint="eastAsia"/>
              </w:rPr>
              <w:t>mg</w:t>
            </w:r>
            <w:r>
              <w:t>/L</w:t>
            </w:r>
          </w:p>
        </w:tc>
        <w:tc>
          <w:tcPr>
            <w:tcW w:w="664" w:type="pct"/>
            <w:vAlign w:val="center"/>
          </w:tcPr>
          <w:p w14:paraId="7406C674">
            <w:pPr>
              <w:pStyle w:val="31"/>
              <w:bidi w:val="0"/>
            </w:pPr>
            <w:r>
              <w:rPr>
                <w:rFonts w:hint="eastAsia"/>
              </w:rPr>
              <w:t>2.0</w:t>
            </w:r>
          </w:p>
        </w:tc>
        <w:tc>
          <w:tcPr>
            <w:tcW w:w="664" w:type="pct"/>
            <w:vAlign w:val="center"/>
          </w:tcPr>
          <w:p w14:paraId="42F853A4">
            <w:pPr>
              <w:pStyle w:val="31"/>
              <w:bidi w:val="0"/>
            </w:pPr>
            <w:r>
              <w:rPr>
                <w:rFonts w:hint="eastAsia"/>
              </w:rPr>
              <w:t>1.3</w:t>
            </w:r>
          </w:p>
        </w:tc>
        <w:tc>
          <w:tcPr>
            <w:tcW w:w="665" w:type="pct"/>
            <w:vAlign w:val="center"/>
          </w:tcPr>
          <w:p w14:paraId="4BAD8C06">
            <w:pPr>
              <w:pStyle w:val="31"/>
              <w:bidi w:val="0"/>
            </w:pPr>
            <w:r>
              <w:rPr>
                <w:rFonts w:hint="eastAsia"/>
              </w:rPr>
              <w:t>2.1</w:t>
            </w:r>
          </w:p>
        </w:tc>
        <w:tc>
          <w:tcPr>
            <w:tcW w:w="467" w:type="pct"/>
            <w:vAlign w:val="center"/>
          </w:tcPr>
          <w:p w14:paraId="5BE1AD07">
            <w:pPr>
              <w:pStyle w:val="31"/>
              <w:bidi w:val="0"/>
            </w:pPr>
            <w:r>
              <w:rPr>
                <w:rFonts w:hint="eastAsia"/>
              </w:rPr>
              <w:t>6</w:t>
            </w:r>
          </w:p>
        </w:tc>
        <w:tc>
          <w:tcPr>
            <w:tcW w:w="400" w:type="pct"/>
            <w:vAlign w:val="center"/>
          </w:tcPr>
          <w:p w14:paraId="7BB7C021">
            <w:pPr>
              <w:pStyle w:val="31"/>
              <w:bidi w:val="0"/>
            </w:pPr>
            <w:r>
              <w:rPr>
                <w:rFonts w:hint="eastAsia"/>
              </w:rPr>
              <w:t>达标</w:t>
            </w:r>
          </w:p>
        </w:tc>
      </w:tr>
      <w:tr w14:paraId="3DDC4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24434DBA">
            <w:pPr>
              <w:pStyle w:val="31"/>
              <w:bidi w:val="0"/>
            </w:pPr>
          </w:p>
        </w:tc>
        <w:tc>
          <w:tcPr>
            <w:tcW w:w="931" w:type="pct"/>
            <w:vAlign w:val="center"/>
          </w:tcPr>
          <w:p w14:paraId="4509AA8B">
            <w:pPr>
              <w:pStyle w:val="31"/>
              <w:bidi w:val="0"/>
            </w:pPr>
            <w:r>
              <w:rPr>
                <w:rFonts w:hint="eastAsia"/>
              </w:rPr>
              <w:t>COD</w:t>
            </w:r>
          </w:p>
        </w:tc>
        <w:tc>
          <w:tcPr>
            <w:tcW w:w="540" w:type="pct"/>
          </w:tcPr>
          <w:p w14:paraId="1EE06566">
            <w:pPr>
              <w:pStyle w:val="31"/>
              <w:bidi w:val="0"/>
            </w:pPr>
            <w:r>
              <w:rPr>
                <w:rFonts w:hint="eastAsia"/>
              </w:rPr>
              <w:t>mg</w:t>
            </w:r>
            <w:r>
              <w:t>/L</w:t>
            </w:r>
          </w:p>
        </w:tc>
        <w:tc>
          <w:tcPr>
            <w:tcW w:w="664" w:type="pct"/>
            <w:vAlign w:val="center"/>
          </w:tcPr>
          <w:p w14:paraId="219EB7CC">
            <w:pPr>
              <w:pStyle w:val="31"/>
              <w:bidi w:val="0"/>
            </w:pPr>
            <w:r>
              <w:rPr>
                <w:rFonts w:hint="eastAsia"/>
              </w:rPr>
              <w:t>16</w:t>
            </w:r>
          </w:p>
        </w:tc>
        <w:tc>
          <w:tcPr>
            <w:tcW w:w="664" w:type="pct"/>
            <w:vAlign w:val="center"/>
          </w:tcPr>
          <w:p w14:paraId="60FDDA5C">
            <w:pPr>
              <w:pStyle w:val="31"/>
              <w:bidi w:val="0"/>
            </w:pPr>
            <w:r>
              <w:rPr>
                <w:rFonts w:hint="eastAsia"/>
              </w:rPr>
              <w:t>17</w:t>
            </w:r>
          </w:p>
        </w:tc>
        <w:tc>
          <w:tcPr>
            <w:tcW w:w="665" w:type="pct"/>
            <w:vAlign w:val="center"/>
          </w:tcPr>
          <w:p w14:paraId="05AEDFAE">
            <w:pPr>
              <w:pStyle w:val="31"/>
              <w:bidi w:val="0"/>
            </w:pPr>
            <w:r>
              <w:rPr>
                <w:rFonts w:hint="eastAsia"/>
              </w:rPr>
              <w:t>16</w:t>
            </w:r>
          </w:p>
        </w:tc>
        <w:tc>
          <w:tcPr>
            <w:tcW w:w="467" w:type="pct"/>
            <w:vAlign w:val="center"/>
          </w:tcPr>
          <w:p w14:paraId="20C7CB0A">
            <w:pPr>
              <w:pStyle w:val="31"/>
              <w:bidi w:val="0"/>
            </w:pPr>
            <w:r>
              <w:rPr>
                <w:rFonts w:hint="eastAsia"/>
              </w:rPr>
              <w:t>2</w:t>
            </w:r>
            <w:r>
              <w:t>0</w:t>
            </w:r>
          </w:p>
        </w:tc>
        <w:tc>
          <w:tcPr>
            <w:tcW w:w="400" w:type="pct"/>
            <w:vAlign w:val="center"/>
          </w:tcPr>
          <w:p w14:paraId="2BC4F448">
            <w:pPr>
              <w:pStyle w:val="31"/>
              <w:bidi w:val="0"/>
            </w:pPr>
            <w:r>
              <w:rPr>
                <w:rFonts w:hint="eastAsia"/>
              </w:rPr>
              <w:t>达标</w:t>
            </w:r>
          </w:p>
        </w:tc>
      </w:tr>
      <w:tr w14:paraId="79640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47134FB0">
            <w:pPr>
              <w:pStyle w:val="31"/>
              <w:bidi w:val="0"/>
            </w:pPr>
          </w:p>
        </w:tc>
        <w:tc>
          <w:tcPr>
            <w:tcW w:w="931" w:type="pct"/>
            <w:vAlign w:val="center"/>
          </w:tcPr>
          <w:p w14:paraId="4AE4EC07">
            <w:pPr>
              <w:pStyle w:val="31"/>
              <w:bidi w:val="0"/>
            </w:pPr>
            <w:r>
              <w:rPr>
                <w:rFonts w:hint="eastAsia"/>
              </w:rPr>
              <w:t>BOD</w:t>
            </w:r>
            <w:r>
              <w:t>5</w:t>
            </w:r>
          </w:p>
        </w:tc>
        <w:tc>
          <w:tcPr>
            <w:tcW w:w="540" w:type="pct"/>
          </w:tcPr>
          <w:p w14:paraId="4B3FA142">
            <w:pPr>
              <w:pStyle w:val="31"/>
              <w:bidi w:val="0"/>
            </w:pPr>
            <w:r>
              <w:rPr>
                <w:rFonts w:hint="eastAsia"/>
              </w:rPr>
              <w:t>mg</w:t>
            </w:r>
            <w:r>
              <w:t>/L</w:t>
            </w:r>
          </w:p>
        </w:tc>
        <w:tc>
          <w:tcPr>
            <w:tcW w:w="664" w:type="pct"/>
            <w:vAlign w:val="center"/>
          </w:tcPr>
          <w:p w14:paraId="631A3D36">
            <w:pPr>
              <w:pStyle w:val="31"/>
              <w:bidi w:val="0"/>
            </w:pPr>
            <w:r>
              <w:rPr>
                <w:rFonts w:hint="eastAsia"/>
              </w:rPr>
              <w:t>3.8</w:t>
            </w:r>
          </w:p>
        </w:tc>
        <w:tc>
          <w:tcPr>
            <w:tcW w:w="664" w:type="pct"/>
            <w:vAlign w:val="center"/>
          </w:tcPr>
          <w:p w14:paraId="00AB3177">
            <w:pPr>
              <w:pStyle w:val="31"/>
              <w:bidi w:val="0"/>
            </w:pPr>
            <w:r>
              <w:rPr>
                <w:rFonts w:hint="eastAsia"/>
              </w:rPr>
              <w:t>3.9</w:t>
            </w:r>
          </w:p>
        </w:tc>
        <w:tc>
          <w:tcPr>
            <w:tcW w:w="665" w:type="pct"/>
            <w:vAlign w:val="center"/>
          </w:tcPr>
          <w:p w14:paraId="42954479">
            <w:pPr>
              <w:pStyle w:val="31"/>
              <w:bidi w:val="0"/>
            </w:pPr>
            <w:r>
              <w:rPr>
                <w:rFonts w:hint="eastAsia"/>
              </w:rPr>
              <w:t>3.6</w:t>
            </w:r>
          </w:p>
        </w:tc>
        <w:tc>
          <w:tcPr>
            <w:tcW w:w="467" w:type="pct"/>
            <w:vAlign w:val="center"/>
          </w:tcPr>
          <w:p w14:paraId="7370B02B">
            <w:pPr>
              <w:pStyle w:val="31"/>
              <w:bidi w:val="0"/>
            </w:pPr>
            <w:r>
              <w:rPr>
                <w:rFonts w:hint="eastAsia"/>
              </w:rPr>
              <w:t>4</w:t>
            </w:r>
          </w:p>
        </w:tc>
        <w:tc>
          <w:tcPr>
            <w:tcW w:w="400" w:type="pct"/>
            <w:vAlign w:val="center"/>
          </w:tcPr>
          <w:p w14:paraId="45236199">
            <w:pPr>
              <w:pStyle w:val="31"/>
              <w:bidi w:val="0"/>
            </w:pPr>
            <w:r>
              <w:rPr>
                <w:rFonts w:hint="eastAsia"/>
              </w:rPr>
              <w:t>达标</w:t>
            </w:r>
          </w:p>
        </w:tc>
      </w:tr>
      <w:tr w14:paraId="58CF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0E6EE4E0">
            <w:pPr>
              <w:pStyle w:val="31"/>
              <w:bidi w:val="0"/>
            </w:pPr>
          </w:p>
        </w:tc>
        <w:tc>
          <w:tcPr>
            <w:tcW w:w="931" w:type="pct"/>
            <w:vAlign w:val="center"/>
          </w:tcPr>
          <w:p w14:paraId="4F4F0C43">
            <w:pPr>
              <w:pStyle w:val="31"/>
              <w:bidi w:val="0"/>
            </w:pPr>
            <w:r>
              <w:rPr>
                <w:rFonts w:hint="eastAsia"/>
              </w:rPr>
              <w:t>SS</w:t>
            </w:r>
            <w:r>
              <w:t xml:space="preserve"> </w:t>
            </w:r>
          </w:p>
        </w:tc>
        <w:tc>
          <w:tcPr>
            <w:tcW w:w="540" w:type="pct"/>
          </w:tcPr>
          <w:p w14:paraId="26964A99">
            <w:pPr>
              <w:pStyle w:val="31"/>
              <w:bidi w:val="0"/>
            </w:pPr>
            <w:r>
              <w:rPr>
                <w:rFonts w:hint="eastAsia"/>
              </w:rPr>
              <w:t>mg</w:t>
            </w:r>
            <w:r>
              <w:t>/L</w:t>
            </w:r>
          </w:p>
        </w:tc>
        <w:tc>
          <w:tcPr>
            <w:tcW w:w="664" w:type="pct"/>
            <w:vAlign w:val="bottom"/>
          </w:tcPr>
          <w:p w14:paraId="6EB88467">
            <w:pPr>
              <w:pStyle w:val="31"/>
              <w:bidi w:val="0"/>
            </w:pPr>
            <w:r>
              <w:rPr>
                <w:rFonts w:hint="eastAsia"/>
              </w:rPr>
              <w:t>15</w:t>
            </w:r>
          </w:p>
        </w:tc>
        <w:tc>
          <w:tcPr>
            <w:tcW w:w="664" w:type="pct"/>
            <w:vAlign w:val="bottom"/>
          </w:tcPr>
          <w:p w14:paraId="37BC65CB">
            <w:pPr>
              <w:pStyle w:val="31"/>
              <w:bidi w:val="0"/>
            </w:pPr>
            <w:r>
              <w:rPr>
                <w:rFonts w:hint="eastAsia"/>
              </w:rPr>
              <w:t>16</w:t>
            </w:r>
          </w:p>
        </w:tc>
        <w:tc>
          <w:tcPr>
            <w:tcW w:w="665" w:type="pct"/>
            <w:vAlign w:val="bottom"/>
          </w:tcPr>
          <w:p w14:paraId="5199F8AF">
            <w:pPr>
              <w:pStyle w:val="31"/>
              <w:bidi w:val="0"/>
            </w:pPr>
            <w:r>
              <w:rPr>
                <w:rFonts w:hint="eastAsia"/>
              </w:rPr>
              <w:t>18</w:t>
            </w:r>
          </w:p>
        </w:tc>
        <w:tc>
          <w:tcPr>
            <w:tcW w:w="467" w:type="pct"/>
            <w:vAlign w:val="center"/>
          </w:tcPr>
          <w:p w14:paraId="1AE6268C">
            <w:pPr>
              <w:pStyle w:val="31"/>
              <w:bidi w:val="0"/>
            </w:pPr>
            <w:r>
              <w:rPr>
                <w:rFonts w:hint="eastAsia"/>
              </w:rPr>
              <w:t>/</w:t>
            </w:r>
          </w:p>
        </w:tc>
        <w:tc>
          <w:tcPr>
            <w:tcW w:w="400" w:type="pct"/>
            <w:vAlign w:val="center"/>
          </w:tcPr>
          <w:p w14:paraId="0A617B97">
            <w:pPr>
              <w:pStyle w:val="31"/>
              <w:bidi w:val="0"/>
            </w:pPr>
            <w:r>
              <w:rPr>
                <w:rFonts w:hint="eastAsia"/>
              </w:rPr>
              <w:t>达标</w:t>
            </w:r>
          </w:p>
        </w:tc>
      </w:tr>
      <w:tr w14:paraId="6CB37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1894877E">
            <w:pPr>
              <w:pStyle w:val="31"/>
              <w:bidi w:val="0"/>
            </w:pPr>
          </w:p>
        </w:tc>
        <w:tc>
          <w:tcPr>
            <w:tcW w:w="931" w:type="pct"/>
            <w:vAlign w:val="center"/>
          </w:tcPr>
          <w:p w14:paraId="151EB741">
            <w:pPr>
              <w:pStyle w:val="31"/>
              <w:bidi w:val="0"/>
            </w:pPr>
            <w:r>
              <w:rPr>
                <w:rFonts w:hint="eastAsia"/>
              </w:rPr>
              <w:t>氨氮</w:t>
            </w:r>
          </w:p>
        </w:tc>
        <w:tc>
          <w:tcPr>
            <w:tcW w:w="540" w:type="pct"/>
          </w:tcPr>
          <w:p w14:paraId="56690138">
            <w:pPr>
              <w:pStyle w:val="31"/>
              <w:bidi w:val="0"/>
            </w:pPr>
            <w:r>
              <w:rPr>
                <w:rFonts w:hint="eastAsia"/>
              </w:rPr>
              <w:t>mg</w:t>
            </w:r>
            <w:r>
              <w:t>/L</w:t>
            </w:r>
          </w:p>
        </w:tc>
        <w:tc>
          <w:tcPr>
            <w:tcW w:w="664" w:type="pct"/>
            <w:vAlign w:val="center"/>
          </w:tcPr>
          <w:p w14:paraId="15609B8F">
            <w:pPr>
              <w:pStyle w:val="31"/>
              <w:bidi w:val="0"/>
            </w:pPr>
            <w:r>
              <w:rPr>
                <w:rFonts w:hint="eastAsia"/>
              </w:rPr>
              <w:t>0.341</w:t>
            </w:r>
          </w:p>
        </w:tc>
        <w:tc>
          <w:tcPr>
            <w:tcW w:w="664" w:type="pct"/>
            <w:vAlign w:val="center"/>
          </w:tcPr>
          <w:p w14:paraId="363C8B1A">
            <w:pPr>
              <w:pStyle w:val="31"/>
              <w:bidi w:val="0"/>
            </w:pPr>
            <w:r>
              <w:rPr>
                <w:rFonts w:hint="eastAsia"/>
              </w:rPr>
              <w:t>0.330</w:t>
            </w:r>
          </w:p>
        </w:tc>
        <w:tc>
          <w:tcPr>
            <w:tcW w:w="665" w:type="pct"/>
            <w:vAlign w:val="center"/>
          </w:tcPr>
          <w:p w14:paraId="4BB1293B">
            <w:pPr>
              <w:pStyle w:val="31"/>
              <w:bidi w:val="0"/>
            </w:pPr>
            <w:r>
              <w:rPr>
                <w:rFonts w:hint="eastAsia"/>
              </w:rPr>
              <w:t>0.346</w:t>
            </w:r>
          </w:p>
        </w:tc>
        <w:tc>
          <w:tcPr>
            <w:tcW w:w="467" w:type="pct"/>
            <w:vAlign w:val="center"/>
          </w:tcPr>
          <w:p w14:paraId="66878C88">
            <w:pPr>
              <w:pStyle w:val="31"/>
              <w:bidi w:val="0"/>
            </w:pPr>
            <w:r>
              <w:rPr>
                <w:rFonts w:hint="eastAsia"/>
              </w:rPr>
              <w:t>1.0</w:t>
            </w:r>
          </w:p>
        </w:tc>
        <w:tc>
          <w:tcPr>
            <w:tcW w:w="400" w:type="pct"/>
            <w:vAlign w:val="center"/>
          </w:tcPr>
          <w:p w14:paraId="79271DE9">
            <w:pPr>
              <w:pStyle w:val="31"/>
              <w:bidi w:val="0"/>
            </w:pPr>
            <w:r>
              <w:rPr>
                <w:rFonts w:hint="eastAsia"/>
              </w:rPr>
              <w:t>达标</w:t>
            </w:r>
          </w:p>
        </w:tc>
      </w:tr>
      <w:tr w14:paraId="06D06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3B2B20AF">
            <w:pPr>
              <w:pStyle w:val="31"/>
              <w:bidi w:val="0"/>
            </w:pPr>
          </w:p>
        </w:tc>
        <w:tc>
          <w:tcPr>
            <w:tcW w:w="931" w:type="pct"/>
            <w:vAlign w:val="center"/>
          </w:tcPr>
          <w:p w14:paraId="0091A9D4">
            <w:pPr>
              <w:pStyle w:val="31"/>
              <w:bidi w:val="0"/>
            </w:pPr>
            <w:r>
              <w:rPr>
                <w:rFonts w:hint="eastAsia"/>
              </w:rPr>
              <w:t>TP</w:t>
            </w:r>
          </w:p>
        </w:tc>
        <w:tc>
          <w:tcPr>
            <w:tcW w:w="540" w:type="pct"/>
          </w:tcPr>
          <w:p w14:paraId="6F2CCBBB">
            <w:pPr>
              <w:pStyle w:val="31"/>
              <w:bidi w:val="0"/>
            </w:pPr>
            <w:r>
              <w:rPr>
                <w:rFonts w:hint="eastAsia"/>
              </w:rPr>
              <w:t>mg</w:t>
            </w:r>
            <w:r>
              <w:t>/L</w:t>
            </w:r>
          </w:p>
        </w:tc>
        <w:tc>
          <w:tcPr>
            <w:tcW w:w="664" w:type="pct"/>
            <w:vAlign w:val="center"/>
          </w:tcPr>
          <w:p w14:paraId="2490BB19">
            <w:pPr>
              <w:pStyle w:val="31"/>
              <w:bidi w:val="0"/>
            </w:pPr>
            <w:r>
              <w:rPr>
                <w:rFonts w:hint="eastAsia"/>
              </w:rPr>
              <w:t>0.10</w:t>
            </w:r>
          </w:p>
        </w:tc>
        <w:tc>
          <w:tcPr>
            <w:tcW w:w="664" w:type="pct"/>
            <w:vAlign w:val="center"/>
          </w:tcPr>
          <w:p w14:paraId="5F667E54">
            <w:pPr>
              <w:pStyle w:val="31"/>
              <w:bidi w:val="0"/>
            </w:pPr>
            <w:r>
              <w:rPr>
                <w:rFonts w:hint="eastAsia"/>
              </w:rPr>
              <w:t>0.13</w:t>
            </w:r>
          </w:p>
        </w:tc>
        <w:tc>
          <w:tcPr>
            <w:tcW w:w="665" w:type="pct"/>
            <w:vAlign w:val="center"/>
          </w:tcPr>
          <w:p w14:paraId="7A094AF5">
            <w:pPr>
              <w:pStyle w:val="31"/>
              <w:bidi w:val="0"/>
            </w:pPr>
            <w:r>
              <w:rPr>
                <w:rFonts w:hint="eastAsia"/>
              </w:rPr>
              <w:t>0.13</w:t>
            </w:r>
          </w:p>
        </w:tc>
        <w:tc>
          <w:tcPr>
            <w:tcW w:w="467" w:type="pct"/>
            <w:vAlign w:val="center"/>
          </w:tcPr>
          <w:p w14:paraId="518D8F2A">
            <w:pPr>
              <w:pStyle w:val="31"/>
              <w:bidi w:val="0"/>
            </w:pPr>
            <w:r>
              <w:rPr>
                <w:rFonts w:hint="eastAsia"/>
              </w:rPr>
              <w:t>0.2</w:t>
            </w:r>
          </w:p>
        </w:tc>
        <w:tc>
          <w:tcPr>
            <w:tcW w:w="400" w:type="pct"/>
            <w:vAlign w:val="center"/>
          </w:tcPr>
          <w:p w14:paraId="3EBA2955">
            <w:pPr>
              <w:pStyle w:val="31"/>
              <w:bidi w:val="0"/>
            </w:pPr>
            <w:r>
              <w:rPr>
                <w:rFonts w:hint="eastAsia"/>
              </w:rPr>
              <w:t>/</w:t>
            </w:r>
          </w:p>
        </w:tc>
      </w:tr>
      <w:tr w14:paraId="6A372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04A6105C">
            <w:pPr>
              <w:pStyle w:val="31"/>
              <w:bidi w:val="0"/>
            </w:pPr>
          </w:p>
        </w:tc>
        <w:tc>
          <w:tcPr>
            <w:tcW w:w="931" w:type="pct"/>
            <w:vAlign w:val="center"/>
          </w:tcPr>
          <w:p w14:paraId="71CE4AB9">
            <w:pPr>
              <w:pStyle w:val="31"/>
              <w:bidi w:val="0"/>
            </w:pPr>
            <w:r>
              <w:rPr>
                <w:rFonts w:hint="eastAsia"/>
              </w:rPr>
              <w:t>TN</w:t>
            </w:r>
          </w:p>
        </w:tc>
        <w:tc>
          <w:tcPr>
            <w:tcW w:w="540" w:type="pct"/>
          </w:tcPr>
          <w:p w14:paraId="121588FB">
            <w:pPr>
              <w:pStyle w:val="31"/>
              <w:bidi w:val="0"/>
            </w:pPr>
            <w:r>
              <w:rPr>
                <w:rFonts w:hint="eastAsia"/>
              </w:rPr>
              <w:t>mg</w:t>
            </w:r>
            <w:r>
              <w:t>/L</w:t>
            </w:r>
          </w:p>
        </w:tc>
        <w:tc>
          <w:tcPr>
            <w:tcW w:w="664" w:type="pct"/>
            <w:vAlign w:val="center"/>
          </w:tcPr>
          <w:p w14:paraId="5F34BCB4">
            <w:pPr>
              <w:pStyle w:val="31"/>
              <w:bidi w:val="0"/>
            </w:pPr>
            <w:r>
              <w:rPr>
                <w:rFonts w:hint="eastAsia"/>
              </w:rPr>
              <w:t>2.87</w:t>
            </w:r>
          </w:p>
        </w:tc>
        <w:tc>
          <w:tcPr>
            <w:tcW w:w="664" w:type="pct"/>
            <w:vAlign w:val="center"/>
          </w:tcPr>
          <w:p w14:paraId="05383616">
            <w:pPr>
              <w:pStyle w:val="31"/>
              <w:bidi w:val="0"/>
            </w:pPr>
            <w:r>
              <w:rPr>
                <w:rFonts w:hint="eastAsia"/>
              </w:rPr>
              <w:t>1.72</w:t>
            </w:r>
          </w:p>
        </w:tc>
        <w:tc>
          <w:tcPr>
            <w:tcW w:w="665" w:type="pct"/>
            <w:vAlign w:val="center"/>
          </w:tcPr>
          <w:p w14:paraId="587FA4A9">
            <w:pPr>
              <w:pStyle w:val="31"/>
              <w:bidi w:val="0"/>
            </w:pPr>
            <w:r>
              <w:rPr>
                <w:rFonts w:hint="eastAsia"/>
              </w:rPr>
              <w:t>0.62</w:t>
            </w:r>
          </w:p>
        </w:tc>
        <w:tc>
          <w:tcPr>
            <w:tcW w:w="467" w:type="pct"/>
            <w:vAlign w:val="center"/>
          </w:tcPr>
          <w:p w14:paraId="33DCC9DA">
            <w:pPr>
              <w:pStyle w:val="31"/>
              <w:bidi w:val="0"/>
            </w:pPr>
            <w:r>
              <w:rPr>
                <w:rFonts w:hint="eastAsia"/>
              </w:rPr>
              <w:t>/</w:t>
            </w:r>
          </w:p>
        </w:tc>
        <w:tc>
          <w:tcPr>
            <w:tcW w:w="400" w:type="pct"/>
            <w:vAlign w:val="center"/>
          </w:tcPr>
          <w:p w14:paraId="38387D99">
            <w:pPr>
              <w:pStyle w:val="31"/>
              <w:bidi w:val="0"/>
            </w:pPr>
            <w:r>
              <w:rPr>
                <w:rFonts w:hint="eastAsia"/>
              </w:rPr>
              <w:t>达标</w:t>
            </w:r>
          </w:p>
        </w:tc>
      </w:tr>
      <w:tr w14:paraId="0FE6B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602FE917">
            <w:pPr>
              <w:pStyle w:val="31"/>
              <w:bidi w:val="0"/>
            </w:pPr>
          </w:p>
        </w:tc>
        <w:tc>
          <w:tcPr>
            <w:tcW w:w="931" w:type="pct"/>
            <w:vAlign w:val="center"/>
          </w:tcPr>
          <w:p w14:paraId="290DF41E">
            <w:pPr>
              <w:pStyle w:val="31"/>
              <w:bidi w:val="0"/>
            </w:pPr>
            <w:r>
              <w:rPr>
                <w:rFonts w:hint="eastAsia"/>
              </w:rPr>
              <w:t>石油类</w:t>
            </w:r>
          </w:p>
        </w:tc>
        <w:tc>
          <w:tcPr>
            <w:tcW w:w="540" w:type="pct"/>
          </w:tcPr>
          <w:p w14:paraId="175AF7CC">
            <w:pPr>
              <w:pStyle w:val="31"/>
              <w:bidi w:val="0"/>
            </w:pPr>
            <w:r>
              <w:t xml:space="preserve">mg/L </w:t>
            </w:r>
          </w:p>
        </w:tc>
        <w:tc>
          <w:tcPr>
            <w:tcW w:w="664" w:type="pct"/>
            <w:vAlign w:val="center"/>
          </w:tcPr>
          <w:p w14:paraId="17E0F8DF">
            <w:pPr>
              <w:pStyle w:val="31"/>
              <w:bidi w:val="0"/>
            </w:pPr>
            <w:r>
              <w:rPr>
                <w:rFonts w:hint="eastAsia"/>
              </w:rPr>
              <w:t>0.01L</w:t>
            </w:r>
          </w:p>
        </w:tc>
        <w:tc>
          <w:tcPr>
            <w:tcW w:w="664" w:type="pct"/>
            <w:vAlign w:val="center"/>
          </w:tcPr>
          <w:p w14:paraId="2CB8397C">
            <w:pPr>
              <w:pStyle w:val="31"/>
              <w:bidi w:val="0"/>
            </w:pPr>
            <w:r>
              <w:rPr>
                <w:rFonts w:hint="eastAsia"/>
              </w:rPr>
              <w:t>0.01L</w:t>
            </w:r>
          </w:p>
        </w:tc>
        <w:tc>
          <w:tcPr>
            <w:tcW w:w="665" w:type="pct"/>
            <w:vAlign w:val="center"/>
          </w:tcPr>
          <w:p w14:paraId="328225E9">
            <w:pPr>
              <w:pStyle w:val="31"/>
              <w:bidi w:val="0"/>
            </w:pPr>
            <w:r>
              <w:rPr>
                <w:rFonts w:hint="eastAsia"/>
              </w:rPr>
              <w:t>0.01L</w:t>
            </w:r>
          </w:p>
        </w:tc>
        <w:tc>
          <w:tcPr>
            <w:tcW w:w="467" w:type="pct"/>
            <w:vAlign w:val="center"/>
          </w:tcPr>
          <w:p w14:paraId="45F529A5">
            <w:pPr>
              <w:pStyle w:val="31"/>
              <w:bidi w:val="0"/>
            </w:pPr>
            <w:r>
              <w:rPr>
                <w:rFonts w:hint="eastAsia"/>
              </w:rPr>
              <w:t>0.05</w:t>
            </w:r>
          </w:p>
        </w:tc>
        <w:tc>
          <w:tcPr>
            <w:tcW w:w="400" w:type="pct"/>
            <w:vAlign w:val="center"/>
          </w:tcPr>
          <w:p w14:paraId="694B7C26">
            <w:pPr>
              <w:pStyle w:val="31"/>
              <w:bidi w:val="0"/>
            </w:pPr>
            <w:r>
              <w:rPr>
                <w:rFonts w:hint="eastAsia"/>
              </w:rPr>
              <w:t>达标</w:t>
            </w:r>
          </w:p>
        </w:tc>
      </w:tr>
      <w:tr w14:paraId="4304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pct"/>
            <w:vMerge w:val="continue"/>
            <w:vAlign w:val="center"/>
          </w:tcPr>
          <w:p w14:paraId="21DAA6FD">
            <w:pPr>
              <w:pStyle w:val="31"/>
              <w:bidi w:val="0"/>
            </w:pPr>
          </w:p>
        </w:tc>
        <w:tc>
          <w:tcPr>
            <w:tcW w:w="931" w:type="pct"/>
            <w:vAlign w:val="center"/>
          </w:tcPr>
          <w:p w14:paraId="5C44F0A1">
            <w:pPr>
              <w:pStyle w:val="31"/>
              <w:bidi w:val="0"/>
            </w:pPr>
            <w:r>
              <w:rPr>
                <w:rFonts w:hint="eastAsia"/>
              </w:rPr>
              <w:t>粪大肠菌群</w:t>
            </w:r>
          </w:p>
        </w:tc>
        <w:tc>
          <w:tcPr>
            <w:tcW w:w="540" w:type="pct"/>
          </w:tcPr>
          <w:p w14:paraId="5BD03D95">
            <w:pPr>
              <w:pStyle w:val="31"/>
              <w:bidi w:val="0"/>
            </w:pPr>
            <w:r>
              <w:t>MPN/L</w:t>
            </w:r>
          </w:p>
        </w:tc>
        <w:tc>
          <w:tcPr>
            <w:tcW w:w="664" w:type="pct"/>
            <w:vAlign w:val="center"/>
          </w:tcPr>
          <w:p w14:paraId="5ED768F3">
            <w:pPr>
              <w:pStyle w:val="31"/>
              <w:bidi w:val="0"/>
            </w:pPr>
            <w:r>
              <w:rPr>
                <w:rFonts w:hint="eastAsia"/>
              </w:rPr>
              <w:t>90</w:t>
            </w:r>
          </w:p>
        </w:tc>
        <w:tc>
          <w:tcPr>
            <w:tcW w:w="664" w:type="pct"/>
            <w:vAlign w:val="center"/>
          </w:tcPr>
          <w:p w14:paraId="08E21ABB">
            <w:pPr>
              <w:pStyle w:val="31"/>
              <w:bidi w:val="0"/>
            </w:pPr>
            <w:r>
              <w:rPr>
                <w:rFonts w:hint="eastAsia"/>
              </w:rPr>
              <w:t>110</w:t>
            </w:r>
          </w:p>
        </w:tc>
        <w:tc>
          <w:tcPr>
            <w:tcW w:w="665" w:type="pct"/>
            <w:vAlign w:val="center"/>
          </w:tcPr>
          <w:p w14:paraId="6528335A">
            <w:pPr>
              <w:pStyle w:val="31"/>
              <w:bidi w:val="0"/>
            </w:pPr>
            <w:r>
              <w:rPr>
                <w:rFonts w:hint="eastAsia"/>
              </w:rPr>
              <w:t>270</w:t>
            </w:r>
          </w:p>
        </w:tc>
        <w:tc>
          <w:tcPr>
            <w:tcW w:w="467" w:type="pct"/>
            <w:vAlign w:val="center"/>
          </w:tcPr>
          <w:p w14:paraId="5246DF1B">
            <w:pPr>
              <w:pStyle w:val="31"/>
              <w:bidi w:val="0"/>
            </w:pPr>
            <w:r>
              <w:rPr>
                <w:rFonts w:hint="eastAsia"/>
              </w:rPr>
              <w:t>1</w:t>
            </w:r>
            <w:r>
              <w:t>0000</w:t>
            </w:r>
          </w:p>
        </w:tc>
        <w:tc>
          <w:tcPr>
            <w:tcW w:w="400" w:type="pct"/>
            <w:vAlign w:val="center"/>
          </w:tcPr>
          <w:p w14:paraId="03E9FFBB">
            <w:pPr>
              <w:pStyle w:val="31"/>
              <w:bidi w:val="0"/>
            </w:pPr>
            <w:r>
              <w:rPr>
                <w:rFonts w:hint="eastAsia"/>
              </w:rPr>
              <w:t>/</w:t>
            </w:r>
          </w:p>
        </w:tc>
      </w:tr>
    </w:tbl>
    <w:p w14:paraId="7AF779C3">
      <w:pPr>
        <w:pStyle w:val="23"/>
        <w:bidi w:val="0"/>
        <w:rPr>
          <w:rFonts w:hint="default"/>
          <w:lang w:val="en-US" w:eastAsia="zh-CN"/>
        </w:rPr>
      </w:pPr>
      <w:r>
        <w:rPr>
          <w:rFonts w:hint="eastAsia"/>
          <w:lang w:val="en-US" w:eastAsia="zh-CN"/>
        </w:rPr>
        <w:t>表4.3-4  引用</w:t>
      </w:r>
      <w:r>
        <w:rPr>
          <w:rFonts w:hint="eastAsia" w:ascii="Times New Roman" w:hAnsi="Times New Roman" w:cs="Times New Roman"/>
          <w:vertAlign w:val="baseline"/>
          <w:lang w:val="en-US" w:eastAsia="zh-CN"/>
        </w:rPr>
        <w:t>湖南省鑫安畜牧有限公司入河排污口设置论证监测数据</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273"/>
        <w:gridCol w:w="858"/>
        <w:gridCol w:w="1056"/>
        <w:gridCol w:w="1056"/>
        <w:gridCol w:w="1056"/>
        <w:gridCol w:w="1013"/>
        <w:gridCol w:w="1045"/>
      </w:tblGrid>
      <w:tr w14:paraId="5937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restart"/>
            <w:vAlign w:val="center"/>
          </w:tcPr>
          <w:p w14:paraId="1E28087C">
            <w:pPr>
              <w:pStyle w:val="31"/>
              <w:bidi w:val="0"/>
            </w:pPr>
            <w:r>
              <w:rPr>
                <w:rFonts w:hint="eastAsia"/>
              </w:rPr>
              <w:t>监测点位</w:t>
            </w:r>
          </w:p>
        </w:tc>
        <w:tc>
          <w:tcPr>
            <w:tcW w:w="806" w:type="pct"/>
            <w:vMerge w:val="restart"/>
            <w:vAlign w:val="center"/>
          </w:tcPr>
          <w:p w14:paraId="2BC9AE4E">
            <w:pPr>
              <w:pStyle w:val="31"/>
              <w:bidi w:val="0"/>
            </w:pPr>
            <w:r>
              <w:rPr>
                <w:rFonts w:hint="eastAsia"/>
              </w:rPr>
              <w:t>监测因子</w:t>
            </w:r>
          </w:p>
        </w:tc>
        <w:tc>
          <w:tcPr>
            <w:tcW w:w="546" w:type="pct"/>
            <w:vMerge w:val="restart"/>
            <w:vAlign w:val="center"/>
          </w:tcPr>
          <w:p w14:paraId="69E120E8">
            <w:pPr>
              <w:pStyle w:val="31"/>
              <w:bidi w:val="0"/>
            </w:pPr>
            <w:r>
              <w:rPr>
                <w:rFonts w:hint="eastAsia"/>
              </w:rPr>
              <w:t>单位</w:t>
            </w:r>
          </w:p>
        </w:tc>
        <w:tc>
          <w:tcPr>
            <w:tcW w:w="1559" w:type="pct"/>
            <w:gridSpan w:val="3"/>
            <w:vAlign w:val="center"/>
          </w:tcPr>
          <w:p w14:paraId="14E24E40">
            <w:pPr>
              <w:pStyle w:val="31"/>
              <w:bidi w:val="0"/>
            </w:pPr>
            <w:r>
              <w:rPr>
                <w:rFonts w:hint="eastAsia"/>
              </w:rPr>
              <w:t>监测时间及监测结果</w:t>
            </w:r>
          </w:p>
        </w:tc>
        <w:tc>
          <w:tcPr>
            <w:tcW w:w="671" w:type="pct"/>
            <w:vMerge w:val="restart"/>
            <w:vAlign w:val="center"/>
          </w:tcPr>
          <w:p w14:paraId="17CBBFC9">
            <w:pPr>
              <w:pStyle w:val="31"/>
              <w:bidi w:val="0"/>
            </w:pPr>
            <w:r>
              <w:rPr>
                <w:rFonts w:hint="eastAsia"/>
              </w:rPr>
              <w:t>标准限值</w:t>
            </w:r>
          </w:p>
        </w:tc>
        <w:tc>
          <w:tcPr>
            <w:tcW w:w="672" w:type="pct"/>
            <w:vMerge w:val="restart"/>
            <w:vAlign w:val="center"/>
          </w:tcPr>
          <w:p w14:paraId="583C28E8">
            <w:pPr>
              <w:pStyle w:val="31"/>
              <w:bidi w:val="0"/>
              <w:rPr>
                <w:rFonts w:hint="eastAsia"/>
              </w:rPr>
            </w:pPr>
            <w:r>
              <w:rPr>
                <w:rFonts w:hint="eastAsia"/>
              </w:rPr>
              <w:t>达标</w:t>
            </w:r>
          </w:p>
          <w:p w14:paraId="31E018CA">
            <w:pPr>
              <w:pStyle w:val="31"/>
              <w:bidi w:val="0"/>
            </w:pPr>
            <w:r>
              <w:rPr>
                <w:rFonts w:hint="eastAsia"/>
              </w:rPr>
              <w:t>情况</w:t>
            </w:r>
          </w:p>
        </w:tc>
      </w:tr>
      <w:tr w14:paraId="18EC7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672877D8">
            <w:pPr>
              <w:pStyle w:val="31"/>
              <w:bidi w:val="0"/>
            </w:pPr>
          </w:p>
        </w:tc>
        <w:tc>
          <w:tcPr>
            <w:tcW w:w="806" w:type="pct"/>
            <w:vMerge w:val="continue"/>
            <w:vAlign w:val="center"/>
          </w:tcPr>
          <w:p w14:paraId="776B571F">
            <w:pPr>
              <w:pStyle w:val="31"/>
              <w:bidi w:val="0"/>
            </w:pPr>
          </w:p>
        </w:tc>
        <w:tc>
          <w:tcPr>
            <w:tcW w:w="546" w:type="pct"/>
            <w:vMerge w:val="continue"/>
            <w:vAlign w:val="center"/>
          </w:tcPr>
          <w:p w14:paraId="17EBE151">
            <w:pPr>
              <w:pStyle w:val="31"/>
              <w:bidi w:val="0"/>
            </w:pPr>
          </w:p>
        </w:tc>
        <w:tc>
          <w:tcPr>
            <w:tcW w:w="519" w:type="pct"/>
            <w:vAlign w:val="center"/>
          </w:tcPr>
          <w:p w14:paraId="741E8242">
            <w:pPr>
              <w:pStyle w:val="31"/>
              <w:bidi w:val="0"/>
              <w:rPr>
                <w:rFonts w:hint="default" w:eastAsia="宋体"/>
                <w:lang w:val="en-US" w:eastAsia="zh-CN"/>
              </w:rPr>
            </w:pPr>
            <w:r>
              <w:rPr>
                <w:rFonts w:hint="eastAsia"/>
                <w:lang w:val="en-US" w:eastAsia="zh-CN"/>
              </w:rPr>
              <w:t>20240914</w:t>
            </w:r>
          </w:p>
        </w:tc>
        <w:tc>
          <w:tcPr>
            <w:tcW w:w="519" w:type="pct"/>
            <w:vAlign w:val="center"/>
          </w:tcPr>
          <w:p w14:paraId="507F8C4E">
            <w:pPr>
              <w:pStyle w:val="31"/>
              <w:bidi w:val="0"/>
              <w:rPr>
                <w:rFonts w:hint="default" w:eastAsia="宋体"/>
                <w:lang w:val="en-US" w:eastAsia="zh-CN"/>
              </w:rPr>
            </w:pPr>
            <w:r>
              <w:rPr>
                <w:rFonts w:hint="eastAsia"/>
                <w:lang w:val="en-US" w:eastAsia="zh-CN"/>
              </w:rPr>
              <w:t>20240915</w:t>
            </w:r>
          </w:p>
        </w:tc>
        <w:tc>
          <w:tcPr>
            <w:tcW w:w="519" w:type="pct"/>
            <w:vAlign w:val="center"/>
          </w:tcPr>
          <w:p w14:paraId="66FA269E">
            <w:pPr>
              <w:pStyle w:val="31"/>
              <w:bidi w:val="0"/>
              <w:rPr>
                <w:rFonts w:hint="default" w:eastAsia="宋体"/>
                <w:lang w:val="en-US" w:eastAsia="zh-CN"/>
              </w:rPr>
            </w:pPr>
            <w:r>
              <w:rPr>
                <w:rFonts w:hint="eastAsia"/>
                <w:lang w:val="en-US" w:eastAsia="zh-CN"/>
              </w:rPr>
              <w:t>20240916</w:t>
            </w:r>
          </w:p>
        </w:tc>
        <w:tc>
          <w:tcPr>
            <w:tcW w:w="671" w:type="pct"/>
            <w:vMerge w:val="continue"/>
            <w:vAlign w:val="center"/>
          </w:tcPr>
          <w:p w14:paraId="2611DA40">
            <w:pPr>
              <w:pStyle w:val="31"/>
              <w:bidi w:val="0"/>
            </w:pPr>
          </w:p>
        </w:tc>
        <w:tc>
          <w:tcPr>
            <w:tcW w:w="672" w:type="pct"/>
            <w:vMerge w:val="continue"/>
            <w:vAlign w:val="center"/>
          </w:tcPr>
          <w:p w14:paraId="1468B4D0">
            <w:pPr>
              <w:pStyle w:val="31"/>
              <w:bidi w:val="0"/>
            </w:pPr>
          </w:p>
        </w:tc>
      </w:tr>
      <w:tr w14:paraId="67FF3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restart"/>
            <w:vAlign w:val="center"/>
          </w:tcPr>
          <w:p w14:paraId="6FCB175B">
            <w:pPr>
              <w:pStyle w:val="31"/>
              <w:bidi w:val="0"/>
            </w:pPr>
            <w:r>
              <w:rPr>
                <w:rFonts w:hint="eastAsia"/>
                <w:lang w:val="en-US" w:eastAsia="zh-CN"/>
              </w:rPr>
              <w:t>SW3湖南省鑫安畜牧有限公司排污口上游500m处</w:t>
            </w:r>
          </w:p>
        </w:tc>
        <w:tc>
          <w:tcPr>
            <w:tcW w:w="806" w:type="pct"/>
            <w:vAlign w:val="center"/>
          </w:tcPr>
          <w:p w14:paraId="70ADAB97">
            <w:pPr>
              <w:pStyle w:val="31"/>
              <w:bidi w:val="0"/>
            </w:pPr>
            <w:r>
              <w:rPr>
                <w:rFonts w:hint="eastAsia"/>
              </w:rPr>
              <w:t>pH值</w:t>
            </w:r>
          </w:p>
        </w:tc>
        <w:tc>
          <w:tcPr>
            <w:tcW w:w="546" w:type="pct"/>
            <w:vAlign w:val="center"/>
          </w:tcPr>
          <w:p w14:paraId="24D32091">
            <w:pPr>
              <w:pStyle w:val="31"/>
              <w:bidi w:val="0"/>
            </w:pPr>
            <w:r>
              <w:rPr>
                <w:rFonts w:hint="eastAsia"/>
              </w:rPr>
              <w:t>无量纲</w:t>
            </w:r>
          </w:p>
        </w:tc>
        <w:tc>
          <w:tcPr>
            <w:tcW w:w="519" w:type="pct"/>
            <w:vAlign w:val="center"/>
          </w:tcPr>
          <w:p w14:paraId="62A82B24">
            <w:pPr>
              <w:pStyle w:val="31"/>
              <w:bidi w:val="0"/>
            </w:pPr>
            <w:r>
              <w:rPr>
                <w:rFonts w:hint="eastAsia"/>
              </w:rPr>
              <w:t>7.9</w:t>
            </w:r>
          </w:p>
        </w:tc>
        <w:tc>
          <w:tcPr>
            <w:tcW w:w="519" w:type="pct"/>
            <w:vAlign w:val="center"/>
          </w:tcPr>
          <w:p w14:paraId="096407DD">
            <w:pPr>
              <w:pStyle w:val="31"/>
              <w:bidi w:val="0"/>
            </w:pPr>
            <w:r>
              <w:rPr>
                <w:rFonts w:hint="eastAsia"/>
              </w:rPr>
              <w:t>7.9</w:t>
            </w:r>
          </w:p>
        </w:tc>
        <w:tc>
          <w:tcPr>
            <w:tcW w:w="519" w:type="pct"/>
            <w:vAlign w:val="center"/>
          </w:tcPr>
          <w:p w14:paraId="43AB84E4">
            <w:pPr>
              <w:pStyle w:val="31"/>
              <w:bidi w:val="0"/>
            </w:pPr>
            <w:r>
              <w:rPr>
                <w:rFonts w:hint="eastAsia"/>
              </w:rPr>
              <w:t>8.2</w:t>
            </w:r>
          </w:p>
        </w:tc>
        <w:tc>
          <w:tcPr>
            <w:tcW w:w="671" w:type="pct"/>
            <w:vAlign w:val="center"/>
          </w:tcPr>
          <w:p w14:paraId="445EF2A9">
            <w:pPr>
              <w:pStyle w:val="31"/>
              <w:bidi w:val="0"/>
            </w:pPr>
            <w:r>
              <w:rPr>
                <w:rFonts w:hint="eastAsia"/>
              </w:rPr>
              <w:t>6-9</w:t>
            </w:r>
          </w:p>
        </w:tc>
        <w:tc>
          <w:tcPr>
            <w:tcW w:w="672" w:type="pct"/>
            <w:vAlign w:val="center"/>
          </w:tcPr>
          <w:p w14:paraId="590BE4F9">
            <w:pPr>
              <w:pStyle w:val="31"/>
              <w:bidi w:val="0"/>
            </w:pPr>
            <w:r>
              <w:rPr>
                <w:rFonts w:hint="eastAsia"/>
              </w:rPr>
              <w:t>达标</w:t>
            </w:r>
          </w:p>
        </w:tc>
      </w:tr>
      <w:tr w14:paraId="0D717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5059A454">
            <w:pPr>
              <w:pStyle w:val="31"/>
              <w:bidi w:val="0"/>
            </w:pPr>
          </w:p>
        </w:tc>
        <w:tc>
          <w:tcPr>
            <w:tcW w:w="806" w:type="pct"/>
            <w:vAlign w:val="center"/>
          </w:tcPr>
          <w:p w14:paraId="4CC7615A">
            <w:pPr>
              <w:pStyle w:val="31"/>
              <w:bidi w:val="0"/>
            </w:pPr>
            <w:r>
              <w:rPr>
                <w:rFonts w:hint="eastAsia"/>
              </w:rPr>
              <w:t>COD</w:t>
            </w:r>
          </w:p>
        </w:tc>
        <w:tc>
          <w:tcPr>
            <w:tcW w:w="546" w:type="pct"/>
            <w:vAlign w:val="center"/>
          </w:tcPr>
          <w:p w14:paraId="5DCCCFA2">
            <w:pPr>
              <w:pStyle w:val="31"/>
              <w:bidi w:val="0"/>
            </w:pPr>
            <w:r>
              <w:t>mg</w:t>
            </w:r>
            <w:r>
              <w:rPr>
                <w:rFonts w:hint="eastAsia"/>
              </w:rPr>
              <w:t>/L</w:t>
            </w:r>
          </w:p>
        </w:tc>
        <w:tc>
          <w:tcPr>
            <w:tcW w:w="519" w:type="pct"/>
            <w:vAlign w:val="center"/>
          </w:tcPr>
          <w:p w14:paraId="29D0C876">
            <w:pPr>
              <w:pStyle w:val="31"/>
              <w:bidi w:val="0"/>
            </w:pPr>
            <w:r>
              <w:rPr>
                <w:rFonts w:hint="eastAsia"/>
              </w:rPr>
              <w:t>7</w:t>
            </w:r>
          </w:p>
        </w:tc>
        <w:tc>
          <w:tcPr>
            <w:tcW w:w="519" w:type="pct"/>
            <w:vAlign w:val="center"/>
          </w:tcPr>
          <w:p w14:paraId="593EE8F2">
            <w:pPr>
              <w:pStyle w:val="31"/>
              <w:bidi w:val="0"/>
            </w:pPr>
            <w:r>
              <w:rPr>
                <w:rFonts w:hint="eastAsia"/>
              </w:rPr>
              <w:t>8</w:t>
            </w:r>
          </w:p>
        </w:tc>
        <w:tc>
          <w:tcPr>
            <w:tcW w:w="519" w:type="pct"/>
            <w:vAlign w:val="center"/>
          </w:tcPr>
          <w:p w14:paraId="4395E3E3">
            <w:pPr>
              <w:pStyle w:val="31"/>
              <w:bidi w:val="0"/>
            </w:pPr>
            <w:r>
              <w:rPr>
                <w:rFonts w:hint="eastAsia"/>
              </w:rPr>
              <w:t>7</w:t>
            </w:r>
          </w:p>
        </w:tc>
        <w:tc>
          <w:tcPr>
            <w:tcW w:w="671" w:type="pct"/>
            <w:vAlign w:val="center"/>
          </w:tcPr>
          <w:p w14:paraId="4366EAD2">
            <w:pPr>
              <w:pStyle w:val="31"/>
              <w:bidi w:val="0"/>
            </w:pPr>
            <w:r>
              <w:rPr>
                <w:rFonts w:hint="eastAsia"/>
              </w:rPr>
              <w:t>20</w:t>
            </w:r>
          </w:p>
        </w:tc>
        <w:tc>
          <w:tcPr>
            <w:tcW w:w="672" w:type="pct"/>
            <w:vAlign w:val="center"/>
          </w:tcPr>
          <w:p w14:paraId="33442628">
            <w:pPr>
              <w:pStyle w:val="31"/>
              <w:bidi w:val="0"/>
            </w:pPr>
            <w:r>
              <w:rPr>
                <w:rFonts w:hint="eastAsia"/>
              </w:rPr>
              <w:t>达标</w:t>
            </w:r>
          </w:p>
        </w:tc>
      </w:tr>
      <w:tr w14:paraId="1871B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64817510">
            <w:pPr>
              <w:pStyle w:val="31"/>
              <w:bidi w:val="0"/>
            </w:pPr>
          </w:p>
        </w:tc>
        <w:tc>
          <w:tcPr>
            <w:tcW w:w="806" w:type="pct"/>
            <w:vAlign w:val="center"/>
          </w:tcPr>
          <w:p w14:paraId="3F705950">
            <w:pPr>
              <w:pStyle w:val="31"/>
              <w:bidi w:val="0"/>
            </w:pPr>
            <w:r>
              <w:rPr>
                <w:rFonts w:hint="eastAsia"/>
              </w:rPr>
              <w:t>氨氮</w:t>
            </w:r>
          </w:p>
        </w:tc>
        <w:tc>
          <w:tcPr>
            <w:tcW w:w="546" w:type="pct"/>
          </w:tcPr>
          <w:p w14:paraId="58A26596">
            <w:pPr>
              <w:pStyle w:val="31"/>
              <w:bidi w:val="0"/>
            </w:pPr>
            <w:r>
              <w:t>mg</w:t>
            </w:r>
            <w:r>
              <w:rPr>
                <w:rFonts w:hint="eastAsia"/>
              </w:rPr>
              <w:t>/L</w:t>
            </w:r>
          </w:p>
        </w:tc>
        <w:tc>
          <w:tcPr>
            <w:tcW w:w="519" w:type="pct"/>
            <w:vAlign w:val="center"/>
          </w:tcPr>
          <w:p w14:paraId="6B814EDA">
            <w:pPr>
              <w:pStyle w:val="31"/>
              <w:bidi w:val="0"/>
            </w:pPr>
            <w:r>
              <w:rPr>
                <w:rFonts w:hint="eastAsia"/>
              </w:rPr>
              <w:t>0.025L</w:t>
            </w:r>
          </w:p>
        </w:tc>
        <w:tc>
          <w:tcPr>
            <w:tcW w:w="519" w:type="pct"/>
          </w:tcPr>
          <w:p w14:paraId="3ADFC8BD">
            <w:pPr>
              <w:pStyle w:val="31"/>
              <w:bidi w:val="0"/>
            </w:pPr>
            <w:r>
              <w:rPr>
                <w:rFonts w:hint="eastAsia"/>
              </w:rPr>
              <w:t>0.025L</w:t>
            </w:r>
          </w:p>
        </w:tc>
        <w:tc>
          <w:tcPr>
            <w:tcW w:w="519" w:type="pct"/>
          </w:tcPr>
          <w:p w14:paraId="1A3D244E">
            <w:pPr>
              <w:pStyle w:val="31"/>
              <w:bidi w:val="0"/>
            </w:pPr>
            <w:r>
              <w:rPr>
                <w:rFonts w:hint="eastAsia"/>
              </w:rPr>
              <w:t>0.025L</w:t>
            </w:r>
          </w:p>
        </w:tc>
        <w:tc>
          <w:tcPr>
            <w:tcW w:w="671" w:type="pct"/>
            <w:vAlign w:val="center"/>
          </w:tcPr>
          <w:p w14:paraId="457C7C6A">
            <w:pPr>
              <w:pStyle w:val="31"/>
              <w:bidi w:val="0"/>
            </w:pPr>
            <w:r>
              <w:rPr>
                <w:rFonts w:hint="eastAsia"/>
              </w:rPr>
              <w:t>1.0</w:t>
            </w:r>
          </w:p>
        </w:tc>
        <w:tc>
          <w:tcPr>
            <w:tcW w:w="672" w:type="pct"/>
            <w:vAlign w:val="center"/>
          </w:tcPr>
          <w:p w14:paraId="7FF1AFC9">
            <w:pPr>
              <w:pStyle w:val="31"/>
              <w:bidi w:val="0"/>
            </w:pPr>
            <w:r>
              <w:rPr>
                <w:rFonts w:hint="eastAsia"/>
              </w:rPr>
              <w:t>达标</w:t>
            </w:r>
          </w:p>
        </w:tc>
      </w:tr>
      <w:tr w14:paraId="018E0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58FD7F94">
            <w:pPr>
              <w:pStyle w:val="31"/>
              <w:bidi w:val="0"/>
            </w:pPr>
          </w:p>
        </w:tc>
        <w:tc>
          <w:tcPr>
            <w:tcW w:w="806" w:type="pct"/>
            <w:vAlign w:val="center"/>
          </w:tcPr>
          <w:p w14:paraId="5322BA19">
            <w:pPr>
              <w:pStyle w:val="31"/>
              <w:bidi w:val="0"/>
            </w:pPr>
            <w:r>
              <w:rPr>
                <w:rFonts w:hint="eastAsia"/>
              </w:rPr>
              <w:t>总磷</w:t>
            </w:r>
          </w:p>
        </w:tc>
        <w:tc>
          <w:tcPr>
            <w:tcW w:w="546" w:type="pct"/>
          </w:tcPr>
          <w:p w14:paraId="35F04E85">
            <w:pPr>
              <w:pStyle w:val="31"/>
              <w:bidi w:val="0"/>
            </w:pPr>
            <w:r>
              <w:t>mg</w:t>
            </w:r>
            <w:r>
              <w:rPr>
                <w:rFonts w:hint="eastAsia"/>
              </w:rPr>
              <w:t>/L</w:t>
            </w:r>
          </w:p>
        </w:tc>
        <w:tc>
          <w:tcPr>
            <w:tcW w:w="519" w:type="pct"/>
            <w:vAlign w:val="center"/>
          </w:tcPr>
          <w:p w14:paraId="149B3DF8">
            <w:pPr>
              <w:pStyle w:val="31"/>
              <w:bidi w:val="0"/>
            </w:pPr>
            <w:r>
              <w:rPr>
                <w:rFonts w:hint="eastAsia"/>
              </w:rPr>
              <w:t>0.01</w:t>
            </w:r>
          </w:p>
        </w:tc>
        <w:tc>
          <w:tcPr>
            <w:tcW w:w="519" w:type="pct"/>
            <w:vAlign w:val="center"/>
          </w:tcPr>
          <w:p w14:paraId="00A6A353">
            <w:pPr>
              <w:pStyle w:val="31"/>
              <w:bidi w:val="0"/>
            </w:pPr>
            <w:r>
              <w:rPr>
                <w:rFonts w:hint="eastAsia"/>
              </w:rPr>
              <w:t>0.02</w:t>
            </w:r>
          </w:p>
        </w:tc>
        <w:tc>
          <w:tcPr>
            <w:tcW w:w="519" w:type="pct"/>
            <w:vAlign w:val="center"/>
          </w:tcPr>
          <w:p w14:paraId="0A127C88">
            <w:pPr>
              <w:pStyle w:val="31"/>
              <w:bidi w:val="0"/>
            </w:pPr>
            <w:r>
              <w:rPr>
                <w:rFonts w:hint="eastAsia"/>
              </w:rPr>
              <w:t>0.01</w:t>
            </w:r>
          </w:p>
        </w:tc>
        <w:tc>
          <w:tcPr>
            <w:tcW w:w="671" w:type="pct"/>
            <w:vAlign w:val="center"/>
          </w:tcPr>
          <w:p w14:paraId="43C2EA42">
            <w:pPr>
              <w:pStyle w:val="31"/>
              <w:bidi w:val="0"/>
            </w:pPr>
            <w:r>
              <w:rPr>
                <w:rFonts w:hint="eastAsia"/>
              </w:rPr>
              <w:t>0.2</w:t>
            </w:r>
          </w:p>
        </w:tc>
        <w:tc>
          <w:tcPr>
            <w:tcW w:w="672" w:type="pct"/>
            <w:vAlign w:val="center"/>
          </w:tcPr>
          <w:p w14:paraId="641C8746">
            <w:pPr>
              <w:pStyle w:val="31"/>
              <w:bidi w:val="0"/>
            </w:pPr>
            <w:r>
              <w:rPr>
                <w:rFonts w:hint="eastAsia"/>
              </w:rPr>
              <w:t>达标</w:t>
            </w:r>
          </w:p>
        </w:tc>
      </w:tr>
      <w:tr w14:paraId="11042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1D99A7D7">
            <w:pPr>
              <w:pStyle w:val="31"/>
              <w:bidi w:val="0"/>
            </w:pPr>
          </w:p>
        </w:tc>
        <w:tc>
          <w:tcPr>
            <w:tcW w:w="806" w:type="pct"/>
            <w:vAlign w:val="center"/>
          </w:tcPr>
          <w:p w14:paraId="745AE062">
            <w:pPr>
              <w:pStyle w:val="31"/>
              <w:bidi w:val="0"/>
            </w:pPr>
            <w:r>
              <w:rPr>
                <w:rFonts w:hint="eastAsia"/>
              </w:rPr>
              <w:t>总氮</w:t>
            </w:r>
          </w:p>
        </w:tc>
        <w:tc>
          <w:tcPr>
            <w:tcW w:w="546" w:type="pct"/>
          </w:tcPr>
          <w:p w14:paraId="6E525B4C">
            <w:pPr>
              <w:pStyle w:val="31"/>
              <w:bidi w:val="0"/>
            </w:pPr>
            <w:r>
              <w:t>mg</w:t>
            </w:r>
            <w:r>
              <w:rPr>
                <w:rFonts w:hint="eastAsia"/>
              </w:rPr>
              <w:t>/L</w:t>
            </w:r>
          </w:p>
        </w:tc>
        <w:tc>
          <w:tcPr>
            <w:tcW w:w="519" w:type="pct"/>
            <w:vAlign w:val="center"/>
          </w:tcPr>
          <w:p w14:paraId="589FE7C9">
            <w:pPr>
              <w:pStyle w:val="31"/>
              <w:bidi w:val="0"/>
            </w:pPr>
            <w:r>
              <w:rPr>
                <w:rFonts w:hint="eastAsia"/>
              </w:rPr>
              <w:t>1.44</w:t>
            </w:r>
          </w:p>
        </w:tc>
        <w:tc>
          <w:tcPr>
            <w:tcW w:w="519" w:type="pct"/>
            <w:vAlign w:val="center"/>
          </w:tcPr>
          <w:p w14:paraId="1CD0D9FB">
            <w:pPr>
              <w:pStyle w:val="31"/>
              <w:bidi w:val="0"/>
            </w:pPr>
            <w:r>
              <w:rPr>
                <w:rFonts w:hint="eastAsia"/>
              </w:rPr>
              <w:t>1442</w:t>
            </w:r>
          </w:p>
        </w:tc>
        <w:tc>
          <w:tcPr>
            <w:tcW w:w="519" w:type="pct"/>
            <w:vAlign w:val="center"/>
          </w:tcPr>
          <w:p w14:paraId="1D73D971">
            <w:pPr>
              <w:pStyle w:val="31"/>
              <w:bidi w:val="0"/>
            </w:pPr>
            <w:r>
              <w:rPr>
                <w:rFonts w:hint="eastAsia"/>
              </w:rPr>
              <w:t>1.46</w:t>
            </w:r>
          </w:p>
        </w:tc>
        <w:tc>
          <w:tcPr>
            <w:tcW w:w="671" w:type="pct"/>
            <w:vAlign w:val="center"/>
          </w:tcPr>
          <w:p w14:paraId="716A65C8">
            <w:pPr>
              <w:pStyle w:val="31"/>
              <w:bidi w:val="0"/>
            </w:pPr>
            <w:r>
              <w:rPr>
                <w:rFonts w:hint="eastAsia"/>
              </w:rPr>
              <w:t>1.0</w:t>
            </w:r>
          </w:p>
        </w:tc>
        <w:tc>
          <w:tcPr>
            <w:tcW w:w="672" w:type="pct"/>
            <w:vAlign w:val="center"/>
          </w:tcPr>
          <w:p w14:paraId="7CDBEF5C">
            <w:pPr>
              <w:pStyle w:val="31"/>
              <w:bidi w:val="0"/>
            </w:pPr>
            <w:r>
              <w:rPr>
                <w:rFonts w:hint="eastAsia"/>
              </w:rPr>
              <w:t>超标</w:t>
            </w:r>
          </w:p>
        </w:tc>
      </w:tr>
      <w:tr w14:paraId="74B49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534FF84E">
            <w:pPr>
              <w:pStyle w:val="31"/>
              <w:bidi w:val="0"/>
            </w:pPr>
          </w:p>
        </w:tc>
        <w:tc>
          <w:tcPr>
            <w:tcW w:w="806" w:type="pct"/>
            <w:vAlign w:val="center"/>
          </w:tcPr>
          <w:p w14:paraId="01C24098">
            <w:pPr>
              <w:pStyle w:val="31"/>
              <w:bidi w:val="0"/>
            </w:pPr>
            <w:r>
              <w:rPr>
                <w:rFonts w:hint="eastAsia"/>
              </w:rPr>
              <w:t>BOD5</w:t>
            </w:r>
          </w:p>
        </w:tc>
        <w:tc>
          <w:tcPr>
            <w:tcW w:w="546" w:type="pct"/>
          </w:tcPr>
          <w:p w14:paraId="681DE21D">
            <w:pPr>
              <w:pStyle w:val="31"/>
              <w:bidi w:val="0"/>
            </w:pPr>
            <w:r>
              <w:t>mg</w:t>
            </w:r>
            <w:r>
              <w:rPr>
                <w:rFonts w:hint="eastAsia"/>
              </w:rPr>
              <w:t>/L</w:t>
            </w:r>
          </w:p>
        </w:tc>
        <w:tc>
          <w:tcPr>
            <w:tcW w:w="519" w:type="pct"/>
            <w:vAlign w:val="center"/>
          </w:tcPr>
          <w:p w14:paraId="4DA34C00">
            <w:pPr>
              <w:pStyle w:val="31"/>
              <w:bidi w:val="0"/>
            </w:pPr>
            <w:r>
              <w:rPr>
                <w:rFonts w:hint="eastAsia"/>
              </w:rPr>
              <w:t>1.7</w:t>
            </w:r>
          </w:p>
        </w:tc>
        <w:tc>
          <w:tcPr>
            <w:tcW w:w="519" w:type="pct"/>
            <w:vAlign w:val="center"/>
          </w:tcPr>
          <w:p w14:paraId="5035A769">
            <w:pPr>
              <w:pStyle w:val="31"/>
              <w:bidi w:val="0"/>
            </w:pPr>
            <w:r>
              <w:rPr>
                <w:rFonts w:hint="eastAsia"/>
              </w:rPr>
              <w:t>2.1</w:t>
            </w:r>
          </w:p>
        </w:tc>
        <w:tc>
          <w:tcPr>
            <w:tcW w:w="519" w:type="pct"/>
            <w:vAlign w:val="center"/>
          </w:tcPr>
          <w:p w14:paraId="52048099">
            <w:pPr>
              <w:pStyle w:val="31"/>
              <w:bidi w:val="0"/>
            </w:pPr>
            <w:r>
              <w:rPr>
                <w:rFonts w:hint="eastAsia"/>
              </w:rPr>
              <w:t>1.8</w:t>
            </w:r>
          </w:p>
        </w:tc>
        <w:tc>
          <w:tcPr>
            <w:tcW w:w="671" w:type="pct"/>
            <w:vAlign w:val="center"/>
          </w:tcPr>
          <w:p w14:paraId="5239721A">
            <w:pPr>
              <w:pStyle w:val="31"/>
              <w:bidi w:val="0"/>
            </w:pPr>
            <w:r>
              <w:rPr>
                <w:rFonts w:hint="eastAsia"/>
              </w:rPr>
              <w:t>4</w:t>
            </w:r>
          </w:p>
        </w:tc>
        <w:tc>
          <w:tcPr>
            <w:tcW w:w="672" w:type="pct"/>
            <w:vAlign w:val="center"/>
          </w:tcPr>
          <w:p w14:paraId="329F2F49">
            <w:pPr>
              <w:pStyle w:val="31"/>
              <w:bidi w:val="0"/>
            </w:pPr>
            <w:r>
              <w:rPr>
                <w:rFonts w:hint="eastAsia"/>
              </w:rPr>
              <w:t>达标</w:t>
            </w:r>
          </w:p>
        </w:tc>
      </w:tr>
      <w:tr w14:paraId="27EDD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15CE6F76">
            <w:pPr>
              <w:pStyle w:val="31"/>
              <w:bidi w:val="0"/>
            </w:pPr>
          </w:p>
        </w:tc>
        <w:tc>
          <w:tcPr>
            <w:tcW w:w="806" w:type="pct"/>
            <w:vAlign w:val="center"/>
          </w:tcPr>
          <w:p w14:paraId="42D6604F">
            <w:pPr>
              <w:pStyle w:val="31"/>
              <w:bidi w:val="0"/>
            </w:pPr>
            <w:r>
              <w:rPr>
                <w:rFonts w:hint="eastAsia"/>
              </w:rPr>
              <w:t>SS</w:t>
            </w:r>
          </w:p>
        </w:tc>
        <w:tc>
          <w:tcPr>
            <w:tcW w:w="546" w:type="pct"/>
          </w:tcPr>
          <w:p w14:paraId="5C7BAC47">
            <w:pPr>
              <w:pStyle w:val="31"/>
              <w:bidi w:val="0"/>
            </w:pPr>
            <w:r>
              <w:t>mg</w:t>
            </w:r>
            <w:r>
              <w:rPr>
                <w:rFonts w:hint="eastAsia"/>
              </w:rPr>
              <w:t>/L</w:t>
            </w:r>
          </w:p>
        </w:tc>
        <w:tc>
          <w:tcPr>
            <w:tcW w:w="519" w:type="pct"/>
            <w:vAlign w:val="center"/>
          </w:tcPr>
          <w:p w14:paraId="6ADB98AE">
            <w:pPr>
              <w:pStyle w:val="31"/>
              <w:bidi w:val="0"/>
            </w:pPr>
            <w:r>
              <w:rPr>
                <w:rFonts w:hint="eastAsia"/>
              </w:rPr>
              <w:t>6</w:t>
            </w:r>
          </w:p>
        </w:tc>
        <w:tc>
          <w:tcPr>
            <w:tcW w:w="519" w:type="pct"/>
            <w:vAlign w:val="center"/>
          </w:tcPr>
          <w:p w14:paraId="207F0121">
            <w:pPr>
              <w:pStyle w:val="31"/>
              <w:bidi w:val="0"/>
            </w:pPr>
            <w:r>
              <w:rPr>
                <w:rFonts w:hint="eastAsia"/>
              </w:rPr>
              <w:t>7</w:t>
            </w:r>
          </w:p>
        </w:tc>
        <w:tc>
          <w:tcPr>
            <w:tcW w:w="519" w:type="pct"/>
            <w:vAlign w:val="center"/>
          </w:tcPr>
          <w:p w14:paraId="47404F12">
            <w:pPr>
              <w:pStyle w:val="31"/>
              <w:bidi w:val="0"/>
            </w:pPr>
            <w:r>
              <w:rPr>
                <w:rFonts w:hint="eastAsia"/>
              </w:rPr>
              <w:t>7</w:t>
            </w:r>
          </w:p>
        </w:tc>
        <w:tc>
          <w:tcPr>
            <w:tcW w:w="671" w:type="pct"/>
            <w:vAlign w:val="center"/>
          </w:tcPr>
          <w:p w14:paraId="007DBFC4">
            <w:pPr>
              <w:pStyle w:val="31"/>
              <w:bidi w:val="0"/>
            </w:pPr>
            <w:r>
              <w:rPr>
                <w:rFonts w:hint="eastAsia"/>
              </w:rPr>
              <w:t>/</w:t>
            </w:r>
          </w:p>
        </w:tc>
        <w:tc>
          <w:tcPr>
            <w:tcW w:w="672" w:type="pct"/>
            <w:vAlign w:val="center"/>
          </w:tcPr>
          <w:p w14:paraId="6C438762">
            <w:pPr>
              <w:pStyle w:val="31"/>
              <w:bidi w:val="0"/>
            </w:pPr>
            <w:r>
              <w:rPr>
                <w:rFonts w:hint="eastAsia"/>
              </w:rPr>
              <w:t>/</w:t>
            </w:r>
          </w:p>
        </w:tc>
      </w:tr>
      <w:tr w14:paraId="7BBBB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4BE31CE5">
            <w:pPr>
              <w:pStyle w:val="31"/>
              <w:bidi w:val="0"/>
            </w:pPr>
          </w:p>
        </w:tc>
        <w:tc>
          <w:tcPr>
            <w:tcW w:w="806" w:type="pct"/>
            <w:vAlign w:val="center"/>
          </w:tcPr>
          <w:p w14:paraId="195C5553">
            <w:pPr>
              <w:pStyle w:val="31"/>
              <w:bidi w:val="0"/>
            </w:pPr>
            <w:r>
              <w:rPr>
                <w:rFonts w:hint="eastAsia"/>
              </w:rPr>
              <w:t>石油类</w:t>
            </w:r>
          </w:p>
        </w:tc>
        <w:tc>
          <w:tcPr>
            <w:tcW w:w="546" w:type="pct"/>
          </w:tcPr>
          <w:p w14:paraId="0C251615">
            <w:pPr>
              <w:pStyle w:val="31"/>
              <w:bidi w:val="0"/>
            </w:pPr>
            <w:r>
              <w:t>mg</w:t>
            </w:r>
            <w:r>
              <w:rPr>
                <w:rFonts w:hint="eastAsia"/>
              </w:rPr>
              <w:t>/L</w:t>
            </w:r>
          </w:p>
        </w:tc>
        <w:tc>
          <w:tcPr>
            <w:tcW w:w="519" w:type="pct"/>
            <w:vAlign w:val="center"/>
          </w:tcPr>
          <w:p w14:paraId="3FD896F6">
            <w:pPr>
              <w:pStyle w:val="31"/>
              <w:bidi w:val="0"/>
            </w:pPr>
            <w:r>
              <w:rPr>
                <w:rFonts w:hint="eastAsia"/>
              </w:rPr>
              <w:t>0.01L</w:t>
            </w:r>
          </w:p>
        </w:tc>
        <w:tc>
          <w:tcPr>
            <w:tcW w:w="519" w:type="pct"/>
            <w:vAlign w:val="center"/>
          </w:tcPr>
          <w:p w14:paraId="59ADC597">
            <w:pPr>
              <w:pStyle w:val="31"/>
              <w:bidi w:val="0"/>
            </w:pPr>
            <w:r>
              <w:rPr>
                <w:rFonts w:hint="eastAsia"/>
              </w:rPr>
              <w:t>0.01L</w:t>
            </w:r>
          </w:p>
        </w:tc>
        <w:tc>
          <w:tcPr>
            <w:tcW w:w="519" w:type="pct"/>
            <w:vAlign w:val="center"/>
          </w:tcPr>
          <w:p w14:paraId="6818A305">
            <w:pPr>
              <w:pStyle w:val="31"/>
              <w:bidi w:val="0"/>
            </w:pPr>
            <w:r>
              <w:rPr>
                <w:rFonts w:hint="eastAsia"/>
              </w:rPr>
              <w:t>0.01L</w:t>
            </w:r>
          </w:p>
        </w:tc>
        <w:tc>
          <w:tcPr>
            <w:tcW w:w="671" w:type="pct"/>
            <w:vAlign w:val="center"/>
          </w:tcPr>
          <w:p w14:paraId="308A8674">
            <w:pPr>
              <w:pStyle w:val="31"/>
              <w:bidi w:val="0"/>
            </w:pPr>
            <w:r>
              <w:rPr>
                <w:rFonts w:hint="eastAsia"/>
              </w:rPr>
              <w:t>0.05</w:t>
            </w:r>
          </w:p>
        </w:tc>
        <w:tc>
          <w:tcPr>
            <w:tcW w:w="672" w:type="pct"/>
            <w:vAlign w:val="center"/>
          </w:tcPr>
          <w:p w14:paraId="59834DB2">
            <w:pPr>
              <w:pStyle w:val="31"/>
              <w:bidi w:val="0"/>
            </w:pPr>
            <w:r>
              <w:rPr>
                <w:rFonts w:hint="eastAsia"/>
              </w:rPr>
              <w:t>达标</w:t>
            </w:r>
          </w:p>
        </w:tc>
      </w:tr>
      <w:tr w14:paraId="035A0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4274E6D3">
            <w:pPr>
              <w:pStyle w:val="31"/>
              <w:bidi w:val="0"/>
            </w:pPr>
          </w:p>
        </w:tc>
        <w:tc>
          <w:tcPr>
            <w:tcW w:w="806" w:type="pct"/>
            <w:vAlign w:val="center"/>
          </w:tcPr>
          <w:p w14:paraId="73D6794E">
            <w:pPr>
              <w:pStyle w:val="31"/>
              <w:bidi w:val="0"/>
            </w:pPr>
            <w:r>
              <w:rPr>
                <w:rFonts w:hint="eastAsia"/>
              </w:rPr>
              <w:t>动植物油</w:t>
            </w:r>
          </w:p>
        </w:tc>
        <w:tc>
          <w:tcPr>
            <w:tcW w:w="546" w:type="pct"/>
          </w:tcPr>
          <w:p w14:paraId="05EC7DDE">
            <w:pPr>
              <w:pStyle w:val="31"/>
              <w:bidi w:val="0"/>
            </w:pPr>
            <w:r>
              <w:t>mg</w:t>
            </w:r>
            <w:r>
              <w:rPr>
                <w:rFonts w:hint="eastAsia"/>
              </w:rPr>
              <w:t>/L</w:t>
            </w:r>
          </w:p>
        </w:tc>
        <w:tc>
          <w:tcPr>
            <w:tcW w:w="519" w:type="pct"/>
            <w:vAlign w:val="center"/>
          </w:tcPr>
          <w:p w14:paraId="12B7C206">
            <w:pPr>
              <w:pStyle w:val="31"/>
              <w:bidi w:val="0"/>
            </w:pPr>
            <w:r>
              <w:rPr>
                <w:rFonts w:hint="eastAsia"/>
              </w:rPr>
              <w:t>0.06L</w:t>
            </w:r>
          </w:p>
        </w:tc>
        <w:tc>
          <w:tcPr>
            <w:tcW w:w="519" w:type="pct"/>
            <w:vAlign w:val="center"/>
          </w:tcPr>
          <w:p w14:paraId="3E6C7848">
            <w:pPr>
              <w:pStyle w:val="31"/>
              <w:bidi w:val="0"/>
            </w:pPr>
            <w:r>
              <w:rPr>
                <w:rFonts w:hint="eastAsia"/>
              </w:rPr>
              <w:t>0.06L</w:t>
            </w:r>
          </w:p>
        </w:tc>
        <w:tc>
          <w:tcPr>
            <w:tcW w:w="519" w:type="pct"/>
            <w:vAlign w:val="center"/>
          </w:tcPr>
          <w:p w14:paraId="70BA3C0B">
            <w:pPr>
              <w:pStyle w:val="31"/>
              <w:bidi w:val="0"/>
            </w:pPr>
            <w:r>
              <w:rPr>
                <w:rFonts w:hint="eastAsia"/>
              </w:rPr>
              <w:t>0.06L</w:t>
            </w:r>
          </w:p>
        </w:tc>
        <w:tc>
          <w:tcPr>
            <w:tcW w:w="671" w:type="pct"/>
            <w:vAlign w:val="center"/>
          </w:tcPr>
          <w:p w14:paraId="55D71912">
            <w:pPr>
              <w:pStyle w:val="31"/>
              <w:bidi w:val="0"/>
            </w:pPr>
            <w:r>
              <w:rPr>
                <w:rFonts w:hint="eastAsia"/>
              </w:rPr>
              <w:t>/</w:t>
            </w:r>
          </w:p>
        </w:tc>
        <w:tc>
          <w:tcPr>
            <w:tcW w:w="672" w:type="pct"/>
            <w:vAlign w:val="center"/>
          </w:tcPr>
          <w:p w14:paraId="78F94A71">
            <w:pPr>
              <w:pStyle w:val="31"/>
              <w:bidi w:val="0"/>
            </w:pPr>
            <w:r>
              <w:rPr>
                <w:rFonts w:hint="eastAsia"/>
              </w:rPr>
              <w:t>/</w:t>
            </w:r>
          </w:p>
        </w:tc>
      </w:tr>
      <w:tr w14:paraId="405F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03CD6536">
            <w:pPr>
              <w:pStyle w:val="31"/>
              <w:bidi w:val="0"/>
            </w:pPr>
          </w:p>
        </w:tc>
        <w:tc>
          <w:tcPr>
            <w:tcW w:w="806" w:type="pct"/>
            <w:vAlign w:val="center"/>
          </w:tcPr>
          <w:p w14:paraId="41153108">
            <w:pPr>
              <w:pStyle w:val="31"/>
              <w:bidi w:val="0"/>
            </w:pPr>
            <w:r>
              <w:rPr>
                <w:rFonts w:hint="eastAsia"/>
              </w:rPr>
              <w:t>粪大肠菌群</w:t>
            </w:r>
          </w:p>
        </w:tc>
        <w:tc>
          <w:tcPr>
            <w:tcW w:w="546" w:type="pct"/>
            <w:vAlign w:val="center"/>
          </w:tcPr>
          <w:p w14:paraId="3965906D">
            <w:pPr>
              <w:pStyle w:val="31"/>
              <w:bidi w:val="0"/>
            </w:pPr>
            <w:r>
              <w:rPr>
                <w:rFonts w:hint="eastAsia"/>
              </w:rPr>
              <w:t>MPN/L</w:t>
            </w:r>
          </w:p>
        </w:tc>
        <w:tc>
          <w:tcPr>
            <w:tcW w:w="519" w:type="pct"/>
            <w:vAlign w:val="center"/>
          </w:tcPr>
          <w:p w14:paraId="38B04DCA">
            <w:pPr>
              <w:pStyle w:val="31"/>
              <w:bidi w:val="0"/>
            </w:pPr>
            <w:r>
              <w:rPr>
                <w:rFonts w:hint="eastAsia"/>
              </w:rPr>
              <w:t>120</w:t>
            </w:r>
          </w:p>
        </w:tc>
        <w:tc>
          <w:tcPr>
            <w:tcW w:w="519" w:type="pct"/>
            <w:vAlign w:val="center"/>
          </w:tcPr>
          <w:p w14:paraId="603F0166">
            <w:pPr>
              <w:pStyle w:val="31"/>
              <w:bidi w:val="0"/>
            </w:pPr>
            <w:r>
              <w:rPr>
                <w:rFonts w:hint="eastAsia"/>
              </w:rPr>
              <w:t>110</w:t>
            </w:r>
          </w:p>
        </w:tc>
        <w:tc>
          <w:tcPr>
            <w:tcW w:w="519" w:type="pct"/>
            <w:vAlign w:val="center"/>
          </w:tcPr>
          <w:p w14:paraId="2E032A86">
            <w:pPr>
              <w:pStyle w:val="31"/>
              <w:bidi w:val="0"/>
            </w:pPr>
            <w:r>
              <w:rPr>
                <w:rFonts w:hint="eastAsia"/>
              </w:rPr>
              <w:t>100</w:t>
            </w:r>
          </w:p>
        </w:tc>
        <w:tc>
          <w:tcPr>
            <w:tcW w:w="671" w:type="pct"/>
            <w:vAlign w:val="center"/>
          </w:tcPr>
          <w:p w14:paraId="1162397B">
            <w:pPr>
              <w:pStyle w:val="31"/>
              <w:bidi w:val="0"/>
            </w:pPr>
            <w:r>
              <w:rPr>
                <w:rFonts w:hint="eastAsia"/>
              </w:rPr>
              <w:t>10000</w:t>
            </w:r>
          </w:p>
        </w:tc>
        <w:tc>
          <w:tcPr>
            <w:tcW w:w="672" w:type="pct"/>
            <w:vAlign w:val="center"/>
          </w:tcPr>
          <w:p w14:paraId="17CD9573">
            <w:pPr>
              <w:pStyle w:val="31"/>
              <w:bidi w:val="0"/>
            </w:pPr>
            <w:r>
              <w:rPr>
                <w:rFonts w:hint="eastAsia"/>
              </w:rPr>
              <w:t>达标</w:t>
            </w:r>
          </w:p>
        </w:tc>
      </w:tr>
      <w:tr w14:paraId="1B97C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restart"/>
            <w:vAlign w:val="center"/>
          </w:tcPr>
          <w:p w14:paraId="2265F59D">
            <w:pPr>
              <w:pStyle w:val="31"/>
              <w:bidi w:val="0"/>
            </w:pPr>
            <w:r>
              <w:rPr>
                <w:rFonts w:hint="eastAsia"/>
                <w:lang w:val="en-US" w:eastAsia="zh-CN"/>
              </w:rPr>
              <w:t>SW4湖南省鑫安畜牧有限公司排污口下游1000m处</w:t>
            </w:r>
          </w:p>
        </w:tc>
        <w:tc>
          <w:tcPr>
            <w:tcW w:w="806" w:type="pct"/>
            <w:vAlign w:val="center"/>
          </w:tcPr>
          <w:p w14:paraId="08F45453">
            <w:pPr>
              <w:pStyle w:val="31"/>
              <w:bidi w:val="0"/>
            </w:pPr>
            <w:r>
              <w:rPr>
                <w:rFonts w:hint="eastAsia"/>
              </w:rPr>
              <w:t>pH值</w:t>
            </w:r>
          </w:p>
        </w:tc>
        <w:tc>
          <w:tcPr>
            <w:tcW w:w="546" w:type="pct"/>
            <w:vAlign w:val="center"/>
          </w:tcPr>
          <w:p w14:paraId="19B1EF32">
            <w:pPr>
              <w:pStyle w:val="31"/>
              <w:bidi w:val="0"/>
            </w:pPr>
            <w:r>
              <w:rPr>
                <w:rFonts w:hint="eastAsia"/>
              </w:rPr>
              <w:t>无量纲</w:t>
            </w:r>
          </w:p>
        </w:tc>
        <w:tc>
          <w:tcPr>
            <w:tcW w:w="519" w:type="pct"/>
            <w:vAlign w:val="center"/>
          </w:tcPr>
          <w:p w14:paraId="66D3C43B">
            <w:pPr>
              <w:pStyle w:val="31"/>
              <w:bidi w:val="0"/>
            </w:pPr>
            <w:r>
              <w:rPr>
                <w:rFonts w:hint="eastAsia"/>
              </w:rPr>
              <w:t>8.1</w:t>
            </w:r>
          </w:p>
        </w:tc>
        <w:tc>
          <w:tcPr>
            <w:tcW w:w="519" w:type="pct"/>
            <w:vAlign w:val="center"/>
          </w:tcPr>
          <w:p w14:paraId="5280B1F9">
            <w:pPr>
              <w:pStyle w:val="31"/>
              <w:bidi w:val="0"/>
            </w:pPr>
            <w:r>
              <w:rPr>
                <w:rFonts w:hint="eastAsia"/>
              </w:rPr>
              <w:t>6.9</w:t>
            </w:r>
          </w:p>
        </w:tc>
        <w:tc>
          <w:tcPr>
            <w:tcW w:w="519" w:type="pct"/>
            <w:vAlign w:val="center"/>
          </w:tcPr>
          <w:p w14:paraId="4A3DC80D">
            <w:pPr>
              <w:pStyle w:val="31"/>
              <w:bidi w:val="0"/>
            </w:pPr>
            <w:r>
              <w:rPr>
                <w:rFonts w:hint="eastAsia"/>
              </w:rPr>
              <w:t>7.4</w:t>
            </w:r>
          </w:p>
        </w:tc>
        <w:tc>
          <w:tcPr>
            <w:tcW w:w="671" w:type="pct"/>
            <w:vAlign w:val="center"/>
          </w:tcPr>
          <w:p w14:paraId="5788B8DF">
            <w:pPr>
              <w:pStyle w:val="31"/>
              <w:bidi w:val="0"/>
            </w:pPr>
            <w:r>
              <w:rPr>
                <w:rFonts w:hint="eastAsia"/>
              </w:rPr>
              <w:t>6-9</w:t>
            </w:r>
          </w:p>
        </w:tc>
        <w:tc>
          <w:tcPr>
            <w:tcW w:w="672" w:type="pct"/>
            <w:vAlign w:val="center"/>
          </w:tcPr>
          <w:p w14:paraId="7F1C89B3">
            <w:pPr>
              <w:pStyle w:val="31"/>
              <w:bidi w:val="0"/>
            </w:pPr>
            <w:r>
              <w:rPr>
                <w:rFonts w:hint="eastAsia"/>
              </w:rPr>
              <w:t>达标</w:t>
            </w:r>
          </w:p>
        </w:tc>
      </w:tr>
      <w:tr w14:paraId="32EBF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0E39C99B">
            <w:pPr>
              <w:pStyle w:val="31"/>
              <w:bidi w:val="0"/>
            </w:pPr>
          </w:p>
        </w:tc>
        <w:tc>
          <w:tcPr>
            <w:tcW w:w="806" w:type="pct"/>
            <w:vAlign w:val="center"/>
          </w:tcPr>
          <w:p w14:paraId="7E2109B3">
            <w:pPr>
              <w:pStyle w:val="31"/>
              <w:bidi w:val="0"/>
            </w:pPr>
            <w:r>
              <w:rPr>
                <w:rFonts w:hint="eastAsia"/>
              </w:rPr>
              <w:t>COD</w:t>
            </w:r>
          </w:p>
        </w:tc>
        <w:tc>
          <w:tcPr>
            <w:tcW w:w="546" w:type="pct"/>
            <w:vAlign w:val="center"/>
          </w:tcPr>
          <w:p w14:paraId="315C23AC">
            <w:pPr>
              <w:pStyle w:val="31"/>
              <w:bidi w:val="0"/>
            </w:pPr>
            <w:r>
              <w:t>mg</w:t>
            </w:r>
            <w:r>
              <w:rPr>
                <w:rFonts w:hint="eastAsia"/>
              </w:rPr>
              <w:t>/L</w:t>
            </w:r>
          </w:p>
        </w:tc>
        <w:tc>
          <w:tcPr>
            <w:tcW w:w="519" w:type="pct"/>
            <w:vAlign w:val="center"/>
          </w:tcPr>
          <w:p w14:paraId="1A120AD4">
            <w:pPr>
              <w:pStyle w:val="31"/>
              <w:bidi w:val="0"/>
            </w:pPr>
            <w:r>
              <w:rPr>
                <w:rFonts w:hint="eastAsia"/>
              </w:rPr>
              <w:t>13</w:t>
            </w:r>
          </w:p>
        </w:tc>
        <w:tc>
          <w:tcPr>
            <w:tcW w:w="519" w:type="pct"/>
            <w:vAlign w:val="center"/>
          </w:tcPr>
          <w:p w14:paraId="4E50971F">
            <w:pPr>
              <w:pStyle w:val="31"/>
              <w:bidi w:val="0"/>
            </w:pPr>
            <w:r>
              <w:rPr>
                <w:rFonts w:hint="eastAsia"/>
              </w:rPr>
              <w:t>11</w:t>
            </w:r>
          </w:p>
        </w:tc>
        <w:tc>
          <w:tcPr>
            <w:tcW w:w="519" w:type="pct"/>
            <w:vAlign w:val="center"/>
          </w:tcPr>
          <w:p w14:paraId="2DDA756C">
            <w:pPr>
              <w:pStyle w:val="31"/>
              <w:bidi w:val="0"/>
            </w:pPr>
            <w:r>
              <w:rPr>
                <w:rFonts w:hint="eastAsia"/>
              </w:rPr>
              <w:t>12</w:t>
            </w:r>
          </w:p>
        </w:tc>
        <w:tc>
          <w:tcPr>
            <w:tcW w:w="671" w:type="pct"/>
            <w:vAlign w:val="center"/>
          </w:tcPr>
          <w:p w14:paraId="13C4A4EA">
            <w:pPr>
              <w:pStyle w:val="31"/>
              <w:bidi w:val="0"/>
            </w:pPr>
            <w:r>
              <w:rPr>
                <w:rFonts w:hint="eastAsia"/>
              </w:rPr>
              <w:t>20</w:t>
            </w:r>
          </w:p>
        </w:tc>
        <w:tc>
          <w:tcPr>
            <w:tcW w:w="672" w:type="pct"/>
            <w:vAlign w:val="center"/>
          </w:tcPr>
          <w:p w14:paraId="64DCE9D2">
            <w:pPr>
              <w:pStyle w:val="31"/>
              <w:bidi w:val="0"/>
            </w:pPr>
            <w:r>
              <w:rPr>
                <w:rFonts w:hint="eastAsia"/>
              </w:rPr>
              <w:t>达标</w:t>
            </w:r>
          </w:p>
        </w:tc>
      </w:tr>
      <w:tr w14:paraId="43F4D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2A8A0AB9">
            <w:pPr>
              <w:pStyle w:val="31"/>
              <w:bidi w:val="0"/>
            </w:pPr>
          </w:p>
        </w:tc>
        <w:tc>
          <w:tcPr>
            <w:tcW w:w="806" w:type="pct"/>
            <w:vAlign w:val="center"/>
          </w:tcPr>
          <w:p w14:paraId="1D79EA43">
            <w:pPr>
              <w:pStyle w:val="31"/>
              <w:bidi w:val="0"/>
            </w:pPr>
            <w:r>
              <w:rPr>
                <w:rFonts w:hint="eastAsia"/>
              </w:rPr>
              <w:t>氨氮</w:t>
            </w:r>
          </w:p>
        </w:tc>
        <w:tc>
          <w:tcPr>
            <w:tcW w:w="546" w:type="pct"/>
          </w:tcPr>
          <w:p w14:paraId="42DDA759">
            <w:pPr>
              <w:pStyle w:val="31"/>
              <w:bidi w:val="0"/>
            </w:pPr>
            <w:r>
              <w:t>mg</w:t>
            </w:r>
            <w:r>
              <w:rPr>
                <w:rFonts w:hint="eastAsia"/>
              </w:rPr>
              <w:t>/L</w:t>
            </w:r>
          </w:p>
        </w:tc>
        <w:tc>
          <w:tcPr>
            <w:tcW w:w="519" w:type="pct"/>
            <w:vAlign w:val="center"/>
          </w:tcPr>
          <w:p w14:paraId="296A63AF">
            <w:pPr>
              <w:pStyle w:val="31"/>
              <w:bidi w:val="0"/>
            </w:pPr>
            <w:r>
              <w:rPr>
                <w:rFonts w:hint="eastAsia"/>
              </w:rPr>
              <w:t>0.025L</w:t>
            </w:r>
          </w:p>
        </w:tc>
        <w:tc>
          <w:tcPr>
            <w:tcW w:w="519" w:type="pct"/>
          </w:tcPr>
          <w:p w14:paraId="48128180">
            <w:pPr>
              <w:pStyle w:val="31"/>
              <w:bidi w:val="0"/>
            </w:pPr>
            <w:r>
              <w:rPr>
                <w:rFonts w:hint="eastAsia"/>
              </w:rPr>
              <w:t>0.025L</w:t>
            </w:r>
          </w:p>
        </w:tc>
        <w:tc>
          <w:tcPr>
            <w:tcW w:w="519" w:type="pct"/>
          </w:tcPr>
          <w:p w14:paraId="548D8216">
            <w:pPr>
              <w:pStyle w:val="31"/>
              <w:bidi w:val="0"/>
            </w:pPr>
            <w:r>
              <w:rPr>
                <w:rFonts w:hint="eastAsia"/>
              </w:rPr>
              <w:t>0.025L</w:t>
            </w:r>
          </w:p>
        </w:tc>
        <w:tc>
          <w:tcPr>
            <w:tcW w:w="671" w:type="pct"/>
            <w:vAlign w:val="center"/>
          </w:tcPr>
          <w:p w14:paraId="6124B890">
            <w:pPr>
              <w:pStyle w:val="31"/>
              <w:bidi w:val="0"/>
            </w:pPr>
            <w:r>
              <w:rPr>
                <w:rFonts w:hint="eastAsia"/>
              </w:rPr>
              <w:t>1.0</w:t>
            </w:r>
          </w:p>
        </w:tc>
        <w:tc>
          <w:tcPr>
            <w:tcW w:w="672" w:type="pct"/>
            <w:vAlign w:val="center"/>
          </w:tcPr>
          <w:p w14:paraId="7D7DB858">
            <w:pPr>
              <w:pStyle w:val="31"/>
              <w:bidi w:val="0"/>
            </w:pPr>
            <w:r>
              <w:rPr>
                <w:rFonts w:hint="eastAsia"/>
              </w:rPr>
              <w:t>达标</w:t>
            </w:r>
          </w:p>
        </w:tc>
      </w:tr>
      <w:tr w14:paraId="645E5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6EA5E1E9">
            <w:pPr>
              <w:pStyle w:val="31"/>
              <w:bidi w:val="0"/>
            </w:pPr>
          </w:p>
        </w:tc>
        <w:tc>
          <w:tcPr>
            <w:tcW w:w="806" w:type="pct"/>
            <w:vAlign w:val="center"/>
          </w:tcPr>
          <w:p w14:paraId="76E287EC">
            <w:pPr>
              <w:pStyle w:val="31"/>
              <w:bidi w:val="0"/>
            </w:pPr>
            <w:r>
              <w:rPr>
                <w:rFonts w:hint="eastAsia"/>
              </w:rPr>
              <w:t>总磷</w:t>
            </w:r>
          </w:p>
        </w:tc>
        <w:tc>
          <w:tcPr>
            <w:tcW w:w="546" w:type="pct"/>
          </w:tcPr>
          <w:p w14:paraId="0E06FE16">
            <w:pPr>
              <w:pStyle w:val="31"/>
              <w:bidi w:val="0"/>
            </w:pPr>
            <w:r>
              <w:t>mg</w:t>
            </w:r>
            <w:r>
              <w:rPr>
                <w:rFonts w:hint="eastAsia"/>
              </w:rPr>
              <w:t>/L</w:t>
            </w:r>
          </w:p>
        </w:tc>
        <w:tc>
          <w:tcPr>
            <w:tcW w:w="519" w:type="pct"/>
            <w:vAlign w:val="center"/>
          </w:tcPr>
          <w:p w14:paraId="603CECDF">
            <w:pPr>
              <w:pStyle w:val="31"/>
              <w:bidi w:val="0"/>
            </w:pPr>
            <w:r>
              <w:rPr>
                <w:rFonts w:hint="eastAsia"/>
              </w:rPr>
              <w:t>0.03</w:t>
            </w:r>
          </w:p>
        </w:tc>
        <w:tc>
          <w:tcPr>
            <w:tcW w:w="519" w:type="pct"/>
            <w:vAlign w:val="center"/>
          </w:tcPr>
          <w:p w14:paraId="6AD10727">
            <w:pPr>
              <w:pStyle w:val="31"/>
              <w:bidi w:val="0"/>
            </w:pPr>
            <w:r>
              <w:rPr>
                <w:rFonts w:hint="eastAsia"/>
              </w:rPr>
              <w:t>0.01</w:t>
            </w:r>
          </w:p>
        </w:tc>
        <w:tc>
          <w:tcPr>
            <w:tcW w:w="519" w:type="pct"/>
            <w:vAlign w:val="center"/>
          </w:tcPr>
          <w:p w14:paraId="04A0D216">
            <w:pPr>
              <w:pStyle w:val="31"/>
              <w:bidi w:val="0"/>
            </w:pPr>
            <w:r>
              <w:rPr>
                <w:rFonts w:hint="eastAsia"/>
              </w:rPr>
              <w:t>0.02</w:t>
            </w:r>
          </w:p>
        </w:tc>
        <w:tc>
          <w:tcPr>
            <w:tcW w:w="671" w:type="pct"/>
            <w:vAlign w:val="center"/>
          </w:tcPr>
          <w:p w14:paraId="37DFF101">
            <w:pPr>
              <w:pStyle w:val="31"/>
              <w:bidi w:val="0"/>
            </w:pPr>
            <w:r>
              <w:rPr>
                <w:rFonts w:hint="eastAsia"/>
              </w:rPr>
              <w:t>0.2</w:t>
            </w:r>
          </w:p>
        </w:tc>
        <w:tc>
          <w:tcPr>
            <w:tcW w:w="672" w:type="pct"/>
            <w:vAlign w:val="center"/>
          </w:tcPr>
          <w:p w14:paraId="5A1BD5D4">
            <w:pPr>
              <w:pStyle w:val="31"/>
              <w:bidi w:val="0"/>
            </w:pPr>
            <w:r>
              <w:rPr>
                <w:rFonts w:hint="eastAsia"/>
              </w:rPr>
              <w:t>达标</w:t>
            </w:r>
          </w:p>
        </w:tc>
      </w:tr>
      <w:tr w14:paraId="39E1D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2D522699">
            <w:pPr>
              <w:pStyle w:val="31"/>
              <w:bidi w:val="0"/>
            </w:pPr>
          </w:p>
        </w:tc>
        <w:tc>
          <w:tcPr>
            <w:tcW w:w="806" w:type="pct"/>
            <w:vAlign w:val="center"/>
          </w:tcPr>
          <w:p w14:paraId="3F3A342A">
            <w:pPr>
              <w:pStyle w:val="31"/>
              <w:bidi w:val="0"/>
            </w:pPr>
            <w:r>
              <w:rPr>
                <w:rFonts w:hint="eastAsia"/>
              </w:rPr>
              <w:t>总氮</w:t>
            </w:r>
          </w:p>
        </w:tc>
        <w:tc>
          <w:tcPr>
            <w:tcW w:w="546" w:type="pct"/>
          </w:tcPr>
          <w:p w14:paraId="54D05723">
            <w:pPr>
              <w:pStyle w:val="31"/>
              <w:bidi w:val="0"/>
            </w:pPr>
            <w:r>
              <w:t>mg</w:t>
            </w:r>
            <w:r>
              <w:rPr>
                <w:rFonts w:hint="eastAsia"/>
              </w:rPr>
              <w:t>/L</w:t>
            </w:r>
          </w:p>
        </w:tc>
        <w:tc>
          <w:tcPr>
            <w:tcW w:w="519" w:type="pct"/>
            <w:vAlign w:val="center"/>
          </w:tcPr>
          <w:p w14:paraId="48F0F77F">
            <w:pPr>
              <w:pStyle w:val="31"/>
              <w:bidi w:val="0"/>
            </w:pPr>
            <w:r>
              <w:rPr>
                <w:rFonts w:hint="eastAsia"/>
              </w:rPr>
              <w:t>0.93</w:t>
            </w:r>
          </w:p>
        </w:tc>
        <w:tc>
          <w:tcPr>
            <w:tcW w:w="519" w:type="pct"/>
            <w:vAlign w:val="center"/>
          </w:tcPr>
          <w:p w14:paraId="60F931F8">
            <w:pPr>
              <w:pStyle w:val="31"/>
              <w:bidi w:val="0"/>
            </w:pPr>
            <w:r>
              <w:rPr>
                <w:rFonts w:hint="eastAsia"/>
              </w:rPr>
              <w:t>0.93</w:t>
            </w:r>
          </w:p>
        </w:tc>
        <w:tc>
          <w:tcPr>
            <w:tcW w:w="519" w:type="pct"/>
            <w:vAlign w:val="center"/>
          </w:tcPr>
          <w:p w14:paraId="305131C4">
            <w:pPr>
              <w:pStyle w:val="31"/>
              <w:bidi w:val="0"/>
            </w:pPr>
            <w:r>
              <w:rPr>
                <w:rFonts w:hint="eastAsia"/>
              </w:rPr>
              <w:t>0.91</w:t>
            </w:r>
          </w:p>
        </w:tc>
        <w:tc>
          <w:tcPr>
            <w:tcW w:w="671" w:type="pct"/>
            <w:vAlign w:val="center"/>
          </w:tcPr>
          <w:p w14:paraId="4824E112">
            <w:pPr>
              <w:pStyle w:val="31"/>
              <w:bidi w:val="0"/>
            </w:pPr>
            <w:r>
              <w:rPr>
                <w:rFonts w:hint="eastAsia"/>
              </w:rPr>
              <w:t>1.0</w:t>
            </w:r>
          </w:p>
        </w:tc>
        <w:tc>
          <w:tcPr>
            <w:tcW w:w="672" w:type="pct"/>
            <w:vAlign w:val="center"/>
          </w:tcPr>
          <w:p w14:paraId="6FD7F444">
            <w:pPr>
              <w:pStyle w:val="31"/>
              <w:bidi w:val="0"/>
            </w:pPr>
            <w:r>
              <w:rPr>
                <w:rFonts w:hint="eastAsia"/>
              </w:rPr>
              <w:t>超标</w:t>
            </w:r>
          </w:p>
        </w:tc>
      </w:tr>
      <w:tr w14:paraId="1B5BA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26458588">
            <w:pPr>
              <w:pStyle w:val="31"/>
              <w:bidi w:val="0"/>
            </w:pPr>
          </w:p>
        </w:tc>
        <w:tc>
          <w:tcPr>
            <w:tcW w:w="806" w:type="pct"/>
            <w:vAlign w:val="center"/>
          </w:tcPr>
          <w:p w14:paraId="4CC8823A">
            <w:pPr>
              <w:pStyle w:val="31"/>
              <w:bidi w:val="0"/>
            </w:pPr>
            <w:r>
              <w:rPr>
                <w:rFonts w:hint="eastAsia"/>
              </w:rPr>
              <w:t>BOD5</w:t>
            </w:r>
          </w:p>
        </w:tc>
        <w:tc>
          <w:tcPr>
            <w:tcW w:w="546" w:type="pct"/>
          </w:tcPr>
          <w:p w14:paraId="08FFFE88">
            <w:pPr>
              <w:pStyle w:val="31"/>
              <w:bidi w:val="0"/>
            </w:pPr>
            <w:r>
              <w:t>mg</w:t>
            </w:r>
            <w:r>
              <w:rPr>
                <w:rFonts w:hint="eastAsia"/>
              </w:rPr>
              <w:t>/L</w:t>
            </w:r>
          </w:p>
        </w:tc>
        <w:tc>
          <w:tcPr>
            <w:tcW w:w="519" w:type="pct"/>
            <w:vAlign w:val="center"/>
          </w:tcPr>
          <w:p w14:paraId="0CE0D960">
            <w:pPr>
              <w:pStyle w:val="31"/>
              <w:bidi w:val="0"/>
            </w:pPr>
            <w:r>
              <w:rPr>
                <w:rFonts w:hint="eastAsia"/>
              </w:rPr>
              <w:t>3.1</w:t>
            </w:r>
          </w:p>
        </w:tc>
        <w:tc>
          <w:tcPr>
            <w:tcW w:w="519" w:type="pct"/>
            <w:vAlign w:val="center"/>
          </w:tcPr>
          <w:p w14:paraId="0976538F">
            <w:pPr>
              <w:pStyle w:val="31"/>
              <w:bidi w:val="0"/>
            </w:pPr>
            <w:r>
              <w:rPr>
                <w:rFonts w:hint="eastAsia"/>
              </w:rPr>
              <w:t>2.6</w:t>
            </w:r>
          </w:p>
        </w:tc>
        <w:tc>
          <w:tcPr>
            <w:tcW w:w="519" w:type="pct"/>
            <w:vAlign w:val="center"/>
          </w:tcPr>
          <w:p w14:paraId="066AE603">
            <w:pPr>
              <w:pStyle w:val="31"/>
              <w:bidi w:val="0"/>
            </w:pPr>
            <w:r>
              <w:rPr>
                <w:rFonts w:hint="eastAsia"/>
              </w:rPr>
              <w:t>2.8</w:t>
            </w:r>
          </w:p>
        </w:tc>
        <w:tc>
          <w:tcPr>
            <w:tcW w:w="671" w:type="pct"/>
            <w:vAlign w:val="center"/>
          </w:tcPr>
          <w:p w14:paraId="0C125984">
            <w:pPr>
              <w:pStyle w:val="31"/>
              <w:bidi w:val="0"/>
            </w:pPr>
            <w:r>
              <w:rPr>
                <w:rFonts w:hint="eastAsia"/>
              </w:rPr>
              <w:t>4</w:t>
            </w:r>
          </w:p>
        </w:tc>
        <w:tc>
          <w:tcPr>
            <w:tcW w:w="672" w:type="pct"/>
            <w:vAlign w:val="center"/>
          </w:tcPr>
          <w:p w14:paraId="2EC17798">
            <w:pPr>
              <w:pStyle w:val="31"/>
              <w:bidi w:val="0"/>
            </w:pPr>
            <w:r>
              <w:rPr>
                <w:rFonts w:hint="eastAsia"/>
              </w:rPr>
              <w:t>达标</w:t>
            </w:r>
          </w:p>
        </w:tc>
      </w:tr>
      <w:tr w14:paraId="28E07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76359B74">
            <w:pPr>
              <w:pStyle w:val="31"/>
              <w:bidi w:val="0"/>
            </w:pPr>
          </w:p>
        </w:tc>
        <w:tc>
          <w:tcPr>
            <w:tcW w:w="806" w:type="pct"/>
            <w:vAlign w:val="center"/>
          </w:tcPr>
          <w:p w14:paraId="25F28D2B">
            <w:pPr>
              <w:pStyle w:val="31"/>
              <w:bidi w:val="0"/>
            </w:pPr>
            <w:r>
              <w:rPr>
                <w:rFonts w:hint="eastAsia"/>
              </w:rPr>
              <w:t>SS</w:t>
            </w:r>
          </w:p>
        </w:tc>
        <w:tc>
          <w:tcPr>
            <w:tcW w:w="546" w:type="pct"/>
          </w:tcPr>
          <w:p w14:paraId="12D7267B">
            <w:pPr>
              <w:pStyle w:val="31"/>
              <w:bidi w:val="0"/>
            </w:pPr>
            <w:r>
              <w:t>mg</w:t>
            </w:r>
            <w:r>
              <w:rPr>
                <w:rFonts w:hint="eastAsia"/>
              </w:rPr>
              <w:t>/L</w:t>
            </w:r>
          </w:p>
        </w:tc>
        <w:tc>
          <w:tcPr>
            <w:tcW w:w="519" w:type="pct"/>
            <w:vAlign w:val="center"/>
          </w:tcPr>
          <w:p w14:paraId="792A5934">
            <w:pPr>
              <w:pStyle w:val="31"/>
              <w:bidi w:val="0"/>
            </w:pPr>
            <w:r>
              <w:rPr>
                <w:rFonts w:hint="eastAsia"/>
              </w:rPr>
              <w:t>12</w:t>
            </w:r>
          </w:p>
        </w:tc>
        <w:tc>
          <w:tcPr>
            <w:tcW w:w="519" w:type="pct"/>
            <w:vAlign w:val="center"/>
          </w:tcPr>
          <w:p w14:paraId="762E5762">
            <w:pPr>
              <w:pStyle w:val="31"/>
              <w:bidi w:val="0"/>
            </w:pPr>
            <w:r>
              <w:rPr>
                <w:rFonts w:hint="eastAsia"/>
              </w:rPr>
              <w:t>11</w:t>
            </w:r>
          </w:p>
        </w:tc>
        <w:tc>
          <w:tcPr>
            <w:tcW w:w="519" w:type="pct"/>
            <w:vAlign w:val="center"/>
          </w:tcPr>
          <w:p w14:paraId="64AEAAC1">
            <w:pPr>
              <w:pStyle w:val="31"/>
              <w:bidi w:val="0"/>
            </w:pPr>
            <w:r>
              <w:rPr>
                <w:rFonts w:hint="eastAsia"/>
              </w:rPr>
              <w:t>13</w:t>
            </w:r>
          </w:p>
        </w:tc>
        <w:tc>
          <w:tcPr>
            <w:tcW w:w="671" w:type="pct"/>
            <w:vAlign w:val="center"/>
          </w:tcPr>
          <w:p w14:paraId="0EE0492E">
            <w:pPr>
              <w:pStyle w:val="31"/>
              <w:bidi w:val="0"/>
            </w:pPr>
            <w:r>
              <w:rPr>
                <w:rFonts w:hint="eastAsia"/>
              </w:rPr>
              <w:t>/</w:t>
            </w:r>
          </w:p>
        </w:tc>
        <w:tc>
          <w:tcPr>
            <w:tcW w:w="672" w:type="pct"/>
            <w:vAlign w:val="center"/>
          </w:tcPr>
          <w:p w14:paraId="41ED0613">
            <w:pPr>
              <w:pStyle w:val="31"/>
              <w:bidi w:val="0"/>
            </w:pPr>
            <w:r>
              <w:rPr>
                <w:rFonts w:hint="eastAsia"/>
              </w:rPr>
              <w:t>/</w:t>
            </w:r>
          </w:p>
        </w:tc>
      </w:tr>
      <w:tr w14:paraId="4994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7E077F8C">
            <w:pPr>
              <w:pStyle w:val="31"/>
              <w:bidi w:val="0"/>
            </w:pPr>
          </w:p>
        </w:tc>
        <w:tc>
          <w:tcPr>
            <w:tcW w:w="806" w:type="pct"/>
            <w:vAlign w:val="center"/>
          </w:tcPr>
          <w:p w14:paraId="6DC729CF">
            <w:pPr>
              <w:pStyle w:val="31"/>
              <w:bidi w:val="0"/>
            </w:pPr>
            <w:r>
              <w:rPr>
                <w:rFonts w:hint="eastAsia"/>
              </w:rPr>
              <w:t>石油类</w:t>
            </w:r>
          </w:p>
        </w:tc>
        <w:tc>
          <w:tcPr>
            <w:tcW w:w="546" w:type="pct"/>
          </w:tcPr>
          <w:p w14:paraId="33DB7AFD">
            <w:pPr>
              <w:pStyle w:val="31"/>
              <w:bidi w:val="0"/>
            </w:pPr>
            <w:r>
              <w:t>mg</w:t>
            </w:r>
            <w:r>
              <w:rPr>
                <w:rFonts w:hint="eastAsia"/>
              </w:rPr>
              <w:t>/L</w:t>
            </w:r>
          </w:p>
        </w:tc>
        <w:tc>
          <w:tcPr>
            <w:tcW w:w="519" w:type="pct"/>
            <w:vAlign w:val="center"/>
          </w:tcPr>
          <w:p w14:paraId="22C4493A">
            <w:pPr>
              <w:pStyle w:val="31"/>
              <w:bidi w:val="0"/>
            </w:pPr>
            <w:r>
              <w:rPr>
                <w:rFonts w:hint="eastAsia"/>
              </w:rPr>
              <w:t>0.01L</w:t>
            </w:r>
          </w:p>
        </w:tc>
        <w:tc>
          <w:tcPr>
            <w:tcW w:w="519" w:type="pct"/>
            <w:vAlign w:val="center"/>
          </w:tcPr>
          <w:p w14:paraId="0CB57521">
            <w:pPr>
              <w:pStyle w:val="31"/>
              <w:bidi w:val="0"/>
            </w:pPr>
            <w:r>
              <w:rPr>
                <w:rFonts w:hint="eastAsia"/>
              </w:rPr>
              <w:t>0.01L</w:t>
            </w:r>
          </w:p>
        </w:tc>
        <w:tc>
          <w:tcPr>
            <w:tcW w:w="519" w:type="pct"/>
            <w:vAlign w:val="center"/>
          </w:tcPr>
          <w:p w14:paraId="524EC2D4">
            <w:pPr>
              <w:pStyle w:val="31"/>
              <w:bidi w:val="0"/>
            </w:pPr>
            <w:r>
              <w:rPr>
                <w:rFonts w:hint="eastAsia"/>
              </w:rPr>
              <w:t>0.01L</w:t>
            </w:r>
          </w:p>
        </w:tc>
        <w:tc>
          <w:tcPr>
            <w:tcW w:w="671" w:type="pct"/>
            <w:vAlign w:val="center"/>
          </w:tcPr>
          <w:p w14:paraId="6EECFA61">
            <w:pPr>
              <w:pStyle w:val="31"/>
              <w:bidi w:val="0"/>
            </w:pPr>
            <w:r>
              <w:rPr>
                <w:rFonts w:hint="eastAsia"/>
              </w:rPr>
              <w:t>0.05</w:t>
            </w:r>
          </w:p>
        </w:tc>
        <w:tc>
          <w:tcPr>
            <w:tcW w:w="672" w:type="pct"/>
            <w:vAlign w:val="center"/>
          </w:tcPr>
          <w:p w14:paraId="64F71976">
            <w:pPr>
              <w:pStyle w:val="31"/>
              <w:bidi w:val="0"/>
            </w:pPr>
            <w:r>
              <w:rPr>
                <w:rFonts w:hint="eastAsia"/>
              </w:rPr>
              <w:t>达标</w:t>
            </w:r>
          </w:p>
        </w:tc>
      </w:tr>
      <w:tr w14:paraId="18C92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33EA60FD">
            <w:pPr>
              <w:pStyle w:val="31"/>
              <w:bidi w:val="0"/>
            </w:pPr>
          </w:p>
        </w:tc>
        <w:tc>
          <w:tcPr>
            <w:tcW w:w="806" w:type="pct"/>
            <w:vAlign w:val="center"/>
          </w:tcPr>
          <w:p w14:paraId="769EBB59">
            <w:pPr>
              <w:pStyle w:val="31"/>
              <w:bidi w:val="0"/>
            </w:pPr>
            <w:r>
              <w:rPr>
                <w:rFonts w:hint="eastAsia"/>
              </w:rPr>
              <w:t>动植物油</w:t>
            </w:r>
          </w:p>
        </w:tc>
        <w:tc>
          <w:tcPr>
            <w:tcW w:w="546" w:type="pct"/>
          </w:tcPr>
          <w:p w14:paraId="307B7B47">
            <w:pPr>
              <w:pStyle w:val="31"/>
              <w:bidi w:val="0"/>
            </w:pPr>
            <w:r>
              <w:t>mg</w:t>
            </w:r>
            <w:r>
              <w:rPr>
                <w:rFonts w:hint="eastAsia"/>
              </w:rPr>
              <w:t>/L</w:t>
            </w:r>
          </w:p>
        </w:tc>
        <w:tc>
          <w:tcPr>
            <w:tcW w:w="519" w:type="pct"/>
            <w:vAlign w:val="center"/>
          </w:tcPr>
          <w:p w14:paraId="45C175B7">
            <w:pPr>
              <w:pStyle w:val="31"/>
              <w:bidi w:val="0"/>
            </w:pPr>
            <w:r>
              <w:rPr>
                <w:rFonts w:hint="eastAsia"/>
              </w:rPr>
              <w:t>0.06L</w:t>
            </w:r>
          </w:p>
        </w:tc>
        <w:tc>
          <w:tcPr>
            <w:tcW w:w="519" w:type="pct"/>
            <w:vAlign w:val="center"/>
          </w:tcPr>
          <w:p w14:paraId="68BBB4EE">
            <w:pPr>
              <w:pStyle w:val="31"/>
              <w:bidi w:val="0"/>
            </w:pPr>
            <w:r>
              <w:rPr>
                <w:rFonts w:hint="eastAsia"/>
              </w:rPr>
              <w:t>0.06L</w:t>
            </w:r>
          </w:p>
        </w:tc>
        <w:tc>
          <w:tcPr>
            <w:tcW w:w="519" w:type="pct"/>
            <w:vAlign w:val="center"/>
          </w:tcPr>
          <w:p w14:paraId="4A4F72F5">
            <w:pPr>
              <w:pStyle w:val="31"/>
              <w:bidi w:val="0"/>
            </w:pPr>
            <w:r>
              <w:rPr>
                <w:rFonts w:hint="eastAsia"/>
              </w:rPr>
              <w:t>0.06L</w:t>
            </w:r>
          </w:p>
        </w:tc>
        <w:tc>
          <w:tcPr>
            <w:tcW w:w="671" w:type="pct"/>
            <w:vAlign w:val="center"/>
          </w:tcPr>
          <w:p w14:paraId="6DFC0370">
            <w:pPr>
              <w:pStyle w:val="31"/>
              <w:bidi w:val="0"/>
            </w:pPr>
            <w:r>
              <w:rPr>
                <w:rFonts w:hint="eastAsia"/>
              </w:rPr>
              <w:t>/</w:t>
            </w:r>
          </w:p>
        </w:tc>
        <w:tc>
          <w:tcPr>
            <w:tcW w:w="672" w:type="pct"/>
            <w:vAlign w:val="center"/>
          </w:tcPr>
          <w:p w14:paraId="403B50A5">
            <w:pPr>
              <w:pStyle w:val="31"/>
              <w:bidi w:val="0"/>
            </w:pPr>
            <w:r>
              <w:rPr>
                <w:rFonts w:hint="eastAsia"/>
              </w:rPr>
              <w:t>/</w:t>
            </w:r>
          </w:p>
        </w:tc>
      </w:tr>
      <w:tr w14:paraId="6BD43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pct"/>
            <w:vMerge w:val="continue"/>
            <w:vAlign w:val="center"/>
          </w:tcPr>
          <w:p w14:paraId="3871E72A">
            <w:pPr>
              <w:pStyle w:val="31"/>
              <w:bidi w:val="0"/>
            </w:pPr>
          </w:p>
        </w:tc>
        <w:tc>
          <w:tcPr>
            <w:tcW w:w="806" w:type="pct"/>
            <w:vAlign w:val="center"/>
          </w:tcPr>
          <w:p w14:paraId="2E344470">
            <w:pPr>
              <w:pStyle w:val="31"/>
              <w:bidi w:val="0"/>
            </w:pPr>
            <w:r>
              <w:rPr>
                <w:rFonts w:hint="eastAsia"/>
              </w:rPr>
              <w:t>粪大肠菌群</w:t>
            </w:r>
          </w:p>
        </w:tc>
        <w:tc>
          <w:tcPr>
            <w:tcW w:w="546" w:type="pct"/>
            <w:vAlign w:val="center"/>
          </w:tcPr>
          <w:p w14:paraId="2449BDB7">
            <w:pPr>
              <w:pStyle w:val="31"/>
              <w:bidi w:val="0"/>
            </w:pPr>
            <w:r>
              <w:rPr>
                <w:rFonts w:hint="eastAsia"/>
              </w:rPr>
              <w:t>MPN/L</w:t>
            </w:r>
          </w:p>
        </w:tc>
        <w:tc>
          <w:tcPr>
            <w:tcW w:w="519" w:type="pct"/>
            <w:vAlign w:val="center"/>
          </w:tcPr>
          <w:p w14:paraId="1D4DAEED">
            <w:pPr>
              <w:pStyle w:val="31"/>
              <w:bidi w:val="0"/>
            </w:pPr>
            <w:r>
              <w:rPr>
                <w:rFonts w:hint="eastAsia"/>
              </w:rPr>
              <w:t>190</w:t>
            </w:r>
          </w:p>
        </w:tc>
        <w:tc>
          <w:tcPr>
            <w:tcW w:w="519" w:type="pct"/>
            <w:vAlign w:val="center"/>
          </w:tcPr>
          <w:p w14:paraId="3219F5B5">
            <w:pPr>
              <w:pStyle w:val="31"/>
              <w:bidi w:val="0"/>
            </w:pPr>
            <w:r>
              <w:rPr>
                <w:rFonts w:hint="eastAsia"/>
              </w:rPr>
              <w:t>210</w:t>
            </w:r>
          </w:p>
        </w:tc>
        <w:tc>
          <w:tcPr>
            <w:tcW w:w="519" w:type="pct"/>
            <w:vAlign w:val="center"/>
          </w:tcPr>
          <w:p w14:paraId="2AB7039A">
            <w:pPr>
              <w:pStyle w:val="31"/>
              <w:bidi w:val="0"/>
            </w:pPr>
            <w:r>
              <w:rPr>
                <w:rFonts w:hint="eastAsia"/>
              </w:rPr>
              <w:t>220</w:t>
            </w:r>
          </w:p>
        </w:tc>
        <w:tc>
          <w:tcPr>
            <w:tcW w:w="671" w:type="pct"/>
            <w:vAlign w:val="center"/>
          </w:tcPr>
          <w:p w14:paraId="6273B7B0">
            <w:pPr>
              <w:pStyle w:val="31"/>
              <w:bidi w:val="0"/>
            </w:pPr>
            <w:r>
              <w:rPr>
                <w:rFonts w:hint="eastAsia"/>
              </w:rPr>
              <w:t>10000</w:t>
            </w:r>
          </w:p>
        </w:tc>
        <w:tc>
          <w:tcPr>
            <w:tcW w:w="672" w:type="pct"/>
            <w:vAlign w:val="center"/>
          </w:tcPr>
          <w:p w14:paraId="4EC58C4A">
            <w:pPr>
              <w:pStyle w:val="31"/>
              <w:bidi w:val="0"/>
            </w:pPr>
            <w:r>
              <w:rPr>
                <w:rFonts w:hint="eastAsia"/>
              </w:rPr>
              <w:t>达标</w:t>
            </w:r>
          </w:p>
        </w:tc>
      </w:tr>
    </w:tbl>
    <w:p w14:paraId="5D4954AE">
      <w:pPr>
        <w:pStyle w:val="21"/>
        <w:ind w:firstLine="480"/>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根据引用监测结果，本项目湘江本项目排污口上游引用监测数据及下游引用监测数据均能满足</w:t>
      </w:r>
      <w:r>
        <w:t>《地表水环境质量标准》（GB3838-2002）</w:t>
      </w:r>
      <w:r>
        <w:rPr>
          <w:rFonts w:hint="eastAsia"/>
        </w:rPr>
        <w:t>Ⅲ类</w:t>
      </w:r>
      <w:r>
        <w:t>标准</w:t>
      </w:r>
      <w:r>
        <w:rPr>
          <w:rFonts w:hint="eastAsia"/>
          <w:lang w:eastAsia="zh-CN"/>
        </w:rPr>
        <w:t>。</w:t>
      </w:r>
    </w:p>
    <w:p w14:paraId="52C41740">
      <w:pPr>
        <w:pStyle w:val="28"/>
      </w:pPr>
      <w:bookmarkStart w:id="139" w:name="_Toc29707"/>
      <w:r>
        <w:rPr>
          <w:rFonts w:hint="eastAsia"/>
        </w:rPr>
        <w:t>4.4地下水环境质量现状</w:t>
      </w:r>
      <w:bookmarkEnd w:id="139"/>
    </w:p>
    <w:p w14:paraId="4C5F79D2">
      <w:pPr>
        <w:pStyle w:val="21"/>
        <w:ind w:firstLine="480"/>
      </w:pPr>
      <w:r>
        <w:rPr>
          <w:rFonts w:hint="eastAsia"/>
        </w:rPr>
        <w:t>为了解项目所在地区域地下水环境质量现状，委托景倡源检测(湖南)有限公司于2</w:t>
      </w:r>
      <w:r>
        <w:t>02</w:t>
      </w:r>
      <w:r>
        <w:rPr>
          <w:rFonts w:hint="eastAsia"/>
          <w:lang w:val="en-US" w:eastAsia="zh-CN"/>
        </w:rPr>
        <w:t>5</w:t>
      </w:r>
      <w:r>
        <w:rPr>
          <w:rFonts w:hint="eastAsia"/>
        </w:rPr>
        <w:t>年</w:t>
      </w:r>
      <w:r>
        <w:rPr>
          <w:rFonts w:hint="eastAsia"/>
          <w:lang w:val="en-US" w:eastAsia="zh-CN"/>
        </w:rPr>
        <w:t>5</w:t>
      </w:r>
      <w:r>
        <w:rPr>
          <w:rFonts w:hint="eastAsia"/>
        </w:rPr>
        <w:t>月16日对项目所在区域地下水井水质进行了现状监测。</w:t>
      </w:r>
    </w:p>
    <w:p w14:paraId="05D14E06">
      <w:pPr>
        <w:pStyle w:val="21"/>
        <w:ind w:firstLine="480"/>
      </w:pPr>
      <w:r>
        <w:rPr>
          <w:rFonts w:hint="eastAsia"/>
        </w:rPr>
        <w:t>（1）监测布点</w:t>
      </w:r>
    </w:p>
    <w:p w14:paraId="722CA42A">
      <w:pPr>
        <w:pStyle w:val="21"/>
        <w:ind w:firstLine="480"/>
        <w:rPr>
          <w:rFonts w:hint="eastAsia"/>
        </w:rPr>
      </w:pPr>
      <w:r>
        <w:t>据调查，地下水监测点位的水井以前是作为生活用水水源，因农村水改工程，目前均使用自来水为</w:t>
      </w:r>
      <w:r>
        <w:rPr>
          <w:rFonts w:hint="eastAsia"/>
        </w:rPr>
        <w:t>乡镇供水</w:t>
      </w:r>
      <w:r>
        <w:t>，项目区域不涉及地下水饮用水水源地。</w:t>
      </w:r>
      <w:r>
        <w:rPr>
          <w:rFonts w:hint="eastAsia"/>
          <w:lang w:val="en-US" w:eastAsia="zh-CN"/>
        </w:rPr>
        <w:t>由于项目区域地下水下游区域为湘江，无法设置地下水监测点，因此下游方向不设置地下水监测点，总计设置6个监测点，其中3个监测水位及水质（D1~D3），另外3个仅监测水位（D4~D6）</w:t>
      </w:r>
      <w:r>
        <w:t>，</w:t>
      </w:r>
      <w:r>
        <w:rPr>
          <w:rFonts w:hint="eastAsia"/>
        </w:rPr>
        <w:t>具体详见下表。</w:t>
      </w:r>
    </w:p>
    <w:p w14:paraId="3803FD97">
      <w:pPr>
        <w:pStyle w:val="23"/>
      </w:pPr>
      <w:r>
        <w:rPr>
          <w:rFonts w:hint="eastAsia"/>
        </w:rPr>
        <w:t>表4.4-1  地下水环境项目监测井信息一览表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587"/>
        <w:gridCol w:w="1750"/>
        <w:gridCol w:w="1093"/>
        <w:gridCol w:w="1406"/>
        <w:gridCol w:w="1097"/>
        <w:gridCol w:w="1284"/>
        <w:gridCol w:w="737"/>
      </w:tblGrid>
      <w:tr w14:paraId="23C69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09A30E54">
            <w:pPr>
              <w:pStyle w:val="31"/>
            </w:pPr>
            <w:r>
              <w:rPr>
                <w:rFonts w:hint="eastAsia"/>
              </w:rPr>
              <w:t>序号</w:t>
            </w:r>
          </w:p>
        </w:tc>
        <w:tc>
          <w:tcPr>
            <w:tcW w:w="344" w:type="pct"/>
            <w:vAlign w:val="center"/>
          </w:tcPr>
          <w:p w14:paraId="4F695BCB">
            <w:pPr>
              <w:pStyle w:val="31"/>
            </w:pPr>
            <w:r>
              <w:t>点位</w:t>
            </w:r>
          </w:p>
        </w:tc>
        <w:tc>
          <w:tcPr>
            <w:tcW w:w="1026" w:type="pct"/>
            <w:vAlign w:val="center"/>
          </w:tcPr>
          <w:p w14:paraId="17F36C31">
            <w:pPr>
              <w:pStyle w:val="31"/>
            </w:pPr>
            <w:r>
              <w:rPr>
                <w:rFonts w:hint="eastAsia"/>
              </w:rPr>
              <w:t>监测点位</w:t>
            </w:r>
          </w:p>
        </w:tc>
        <w:tc>
          <w:tcPr>
            <w:tcW w:w="641" w:type="pct"/>
            <w:vAlign w:val="center"/>
          </w:tcPr>
          <w:p w14:paraId="708A476C">
            <w:pPr>
              <w:pStyle w:val="31"/>
              <w:rPr>
                <w:rFonts w:hint="eastAsia" w:eastAsia="宋体"/>
                <w:lang w:eastAsia="zh-CN"/>
              </w:rPr>
            </w:pPr>
            <w:r>
              <w:rPr>
                <w:rFonts w:hint="eastAsia"/>
                <w:lang w:val="en-US" w:eastAsia="zh-CN"/>
              </w:rPr>
              <w:t>上下游</w:t>
            </w:r>
          </w:p>
        </w:tc>
        <w:tc>
          <w:tcPr>
            <w:tcW w:w="824" w:type="pct"/>
            <w:vAlign w:val="center"/>
          </w:tcPr>
          <w:p w14:paraId="03E30036">
            <w:pPr>
              <w:pStyle w:val="31"/>
            </w:pPr>
            <w:r>
              <w:rPr>
                <w:rFonts w:hint="eastAsia"/>
              </w:rPr>
              <w:t>监测时段</w:t>
            </w:r>
          </w:p>
        </w:tc>
        <w:tc>
          <w:tcPr>
            <w:tcW w:w="643" w:type="pct"/>
            <w:vAlign w:val="center"/>
          </w:tcPr>
          <w:p w14:paraId="368BC267">
            <w:pPr>
              <w:pStyle w:val="31"/>
            </w:pPr>
            <w:r>
              <w:t>相对</w:t>
            </w:r>
            <w:r>
              <w:rPr>
                <w:rFonts w:hint="eastAsia"/>
              </w:rPr>
              <w:t>厂址方位</w:t>
            </w:r>
          </w:p>
        </w:tc>
        <w:tc>
          <w:tcPr>
            <w:tcW w:w="753" w:type="pct"/>
            <w:vAlign w:val="center"/>
          </w:tcPr>
          <w:p w14:paraId="2AADB865">
            <w:pPr>
              <w:pStyle w:val="31"/>
            </w:pPr>
            <w:r>
              <w:t>相对厂界距离/m</w:t>
            </w:r>
          </w:p>
        </w:tc>
        <w:tc>
          <w:tcPr>
            <w:tcW w:w="432" w:type="pct"/>
            <w:vAlign w:val="center"/>
          </w:tcPr>
          <w:p w14:paraId="6587BF66">
            <w:pPr>
              <w:pStyle w:val="31"/>
            </w:pPr>
            <w:r>
              <w:rPr>
                <w:rFonts w:hint="eastAsia"/>
              </w:rPr>
              <w:t>水位/m</w:t>
            </w:r>
          </w:p>
        </w:tc>
      </w:tr>
      <w:tr w14:paraId="2A49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154A2E7E">
            <w:pPr>
              <w:pStyle w:val="31"/>
            </w:pPr>
            <w:r>
              <w:t>1</w:t>
            </w:r>
          </w:p>
        </w:tc>
        <w:tc>
          <w:tcPr>
            <w:tcW w:w="344" w:type="pct"/>
            <w:vAlign w:val="center"/>
          </w:tcPr>
          <w:p w14:paraId="59E64913">
            <w:pPr>
              <w:pStyle w:val="31"/>
            </w:pPr>
            <w:r>
              <w:t>D1</w:t>
            </w:r>
          </w:p>
        </w:tc>
        <w:tc>
          <w:tcPr>
            <w:tcW w:w="1026" w:type="pct"/>
            <w:vAlign w:val="center"/>
          </w:tcPr>
          <w:p w14:paraId="728E4BAB">
            <w:pPr>
              <w:pStyle w:val="31"/>
              <w:rPr>
                <w:rFonts w:hint="default" w:eastAsia="宋体"/>
                <w:lang w:val="en-US" w:eastAsia="zh-CN"/>
              </w:rPr>
            </w:pPr>
            <w:r>
              <w:rPr>
                <w:rFonts w:hint="eastAsia"/>
                <w:lang w:val="en-US" w:eastAsia="zh-CN"/>
              </w:rPr>
              <w:t>项目北侧500m田尾子居民水井</w:t>
            </w:r>
          </w:p>
        </w:tc>
        <w:tc>
          <w:tcPr>
            <w:tcW w:w="641" w:type="pct"/>
            <w:vAlign w:val="center"/>
          </w:tcPr>
          <w:p w14:paraId="57F9E34B">
            <w:pPr>
              <w:pStyle w:val="31"/>
              <w:rPr>
                <w:rFonts w:hint="eastAsia" w:eastAsia="宋体"/>
                <w:lang w:val="en-US" w:eastAsia="zh-CN"/>
              </w:rPr>
            </w:pPr>
            <w:r>
              <w:rPr>
                <w:rFonts w:hint="eastAsia"/>
                <w:lang w:val="en-US" w:eastAsia="zh-CN"/>
              </w:rPr>
              <w:t>两侧</w:t>
            </w:r>
          </w:p>
        </w:tc>
        <w:tc>
          <w:tcPr>
            <w:tcW w:w="824" w:type="pct"/>
            <w:vMerge w:val="restart"/>
            <w:vAlign w:val="center"/>
          </w:tcPr>
          <w:p w14:paraId="28919DF9">
            <w:pPr>
              <w:pStyle w:val="31"/>
            </w:pPr>
            <w:r>
              <w:t>202</w:t>
            </w:r>
            <w:r>
              <w:rPr>
                <w:rFonts w:hint="eastAsia"/>
                <w:lang w:val="en-US" w:eastAsia="zh-CN"/>
              </w:rPr>
              <w:t>5</w:t>
            </w:r>
            <w:r>
              <w:rPr>
                <w:rFonts w:hint="eastAsia"/>
              </w:rPr>
              <w:t>年</w:t>
            </w:r>
            <w:r>
              <w:rPr>
                <w:rFonts w:hint="eastAsia"/>
                <w:lang w:val="en-US" w:eastAsia="zh-CN"/>
              </w:rPr>
              <w:t>5</w:t>
            </w:r>
            <w:r>
              <w:rPr>
                <w:rFonts w:hint="eastAsia"/>
              </w:rPr>
              <w:t>月16日</w:t>
            </w:r>
          </w:p>
        </w:tc>
        <w:tc>
          <w:tcPr>
            <w:tcW w:w="643" w:type="pct"/>
            <w:vAlign w:val="center"/>
          </w:tcPr>
          <w:p w14:paraId="7566183E">
            <w:pPr>
              <w:pStyle w:val="31"/>
              <w:rPr>
                <w:rFonts w:hint="eastAsia" w:eastAsia="宋体"/>
                <w:lang w:eastAsia="zh-CN"/>
              </w:rPr>
            </w:pPr>
            <w:r>
              <w:rPr>
                <w:rFonts w:hint="eastAsia"/>
                <w:lang w:val="en-US" w:eastAsia="zh-CN"/>
              </w:rPr>
              <w:t>N</w:t>
            </w:r>
          </w:p>
        </w:tc>
        <w:tc>
          <w:tcPr>
            <w:tcW w:w="753" w:type="pct"/>
            <w:vAlign w:val="center"/>
          </w:tcPr>
          <w:p w14:paraId="68BD0AF7">
            <w:pPr>
              <w:pStyle w:val="31"/>
              <w:rPr>
                <w:rFonts w:hint="default" w:eastAsia="宋体"/>
                <w:lang w:val="en-US" w:eastAsia="zh-CN"/>
              </w:rPr>
            </w:pPr>
            <w:r>
              <w:rPr>
                <w:rFonts w:hint="eastAsia"/>
                <w:lang w:val="en-US" w:eastAsia="zh-CN"/>
              </w:rPr>
              <w:t>500</w:t>
            </w:r>
          </w:p>
        </w:tc>
        <w:tc>
          <w:tcPr>
            <w:tcW w:w="432" w:type="pct"/>
            <w:vAlign w:val="center"/>
          </w:tcPr>
          <w:p w14:paraId="375A9D18">
            <w:pPr>
              <w:pStyle w:val="31"/>
              <w:rPr>
                <w:rFonts w:hint="default" w:eastAsia="宋体"/>
                <w:lang w:val="en-US" w:eastAsia="zh-CN"/>
              </w:rPr>
            </w:pPr>
            <w:r>
              <w:rPr>
                <w:rFonts w:hint="eastAsia"/>
                <w:lang w:val="en-US" w:eastAsia="zh-CN"/>
              </w:rPr>
              <w:t>48.5</w:t>
            </w:r>
          </w:p>
        </w:tc>
      </w:tr>
      <w:tr w14:paraId="6990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5C5E796D">
            <w:pPr>
              <w:pStyle w:val="31"/>
            </w:pPr>
            <w:r>
              <w:t>2</w:t>
            </w:r>
          </w:p>
        </w:tc>
        <w:tc>
          <w:tcPr>
            <w:tcW w:w="344" w:type="pct"/>
            <w:vAlign w:val="center"/>
          </w:tcPr>
          <w:p w14:paraId="2F653958">
            <w:pPr>
              <w:pStyle w:val="31"/>
            </w:pPr>
            <w:r>
              <w:t>D2</w:t>
            </w:r>
          </w:p>
        </w:tc>
        <w:tc>
          <w:tcPr>
            <w:tcW w:w="1026" w:type="pct"/>
            <w:vAlign w:val="center"/>
          </w:tcPr>
          <w:p w14:paraId="5955AA47">
            <w:pPr>
              <w:pStyle w:val="31"/>
              <w:rPr>
                <w:rFonts w:hint="default" w:eastAsia="宋体" w:cs="行书体"/>
                <w:szCs w:val="24"/>
                <w:lang w:val="en-US" w:eastAsia="zh-CN"/>
              </w:rPr>
            </w:pPr>
            <w:r>
              <w:rPr>
                <w:rFonts w:hint="eastAsia" w:cs="行书体"/>
                <w:szCs w:val="24"/>
                <w:lang w:val="en-US" w:eastAsia="zh-CN"/>
              </w:rPr>
              <w:t>项目东侧40m林家坊居民水井</w:t>
            </w:r>
          </w:p>
        </w:tc>
        <w:tc>
          <w:tcPr>
            <w:tcW w:w="641" w:type="pct"/>
            <w:vAlign w:val="center"/>
          </w:tcPr>
          <w:p w14:paraId="4672404E">
            <w:pPr>
              <w:pStyle w:val="31"/>
              <w:rPr>
                <w:rFonts w:hint="eastAsia" w:eastAsia="宋体"/>
                <w:lang w:val="en-US" w:eastAsia="zh-CN"/>
              </w:rPr>
            </w:pPr>
            <w:r>
              <w:rPr>
                <w:rFonts w:hint="eastAsia"/>
                <w:lang w:val="en-US" w:eastAsia="zh-CN"/>
              </w:rPr>
              <w:t>上游</w:t>
            </w:r>
          </w:p>
        </w:tc>
        <w:tc>
          <w:tcPr>
            <w:tcW w:w="824" w:type="pct"/>
            <w:vMerge w:val="continue"/>
            <w:vAlign w:val="center"/>
          </w:tcPr>
          <w:p w14:paraId="2819DA5C">
            <w:pPr>
              <w:pStyle w:val="31"/>
            </w:pPr>
          </w:p>
        </w:tc>
        <w:tc>
          <w:tcPr>
            <w:tcW w:w="643" w:type="pct"/>
            <w:vAlign w:val="center"/>
          </w:tcPr>
          <w:p w14:paraId="02DAD617">
            <w:pPr>
              <w:pStyle w:val="31"/>
              <w:rPr>
                <w:rFonts w:hint="eastAsia" w:eastAsia="宋体"/>
                <w:lang w:val="en-US" w:eastAsia="zh-CN"/>
              </w:rPr>
            </w:pPr>
            <w:r>
              <w:rPr>
                <w:rFonts w:hint="eastAsia"/>
                <w:lang w:val="en-US" w:eastAsia="zh-CN"/>
              </w:rPr>
              <w:t>E</w:t>
            </w:r>
          </w:p>
        </w:tc>
        <w:tc>
          <w:tcPr>
            <w:tcW w:w="753" w:type="pct"/>
            <w:vAlign w:val="center"/>
          </w:tcPr>
          <w:p w14:paraId="2053DB97">
            <w:pPr>
              <w:pStyle w:val="31"/>
              <w:rPr>
                <w:rFonts w:hint="default" w:eastAsia="宋体"/>
                <w:lang w:val="en-US" w:eastAsia="zh-CN"/>
              </w:rPr>
            </w:pPr>
            <w:r>
              <w:rPr>
                <w:rFonts w:hint="eastAsia"/>
                <w:lang w:val="en-US" w:eastAsia="zh-CN"/>
              </w:rPr>
              <w:t>40</w:t>
            </w:r>
          </w:p>
        </w:tc>
        <w:tc>
          <w:tcPr>
            <w:tcW w:w="432" w:type="pct"/>
            <w:vAlign w:val="center"/>
          </w:tcPr>
          <w:p w14:paraId="4C1C0247">
            <w:pPr>
              <w:pStyle w:val="31"/>
              <w:rPr>
                <w:rFonts w:hint="default" w:eastAsia="宋体"/>
                <w:lang w:val="en-US" w:eastAsia="zh-CN"/>
              </w:rPr>
            </w:pPr>
            <w:r>
              <w:rPr>
                <w:rFonts w:hint="eastAsia"/>
                <w:lang w:val="en-US" w:eastAsia="zh-CN"/>
              </w:rPr>
              <w:t>45.6</w:t>
            </w:r>
          </w:p>
        </w:tc>
      </w:tr>
      <w:tr w14:paraId="08C20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5F0618C0">
            <w:pPr>
              <w:pStyle w:val="31"/>
            </w:pPr>
            <w:r>
              <w:t>3</w:t>
            </w:r>
          </w:p>
        </w:tc>
        <w:tc>
          <w:tcPr>
            <w:tcW w:w="344" w:type="pct"/>
            <w:vAlign w:val="center"/>
          </w:tcPr>
          <w:p w14:paraId="07F07471">
            <w:pPr>
              <w:pStyle w:val="31"/>
            </w:pPr>
            <w:r>
              <w:t>D</w:t>
            </w:r>
            <w:r>
              <w:rPr>
                <w:rFonts w:hint="eastAsia"/>
              </w:rPr>
              <w:t>3</w:t>
            </w:r>
          </w:p>
        </w:tc>
        <w:tc>
          <w:tcPr>
            <w:tcW w:w="1026" w:type="pct"/>
            <w:vAlign w:val="center"/>
          </w:tcPr>
          <w:p w14:paraId="2EAFBBBD">
            <w:pPr>
              <w:pStyle w:val="31"/>
              <w:rPr>
                <w:rFonts w:hint="default" w:eastAsia="宋体"/>
                <w:lang w:val="en-US" w:eastAsia="zh-CN"/>
              </w:rPr>
            </w:pPr>
            <w:r>
              <w:rPr>
                <w:rFonts w:hint="eastAsia"/>
                <w:lang w:val="en-US" w:eastAsia="zh-CN"/>
              </w:rPr>
              <w:t>项目南侧380m木桥港居民水井</w:t>
            </w:r>
          </w:p>
        </w:tc>
        <w:tc>
          <w:tcPr>
            <w:tcW w:w="641" w:type="pct"/>
            <w:vAlign w:val="center"/>
          </w:tcPr>
          <w:p w14:paraId="26C20D57">
            <w:pPr>
              <w:pStyle w:val="31"/>
              <w:rPr>
                <w:rFonts w:hint="eastAsia" w:eastAsia="宋体"/>
                <w:lang w:val="en-US" w:eastAsia="zh-CN"/>
              </w:rPr>
            </w:pPr>
            <w:r>
              <w:rPr>
                <w:rFonts w:hint="eastAsia"/>
                <w:lang w:val="en-US" w:eastAsia="zh-CN"/>
              </w:rPr>
              <w:t>两侧</w:t>
            </w:r>
          </w:p>
        </w:tc>
        <w:tc>
          <w:tcPr>
            <w:tcW w:w="824" w:type="pct"/>
            <w:vMerge w:val="continue"/>
            <w:vAlign w:val="center"/>
          </w:tcPr>
          <w:p w14:paraId="7D86879C">
            <w:pPr>
              <w:pStyle w:val="31"/>
            </w:pPr>
          </w:p>
        </w:tc>
        <w:tc>
          <w:tcPr>
            <w:tcW w:w="643" w:type="pct"/>
            <w:vAlign w:val="center"/>
          </w:tcPr>
          <w:p w14:paraId="2D0D770A">
            <w:pPr>
              <w:pStyle w:val="31"/>
            </w:pPr>
            <w:r>
              <w:rPr>
                <w:rFonts w:hint="eastAsia"/>
              </w:rPr>
              <w:t>S</w:t>
            </w:r>
          </w:p>
        </w:tc>
        <w:tc>
          <w:tcPr>
            <w:tcW w:w="753" w:type="pct"/>
            <w:vAlign w:val="center"/>
          </w:tcPr>
          <w:p w14:paraId="789C8EC6">
            <w:pPr>
              <w:pStyle w:val="31"/>
              <w:rPr>
                <w:rFonts w:hint="default" w:eastAsia="宋体"/>
                <w:lang w:val="en-US" w:eastAsia="zh-CN"/>
              </w:rPr>
            </w:pPr>
            <w:r>
              <w:rPr>
                <w:rFonts w:hint="eastAsia"/>
                <w:lang w:val="en-US" w:eastAsia="zh-CN"/>
              </w:rPr>
              <w:t>380</w:t>
            </w:r>
          </w:p>
        </w:tc>
        <w:tc>
          <w:tcPr>
            <w:tcW w:w="432" w:type="pct"/>
            <w:vAlign w:val="center"/>
          </w:tcPr>
          <w:p w14:paraId="291E4176">
            <w:pPr>
              <w:pStyle w:val="31"/>
              <w:rPr>
                <w:rFonts w:hint="default" w:eastAsia="宋体"/>
                <w:lang w:val="en-US" w:eastAsia="zh-CN"/>
              </w:rPr>
            </w:pPr>
            <w:r>
              <w:rPr>
                <w:rFonts w:hint="eastAsia"/>
                <w:lang w:val="en-US" w:eastAsia="zh-CN"/>
              </w:rPr>
              <w:t>45.6</w:t>
            </w:r>
          </w:p>
        </w:tc>
      </w:tr>
      <w:tr w14:paraId="4097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6D30A685">
            <w:pPr>
              <w:pStyle w:val="31"/>
              <w:rPr>
                <w:rFonts w:hint="eastAsia" w:eastAsia="宋体"/>
                <w:lang w:val="en-US" w:eastAsia="zh-CN"/>
              </w:rPr>
            </w:pPr>
            <w:r>
              <w:rPr>
                <w:rFonts w:hint="eastAsia"/>
                <w:lang w:val="en-US" w:eastAsia="zh-CN"/>
              </w:rPr>
              <w:t>4</w:t>
            </w:r>
          </w:p>
        </w:tc>
        <w:tc>
          <w:tcPr>
            <w:tcW w:w="344" w:type="pct"/>
            <w:vAlign w:val="center"/>
          </w:tcPr>
          <w:p w14:paraId="77EE9335">
            <w:pPr>
              <w:pStyle w:val="31"/>
              <w:rPr>
                <w:rFonts w:hint="default" w:eastAsia="宋体"/>
                <w:lang w:val="en-US" w:eastAsia="zh-CN"/>
              </w:rPr>
            </w:pPr>
            <w:r>
              <w:rPr>
                <w:rFonts w:hint="eastAsia"/>
                <w:lang w:val="en-US" w:eastAsia="zh-CN"/>
              </w:rPr>
              <w:t>D4</w:t>
            </w:r>
          </w:p>
        </w:tc>
        <w:tc>
          <w:tcPr>
            <w:tcW w:w="1026" w:type="pct"/>
            <w:vAlign w:val="center"/>
          </w:tcPr>
          <w:p w14:paraId="77A098BC">
            <w:pPr>
              <w:pStyle w:val="31"/>
              <w:rPr>
                <w:rFonts w:hint="default"/>
                <w:lang w:val="en-US" w:eastAsia="zh-CN"/>
              </w:rPr>
            </w:pPr>
            <w:r>
              <w:rPr>
                <w:rFonts w:hint="eastAsia"/>
                <w:lang w:val="en-US" w:eastAsia="zh-CN"/>
              </w:rPr>
              <w:t>项目东北侧600m李子园村居民水井</w:t>
            </w:r>
          </w:p>
        </w:tc>
        <w:tc>
          <w:tcPr>
            <w:tcW w:w="641" w:type="pct"/>
            <w:vAlign w:val="center"/>
          </w:tcPr>
          <w:p w14:paraId="5C842839">
            <w:pPr>
              <w:pStyle w:val="31"/>
              <w:rPr>
                <w:rFonts w:hint="default"/>
                <w:lang w:val="en-US" w:eastAsia="zh-CN"/>
              </w:rPr>
            </w:pPr>
            <w:r>
              <w:rPr>
                <w:rFonts w:hint="eastAsia"/>
                <w:lang w:val="en-US" w:eastAsia="zh-CN"/>
              </w:rPr>
              <w:t>上游两侧</w:t>
            </w:r>
          </w:p>
        </w:tc>
        <w:tc>
          <w:tcPr>
            <w:tcW w:w="824" w:type="pct"/>
            <w:vMerge w:val="continue"/>
            <w:vAlign w:val="center"/>
          </w:tcPr>
          <w:p w14:paraId="1A880E21">
            <w:pPr>
              <w:pStyle w:val="31"/>
            </w:pPr>
          </w:p>
        </w:tc>
        <w:tc>
          <w:tcPr>
            <w:tcW w:w="643" w:type="pct"/>
            <w:vAlign w:val="center"/>
          </w:tcPr>
          <w:p w14:paraId="182430F6">
            <w:pPr>
              <w:pStyle w:val="31"/>
              <w:rPr>
                <w:rFonts w:hint="eastAsia" w:eastAsia="宋体"/>
                <w:lang w:val="en-US" w:eastAsia="zh-CN"/>
              </w:rPr>
            </w:pPr>
            <w:r>
              <w:rPr>
                <w:rFonts w:hint="eastAsia"/>
                <w:lang w:val="en-US" w:eastAsia="zh-CN"/>
              </w:rPr>
              <w:t>EN</w:t>
            </w:r>
          </w:p>
        </w:tc>
        <w:tc>
          <w:tcPr>
            <w:tcW w:w="753" w:type="pct"/>
            <w:vAlign w:val="center"/>
          </w:tcPr>
          <w:p w14:paraId="7250E001">
            <w:pPr>
              <w:pStyle w:val="31"/>
              <w:rPr>
                <w:rFonts w:hint="default"/>
                <w:lang w:val="en-US" w:eastAsia="zh-CN"/>
              </w:rPr>
            </w:pPr>
            <w:r>
              <w:rPr>
                <w:rFonts w:hint="eastAsia"/>
                <w:lang w:val="en-US" w:eastAsia="zh-CN"/>
              </w:rPr>
              <w:t>600</w:t>
            </w:r>
          </w:p>
        </w:tc>
        <w:tc>
          <w:tcPr>
            <w:tcW w:w="432" w:type="pct"/>
            <w:vAlign w:val="center"/>
          </w:tcPr>
          <w:p w14:paraId="484036D8">
            <w:pPr>
              <w:pStyle w:val="31"/>
              <w:rPr>
                <w:rFonts w:hint="default" w:eastAsia="宋体"/>
                <w:lang w:val="en-US" w:eastAsia="zh-CN"/>
              </w:rPr>
            </w:pPr>
            <w:r>
              <w:rPr>
                <w:rFonts w:hint="eastAsia"/>
                <w:lang w:val="en-US" w:eastAsia="zh-CN"/>
              </w:rPr>
              <w:t>55.4</w:t>
            </w:r>
          </w:p>
        </w:tc>
      </w:tr>
      <w:tr w14:paraId="12238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736C4E91">
            <w:pPr>
              <w:pStyle w:val="31"/>
              <w:rPr>
                <w:rFonts w:hint="eastAsia" w:eastAsia="宋体"/>
                <w:lang w:val="en-US" w:eastAsia="zh-CN"/>
              </w:rPr>
            </w:pPr>
            <w:r>
              <w:rPr>
                <w:rFonts w:hint="eastAsia"/>
                <w:lang w:val="en-US" w:eastAsia="zh-CN"/>
              </w:rPr>
              <w:t>5</w:t>
            </w:r>
          </w:p>
        </w:tc>
        <w:tc>
          <w:tcPr>
            <w:tcW w:w="344" w:type="pct"/>
            <w:vAlign w:val="center"/>
          </w:tcPr>
          <w:p w14:paraId="0F4FF34B">
            <w:pPr>
              <w:pStyle w:val="31"/>
              <w:rPr>
                <w:rFonts w:hint="default" w:eastAsia="宋体"/>
                <w:lang w:val="en-US" w:eastAsia="zh-CN"/>
              </w:rPr>
            </w:pPr>
            <w:r>
              <w:rPr>
                <w:rFonts w:hint="eastAsia"/>
                <w:lang w:val="en-US" w:eastAsia="zh-CN"/>
              </w:rPr>
              <w:t>D5</w:t>
            </w:r>
          </w:p>
        </w:tc>
        <w:tc>
          <w:tcPr>
            <w:tcW w:w="1026" w:type="pct"/>
            <w:vAlign w:val="center"/>
          </w:tcPr>
          <w:p w14:paraId="430CD818">
            <w:pPr>
              <w:pStyle w:val="31"/>
              <w:rPr>
                <w:rFonts w:hint="default"/>
                <w:lang w:val="en-US" w:eastAsia="zh-CN"/>
              </w:rPr>
            </w:pPr>
            <w:r>
              <w:rPr>
                <w:rFonts w:hint="eastAsia"/>
                <w:lang w:val="en-US" w:eastAsia="zh-CN"/>
              </w:rPr>
              <w:t>项目东侧700m苍塘湾居民水井</w:t>
            </w:r>
          </w:p>
        </w:tc>
        <w:tc>
          <w:tcPr>
            <w:tcW w:w="641" w:type="pct"/>
            <w:vAlign w:val="center"/>
          </w:tcPr>
          <w:p w14:paraId="79DC68AB">
            <w:pPr>
              <w:pStyle w:val="31"/>
              <w:rPr>
                <w:rFonts w:hint="default"/>
                <w:lang w:val="en-US" w:eastAsia="zh-CN"/>
              </w:rPr>
            </w:pPr>
            <w:r>
              <w:rPr>
                <w:rFonts w:hint="eastAsia"/>
                <w:lang w:val="en-US" w:eastAsia="zh-CN"/>
              </w:rPr>
              <w:t>上游</w:t>
            </w:r>
          </w:p>
        </w:tc>
        <w:tc>
          <w:tcPr>
            <w:tcW w:w="824" w:type="pct"/>
            <w:vMerge w:val="continue"/>
            <w:vAlign w:val="center"/>
          </w:tcPr>
          <w:p w14:paraId="162A3C6E">
            <w:pPr>
              <w:pStyle w:val="31"/>
            </w:pPr>
          </w:p>
        </w:tc>
        <w:tc>
          <w:tcPr>
            <w:tcW w:w="643" w:type="pct"/>
            <w:vAlign w:val="center"/>
          </w:tcPr>
          <w:p w14:paraId="0C178273">
            <w:pPr>
              <w:pStyle w:val="31"/>
              <w:rPr>
                <w:rFonts w:hint="eastAsia" w:eastAsia="宋体"/>
                <w:lang w:val="en-US" w:eastAsia="zh-CN"/>
              </w:rPr>
            </w:pPr>
            <w:r>
              <w:rPr>
                <w:rFonts w:hint="eastAsia"/>
                <w:lang w:val="en-US" w:eastAsia="zh-CN"/>
              </w:rPr>
              <w:t>E</w:t>
            </w:r>
          </w:p>
        </w:tc>
        <w:tc>
          <w:tcPr>
            <w:tcW w:w="753" w:type="pct"/>
            <w:vAlign w:val="center"/>
          </w:tcPr>
          <w:p w14:paraId="078B33E8">
            <w:pPr>
              <w:pStyle w:val="31"/>
              <w:rPr>
                <w:rFonts w:hint="default"/>
                <w:lang w:val="en-US" w:eastAsia="zh-CN"/>
              </w:rPr>
            </w:pPr>
            <w:r>
              <w:rPr>
                <w:rFonts w:hint="eastAsia"/>
                <w:lang w:val="en-US" w:eastAsia="zh-CN"/>
              </w:rPr>
              <w:t>700</w:t>
            </w:r>
          </w:p>
        </w:tc>
        <w:tc>
          <w:tcPr>
            <w:tcW w:w="432" w:type="pct"/>
            <w:vAlign w:val="center"/>
          </w:tcPr>
          <w:p w14:paraId="78B0F4BF">
            <w:pPr>
              <w:pStyle w:val="31"/>
              <w:rPr>
                <w:rFonts w:hint="default" w:eastAsia="宋体"/>
                <w:lang w:val="en-US" w:eastAsia="zh-CN"/>
              </w:rPr>
            </w:pPr>
            <w:r>
              <w:rPr>
                <w:rFonts w:hint="eastAsia"/>
                <w:lang w:val="en-US" w:eastAsia="zh-CN"/>
              </w:rPr>
              <w:t>65.9</w:t>
            </w:r>
          </w:p>
        </w:tc>
      </w:tr>
      <w:tr w14:paraId="6DC06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3" w:type="pct"/>
            <w:vAlign w:val="center"/>
          </w:tcPr>
          <w:p w14:paraId="2FF2B437">
            <w:pPr>
              <w:pStyle w:val="31"/>
              <w:rPr>
                <w:rFonts w:hint="eastAsia" w:eastAsia="宋体"/>
                <w:lang w:val="en-US" w:eastAsia="zh-CN"/>
              </w:rPr>
            </w:pPr>
            <w:r>
              <w:rPr>
                <w:rFonts w:hint="eastAsia"/>
                <w:lang w:val="en-US" w:eastAsia="zh-CN"/>
              </w:rPr>
              <w:t>6</w:t>
            </w:r>
          </w:p>
        </w:tc>
        <w:tc>
          <w:tcPr>
            <w:tcW w:w="344" w:type="pct"/>
            <w:vAlign w:val="center"/>
          </w:tcPr>
          <w:p w14:paraId="5A55CFF5">
            <w:pPr>
              <w:pStyle w:val="31"/>
              <w:rPr>
                <w:rFonts w:hint="default" w:eastAsia="宋体"/>
                <w:lang w:val="en-US" w:eastAsia="zh-CN"/>
              </w:rPr>
            </w:pPr>
            <w:r>
              <w:rPr>
                <w:rFonts w:hint="eastAsia"/>
                <w:lang w:val="en-US" w:eastAsia="zh-CN"/>
              </w:rPr>
              <w:t>D6</w:t>
            </w:r>
          </w:p>
        </w:tc>
        <w:tc>
          <w:tcPr>
            <w:tcW w:w="1026" w:type="pct"/>
            <w:vAlign w:val="center"/>
          </w:tcPr>
          <w:p w14:paraId="66F6FDA7">
            <w:pPr>
              <w:pStyle w:val="31"/>
              <w:rPr>
                <w:rFonts w:hint="default"/>
                <w:lang w:val="en-US" w:eastAsia="zh-CN"/>
              </w:rPr>
            </w:pPr>
            <w:r>
              <w:rPr>
                <w:rFonts w:hint="eastAsia"/>
                <w:lang w:val="en-US" w:eastAsia="zh-CN"/>
              </w:rPr>
              <w:t>项目东南侧500m大园居民水井</w:t>
            </w:r>
          </w:p>
        </w:tc>
        <w:tc>
          <w:tcPr>
            <w:tcW w:w="641" w:type="pct"/>
            <w:vAlign w:val="center"/>
          </w:tcPr>
          <w:p w14:paraId="1A86DF62">
            <w:pPr>
              <w:pStyle w:val="31"/>
              <w:rPr>
                <w:rFonts w:hint="default"/>
                <w:lang w:val="en-US" w:eastAsia="zh-CN"/>
              </w:rPr>
            </w:pPr>
            <w:r>
              <w:rPr>
                <w:rFonts w:hint="eastAsia"/>
                <w:lang w:val="en-US" w:eastAsia="zh-CN"/>
              </w:rPr>
              <w:t>上游两侧</w:t>
            </w:r>
          </w:p>
        </w:tc>
        <w:tc>
          <w:tcPr>
            <w:tcW w:w="824" w:type="pct"/>
            <w:vMerge w:val="continue"/>
            <w:vAlign w:val="center"/>
          </w:tcPr>
          <w:p w14:paraId="63EA5F6D">
            <w:pPr>
              <w:pStyle w:val="31"/>
            </w:pPr>
          </w:p>
        </w:tc>
        <w:tc>
          <w:tcPr>
            <w:tcW w:w="643" w:type="pct"/>
            <w:vAlign w:val="center"/>
          </w:tcPr>
          <w:p w14:paraId="7920B9E5">
            <w:pPr>
              <w:pStyle w:val="31"/>
              <w:rPr>
                <w:rFonts w:hint="eastAsia" w:eastAsia="宋体"/>
                <w:lang w:val="en-US" w:eastAsia="zh-CN"/>
              </w:rPr>
            </w:pPr>
            <w:r>
              <w:rPr>
                <w:rFonts w:hint="eastAsia"/>
                <w:lang w:val="en-US" w:eastAsia="zh-CN"/>
              </w:rPr>
              <w:t>ES</w:t>
            </w:r>
          </w:p>
        </w:tc>
        <w:tc>
          <w:tcPr>
            <w:tcW w:w="753" w:type="pct"/>
            <w:vAlign w:val="center"/>
          </w:tcPr>
          <w:p w14:paraId="4823F5EE">
            <w:pPr>
              <w:pStyle w:val="31"/>
              <w:rPr>
                <w:rFonts w:hint="default"/>
                <w:lang w:val="en-US" w:eastAsia="zh-CN"/>
              </w:rPr>
            </w:pPr>
            <w:r>
              <w:rPr>
                <w:rFonts w:hint="eastAsia"/>
                <w:lang w:val="en-US" w:eastAsia="zh-CN"/>
              </w:rPr>
              <w:t>500</w:t>
            </w:r>
          </w:p>
        </w:tc>
        <w:tc>
          <w:tcPr>
            <w:tcW w:w="432" w:type="pct"/>
            <w:vAlign w:val="center"/>
          </w:tcPr>
          <w:p w14:paraId="6FE23276">
            <w:pPr>
              <w:pStyle w:val="31"/>
              <w:rPr>
                <w:rFonts w:hint="default" w:eastAsia="宋体"/>
                <w:lang w:val="en-US" w:eastAsia="zh-CN"/>
              </w:rPr>
            </w:pPr>
            <w:r>
              <w:rPr>
                <w:rFonts w:hint="eastAsia"/>
                <w:lang w:val="en-US" w:eastAsia="zh-CN"/>
              </w:rPr>
              <w:t>51.4</w:t>
            </w:r>
          </w:p>
        </w:tc>
      </w:tr>
    </w:tbl>
    <w:p w14:paraId="38BB3563">
      <w:pPr>
        <w:pStyle w:val="21"/>
        <w:ind w:firstLine="480"/>
        <w:rPr>
          <w:rFonts w:hint="eastAsia"/>
        </w:rPr>
      </w:pPr>
      <w:r>
        <w:rPr>
          <w:rFonts w:hint="eastAsia"/>
          <w:lang w:eastAsia="zh-CN"/>
        </w:rPr>
        <w:t>（</w:t>
      </w:r>
      <w:r>
        <w:rPr>
          <w:rFonts w:hint="eastAsia"/>
          <w:lang w:val="en-US" w:eastAsia="zh-CN"/>
        </w:rPr>
        <w:t>2</w:t>
      </w:r>
      <w:r>
        <w:rPr>
          <w:rFonts w:hint="eastAsia"/>
          <w:lang w:eastAsia="zh-CN"/>
        </w:rPr>
        <w:t>）</w:t>
      </w:r>
      <w:r>
        <w:rPr>
          <w:rFonts w:hint="eastAsia"/>
          <w:lang w:val="en-US" w:eastAsia="zh-CN"/>
        </w:rPr>
        <w:t>监测因子：</w:t>
      </w:r>
      <w:r>
        <w:rPr>
          <w:rFonts w:hint="eastAsia"/>
        </w:rPr>
        <w:t>K</w:t>
      </w:r>
      <w:r>
        <w:rPr>
          <w:rFonts w:hint="eastAsia"/>
          <w:vertAlign w:val="superscript"/>
        </w:rPr>
        <w:t>+</w:t>
      </w:r>
      <w:r>
        <w:rPr>
          <w:rFonts w:hint="eastAsia"/>
        </w:rPr>
        <w:t>+Na</w:t>
      </w:r>
      <w:r>
        <w:rPr>
          <w:rFonts w:hint="eastAsia"/>
          <w:vertAlign w:val="superscript"/>
        </w:rPr>
        <w:t>+</w:t>
      </w:r>
      <w:r>
        <w:rPr>
          <w:rFonts w:hint="eastAsia"/>
        </w:rPr>
        <w:t>、Ca</w:t>
      </w:r>
      <w:r>
        <w:rPr>
          <w:rFonts w:hint="eastAsia"/>
          <w:vertAlign w:val="superscript"/>
        </w:rPr>
        <w:t>2+</w:t>
      </w:r>
      <w:r>
        <w:rPr>
          <w:rFonts w:hint="eastAsia"/>
        </w:rPr>
        <w:t>、Mg</w:t>
      </w:r>
      <w:r>
        <w:rPr>
          <w:rFonts w:hint="eastAsia"/>
          <w:vertAlign w:val="superscript"/>
        </w:rPr>
        <w:t>2+</w:t>
      </w:r>
      <w:r>
        <w:rPr>
          <w:rFonts w:hint="eastAsia"/>
        </w:rPr>
        <w:t>、CO</w:t>
      </w:r>
      <w:r>
        <w:rPr>
          <w:rFonts w:hint="eastAsia"/>
          <w:vertAlign w:val="subscript"/>
        </w:rPr>
        <w:t>3</w:t>
      </w:r>
      <w:r>
        <w:rPr>
          <w:rFonts w:hint="eastAsia"/>
          <w:vertAlign w:val="superscript"/>
        </w:rPr>
        <w:t>2-</w:t>
      </w:r>
      <w:r>
        <w:rPr>
          <w:rFonts w:hint="eastAsia"/>
        </w:rPr>
        <w:t>、HCO</w:t>
      </w:r>
      <w:r>
        <w:rPr>
          <w:rFonts w:hint="eastAsia"/>
          <w:vertAlign w:val="superscript"/>
        </w:rPr>
        <w:t>3-</w:t>
      </w:r>
      <w:r>
        <w:rPr>
          <w:rFonts w:hint="eastAsia"/>
        </w:rPr>
        <w:t>、Cl</w:t>
      </w:r>
      <w:r>
        <w:rPr>
          <w:rFonts w:hint="eastAsia"/>
          <w:vertAlign w:val="superscript"/>
        </w:rPr>
        <w:t>-</w:t>
      </w:r>
      <w:r>
        <w:rPr>
          <w:rFonts w:hint="eastAsia"/>
        </w:rPr>
        <w:t>、SO</w:t>
      </w:r>
      <w:r>
        <w:rPr>
          <w:rFonts w:hint="eastAsia"/>
          <w:vertAlign w:val="subscript"/>
        </w:rPr>
        <w:t>4</w:t>
      </w:r>
      <w:r>
        <w:rPr>
          <w:rFonts w:hint="eastAsia"/>
          <w:vertAlign w:val="superscript"/>
        </w:rPr>
        <w:t>2-</w:t>
      </w:r>
      <w:r>
        <w:rPr>
          <w:rFonts w:hint="eastAsia"/>
        </w:rPr>
        <w:t>、pH、氨氮、</w:t>
      </w:r>
      <w:r>
        <w:rPr>
          <w:rFonts w:hint="eastAsia"/>
          <w:lang w:val="en-US" w:eastAsia="zh-CN"/>
        </w:rPr>
        <w:t>挥发酚、氰化物、砷、汞、六价铬、总硬度、铅、镉、铁、锰、溶解性总固体、高锰酸盐指数、硝酸盐、亚硝酸盐、氟化物、硫酸盐、氯化物、总大肠菌群、菌落总数</w:t>
      </w:r>
      <w:r>
        <w:rPr>
          <w:rFonts w:hint="eastAsia"/>
        </w:rPr>
        <w:t>。</w:t>
      </w:r>
    </w:p>
    <w:p w14:paraId="5455D13B">
      <w:pPr>
        <w:pStyle w:val="21"/>
        <w:ind w:firstLine="480"/>
        <w:rPr>
          <w:rFonts w:hint="eastAsia"/>
          <w:lang w:val="en-US"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监测频次：监测1次</w:t>
      </w:r>
    </w:p>
    <w:p w14:paraId="466AE346">
      <w:pPr>
        <w:pStyle w:val="21"/>
        <w:ind w:firstLine="480"/>
        <w:rPr>
          <w:rFonts w:hint="eastAsia"/>
        </w:rPr>
      </w:pPr>
      <w:r>
        <w:rPr>
          <w:rFonts w:hint="eastAsia"/>
          <w:lang w:val="en-US" w:eastAsia="zh-CN"/>
        </w:rPr>
        <w:t>（4）评价标准：</w:t>
      </w:r>
      <w:r>
        <w:rPr>
          <w:rFonts w:hint="eastAsia"/>
        </w:rPr>
        <w:t>执行《地下水质量标准》（GB/T</w:t>
      </w:r>
      <w:r>
        <w:t xml:space="preserve"> </w:t>
      </w:r>
      <w:r>
        <w:rPr>
          <w:rFonts w:hint="eastAsia"/>
        </w:rPr>
        <w:t>14848-</w:t>
      </w:r>
      <w:r>
        <w:t>2017</w:t>
      </w:r>
      <w:r>
        <w:rPr>
          <w:rFonts w:hint="eastAsia"/>
        </w:rPr>
        <w:t>）III类标准。</w:t>
      </w:r>
    </w:p>
    <w:p w14:paraId="4DB19395">
      <w:pPr>
        <w:pStyle w:val="21"/>
        <w:ind w:firstLine="480"/>
        <w:rPr>
          <w:rFonts w:hint="eastAsia"/>
          <w:lang w:val="en-US" w:eastAsia="zh-CN"/>
        </w:rPr>
      </w:pPr>
      <w:r>
        <w:rPr>
          <w:rFonts w:hint="eastAsia"/>
          <w:lang w:eastAsia="zh-CN"/>
        </w:rPr>
        <w:t>（</w:t>
      </w:r>
      <w:r>
        <w:rPr>
          <w:rFonts w:hint="eastAsia"/>
          <w:lang w:val="en-US" w:eastAsia="zh-CN"/>
        </w:rPr>
        <w:t>5</w:t>
      </w:r>
      <w:r>
        <w:rPr>
          <w:rFonts w:hint="eastAsia"/>
          <w:lang w:eastAsia="zh-CN"/>
        </w:rPr>
        <w:t>）</w:t>
      </w:r>
      <w:r>
        <w:rPr>
          <w:rFonts w:hint="eastAsia"/>
          <w:lang w:val="en-US" w:eastAsia="zh-CN"/>
        </w:rPr>
        <w:t>监测结果：</w:t>
      </w:r>
    </w:p>
    <w:p w14:paraId="0CA00302">
      <w:pPr>
        <w:pStyle w:val="23"/>
        <w:bidi w:val="0"/>
        <w:rPr>
          <w:rFonts w:hint="eastAsia"/>
          <w:lang w:val="en-US" w:eastAsia="zh-CN"/>
        </w:rPr>
      </w:pPr>
      <w:r>
        <w:rPr>
          <w:rFonts w:hint="eastAsia"/>
          <w:lang w:val="en-US" w:eastAsia="zh-CN"/>
        </w:rPr>
        <w:t>表4.4-2  地下水水质监测结果</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582"/>
        <w:gridCol w:w="1357"/>
        <w:gridCol w:w="1099"/>
        <w:gridCol w:w="1099"/>
        <w:gridCol w:w="1104"/>
        <w:gridCol w:w="915"/>
        <w:gridCol w:w="681"/>
      </w:tblGrid>
      <w:tr w14:paraId="2A238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restart"/>
            <w:vAlign w:val="center"/>
          </w:tcPr>
          <w:p w14:paraId="783CD14F">
            <w:pPr>
              <w:pStyle w:val="31"/>
              <w:bidi w:val="0"/>
              <w:jc w:val="center"/>
              <w:rPr>
                <w:rFonts w:hint="default"/>
                <w:lang w:val="en-US" w:eastAsia="zh-CN"/>
              </w:rPr>
            </w:pPr>
            <w:r>
              <w:rPr>
                <w:rFonts w:hint="eastAsia"/>
                <w:lang w:val="en-US" w:eastAsia="zh-CN"/>
              </w:rPr>
              <w:t>序号</w:t>
            </w:r>
          </w:p>
        </w:tc>
        <w:tc>
          <w:tcPr>
            <w:tcW w:w="928" w:type="pct"/>
            <w:vMerge w:val="restart"/>
            <w:vAlign w:val="center"/>
          </w:tcPr>
          <w:p w14:paraId="7249CCFF">
            <w:pPr>
              <w:pStyle w:val="31"/>
              <w:bidi w:val="0"/>
              <w:jc w:val="center"/>
              <w:rPr>
                <w:rFonts w:hint="default"/>
                <w:lang w:val="en-US" w:eastAsia="zh-CN"/>
              </w:rPr>
            </w:pPr>
            <w:r>
              <w:rPr>
                <w:rFonts w:hint="eastAsia"/>
                <w:lang w:val="en-US" w:eastAsia="zh-CN"/>
              </w:rPr>
              <w:t>监测因子</w:t>
            </w:r>
          </w:p>
        </w:tc>
        <w:tc>
          <w:tcPr>
            <w:tcW w:w="796" w:type="pct"/>
            <w:vMerge w:val="restart"/>
            <w:vAlign w:val="center"/>
          </w:tcPr>
          <w:p w14:paraId="29D6198B">
            <w:pPr>
              <w:pStyle w:val="31"/>
              <w:bidi w:val="0"/>
              <w:jc w:val="center"/>
              <w:rPr>
                <w:rFonts w:hint="default"/>
                <w:lang w:val="en-US" w:eastAsia="zh-CN"/>
              </w:rPr>
            </w:pPr>
            <w:r>
              <w:rPr>
                <w:rFonts w:hint="eastAsia"/>
                <w:lang w:val="en-US" w:eastAsia="zh-CN"/>
              </w:rPr>
              <w:t>单位</w:t>
            </w:r>
          </w:p>
        </w:tc>
        <w:tc>
          <w:tcPr>
            <w:tcW w:w="1938" w:type="pct"/>
            <w:gridSpan w:val="3"/>
            <w:vAlign w:val="center"/>
          </w:tcPr>
          <w:p w14:paraId="3F0DD0D9">
            <w:pPr>
              <w:pStyle w:val="31"/>
              <w:bidi w:val="0"/>
              <w:jc w:val="center"/>
              <w:rPr>
                <w:rFonts w:hint="default"/>
                <w:lang w:val="en-US" w:eastAsia="zh-CN"/>
              </w:rPr>
            </w:pPr>
            <w:r>
              <w:rPr>
                <w:rFonts w:hint="eastAsia"/>
                <w:lang w:val="en-US" w:eastAsia="zh-CN"/>
              </w:rPr>
              <w:t>监测点位及监测结果</w:t>
            </w:r>
          </w:p>
        </w:tc>
        <w:tc>
          <w:tcPr>
            <w:tcW w:w="537" w:type="pct"/>
            <w:vMerge w:val="restart"/>
            <w:vAlign w:val="center"/>
          </w:tcPr>
          <w:p w14:paraId="01DC006D">
            <w:pPr>
              <w:pStyle w:val="31"/>
              <w:bidi w:val="0"/>
              <w:jc w:val="center"/>
              <w:rPr>
                <w:rFonts w:hint="eastAsia"/>
                <w:lang w:val="en-US" w:eastAsia="zh-CN"/>
              </w:rPr>
            </w:pPr>
            <w:r>
              <w:rPr>
                <w:rFonts w:hint="eastAsia"/>
                <w:lang w:val="en-US" w:eastAsia="zh-CN"/>
              </w:rPr>
              <w:t>标准</w:t>
            </w:r>
          </w:p>
          <w:p w14:paraId="41001BA6">
            <w:pPr>
              <w:pStyle w:val="31"/>
              <w:bidi w:val="0"/>
              <w:jc w:val="center"/>
              <w:rPr>
                <w:rFonts w:hint="default"/>
                <w:lang w:val="en-US" w:eastAsia="zh-CN"/>
              </w:rPr>
            </w:pPr>
            <w:r>
              <w:rPr>
                <w:rFonts w:hint="eastAsia"/>
                <w:lang w:val="en-US" w:eastAsia="zh-CN"/>
              </w:rPr>
              <w:t>限值</w:t>
            </w:r>
          </w:p>
        </w:tc>
        <w:tc>
          <w:tcPr>
            <w:tcW w:w="399" w:type="pct"/>
            <w:vMerge w:val="restart"/>
            <w:vAlign w:val="center"/>
          </w:tcPr>
          <w:p w14:paraId="205F7035">
            <w:pPr>
              <w:pStyle w:val="31"/>
              <w:bidi w:val="0"/>
              <w:jc w:val="center"/>
              <w:rPr>
                <w:rFonts w:hint="eastAsia"/>
                <w:lang w:val="en-US" w:eastAsia="zh-CN"/>
              </w:rPr>
            </w:pPr>
            <w:r>
              <w:rPr>
                <w:rFonts w:hint="eastAsia"/>
                <w:lang w:val="en-US" w:eastAsia="zh-CN"/>
              </w:rPr>
              <w:t>达标</w:t>
            </w:r>
          </w:p>
          <w:p w14:paraId="7C287FAE">
            <w:pPr>
              <w:pStyle w:val="31"/>
              <w:bidi w:val="0"/>
              <w:jc w:val="center"/>
              <w:rPr>
                <w:rFonts w:hint="default"/>
                <w:lang w:val="en-US" w:eastAsia="zh-CN"/>
              </w:rPr>
            </w:pPr>
            <w:r>
              <w:rPr>
                <w:rFonts w:hint="eastAsia"/>
                <w:lang w:val="en-US" w:eastAsia="zh-CN"/>
              </w:rPr>
              <w:t>情况</w:t>
            </w:r>
          </w:p>
        </w:tc>
      </w:tr>
      <w:tr w14:paraId="2887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Merge w:val="continue"/>
            <w:vAlign w:val="center"/>
          </w:tcPr>
          <w:p w14:paraId="67BFA45F">
            <w:pPr>
              <w:pStyle w:val="31"/>
              <w:bidi w:val="0"/>
              <w:jc w:val="center"/>
              <w:rPr>
                <w:rFonts w:hint="default"/>
                <w:lang w:val="en-US" w:eastAsia="zh-CN"/>
              </w:rPr>
            </w:pPr>
          </w:p>
        </w:tc>
        <w:tc>
          <w:tcPr>
            <w:tcW w:w="928" w:type="pct"/>
            <w:vMerge w:val="continue"/>
            <w:vAlign w:val="center"/>
          </w:tcPr>
          <w:p w14:paraId="0CA49894">
            <w:pPr>
              <w:pStyle w:val="31"/>
              <w:bidi w:val="0"/>
              <w:jc w:val="center"/>
              <w:rPr>
                <w:rFonts w:hint="default"/>
                <w:lang w:val="en-US" w:eastAsia="zh-CN"/>
              </w:rPr>
            </w:pPr>
          </w:p>
        </w:tc>
        <w:tc>
          <w:tcPr>
            <w:tcW w:w="796" w:type="pct"/>
            <w:vMerge w:val="continue"/>
            <w:vAlign w:val="center"/>
          </w:tcPr>
          <w:p w14:paraId="314A5BC2">
            <w:pPr>
              <w:pStyle w:val="31"/>
              <w:bidi w:val="0"/>
              <w:jc w:val="center"/>
              <w:rPr>
                <w:rFonts w:hint="default"/>
                <w:lang w:val="en-US" w:eastAsia="zh-CN"/>
              </w:rPr>
            </w:pPr>
          </w:p>
        </w:tc>
        <w:tc>
          <w:tcPr>
            <w:tcW w:w="645" w:type="pct"/>
            <w:vAlign w:val="center"/>
          </w:tcPr>
          <w:p w14:paraId="504FF292">
            <w:pPr>
              <w:pStyle w:val="31"/>
              <w:bidi w:val="0"/>
              <w:jc w:val="center"/>
              <w:rPr>
                <w:rFonts w:hint="default"/>
                <w:lang w:val="en-US" w:eastAsia="zh-CN"/>
              </w:rPr>
            </w:pPr>
            <w:r>
              <w:rPr>
                <w:rFonts w:hint="eastAsia"/>
                <w:lang w:val="en-US" w:eastAsia="zh-CN"/>
              </w:rPr>
              <w:t>D1</w:t>
            </w:r>
          </w:p>
        </w:tc>
        <w:tc>
          <w:tcPr>
            <w:tcW w:w="645" w:type="pct"/>
            <w:vAlign w:val="center"/>
          </w:tcPr>
          <w:p w14:paraId="78811BD3">
            <w:pPr>
              <w:pStyle w:val="31"/>
              <w:bidi w:val="0"/>
              <w:jc w:val="center"/>
              <w:rPr>
                <w:rFonts w:hint="default"/>
                <w:lang w:val="en-US" w:eastAsia="zh-CN"/>
              </w:rPr>
            </w:pPr>
            <w:r>
              <w:rPr>
                <w:rFonts w:hint="eastAsia"/>
                <w:lang w:val="en-US" w:eastAsia="zh-CN"/>
              </w:rPr>
              <w:t>D2</w:t>
            </w:r>
          </w:p>
        </w:tc>
        <w:tc>
          <w:tcPr>
            <w:tcW w:w="646" w:type="pct"/>
            <w:vAlign w:val="center"/>
          </w:tcPr>
          <w:p w14:paraId="3EEA12E2">
            <w:pPr>
              <w:pStyle w:val="31"/>
              <w:bidi w:val="0"/>
              <w:jc w:val="center"/>
              <w:rPr>
                <w:rFonts w:hint="default"/>
                <w:lang w:val="en-US" w:eastAsia="zh-CN"/>
              </w:rPr>
            </w:pPr>
            <w:r>
              <w:rPr>
                <w:rFonts w:hint="eastAsia"/>
                <w:lang w:val="en-US" w:eastAsia="zh-CN"/>
              </w:rPr>
              <w:t>D3</w:t>
            </w:r>
          </w:p>
        </w:tc>
        <w:tc>
          <w:tcPr>
            <w:tcW w:w="537" w:type="pct"/>
            <w:vMerge w:val="continue"/>
            <w:vAlign w:val="center"/>
          </w:tcPr>
          <w:p w14:paraId="0F7484E6">
            <w:pPr>
              <w:pStyle w:val="31"/>
              <w:bidi w:val="0"/>
              <w:jc w:val="center"/>
              <w:rPr>
                <w:rFonts w:hint="default"/>
                <w:lang w:val="en-US" w:eastAsia="zh-CN"/>
              </w:rPr>
            </w:pPr>
          </w:p>
        </w:tc>
        <w:tc>
          <w:tcPr>
            <w:tcW w:w="399" w:type="pct"/>
            <w:vMerge w:val="continue"/>
            <w:vAlign w:val="center"/>
          </w:tcPr>
          <w:p w14:paraId="302C1046">
            <w:pPr>
              <w:pStyle w:val="31"/>
              <w:bidi w:val="0"/>
              <w:jc w:val="center"/>
              <w:rPr>
                <w:rFonts w:hint="default"/>
                <w:lang w:val="en-US" w:eastAsia="zh-CN"/>
              </w:rPr>
            </w:pPr>
          </w:p>
        </w:tc>
      </w:tr>
      <w:tr w14:paraId="3B12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494671C4">
            <w:pPr>
              <w:pStyle w:val="31"/>
              <w:bidi w:val="0"/>
              <w:jc w:val="center"/>
              <w:rPr>
                <w:rFonts w:hint="default"/>
                <w:lang w:val="en-US" w:eastAsia="zh-CN"/>
              </w:rPr>
            </w:pPr>
            <w:r>
              <w:rPr>
                <w:rFonts w:hint="eastAsia"/>
                <w:lang w:val="en-US" w:eastAsia="zh-CN"/>
              </w:rPr>
              <w:t>1</w:t>
            </w:r>
          </w:p>
        </w:tc>
        <w:tc>
          <w:tcPr>
            <w:tcW w:w="928" w:type="pct"/>
            <w:vAlign w:val="center"/>
          </w:tcPr>
          <w:p w14:paraId="21F674C1">
            <w:pPr>
              <w:pStyle w:val="31"/>
              <w:bidi w:val="0"/>
              <w:jc w:val="center"/>
              <w:rPr>
                <w:rFonts w:hint="default"/>
                <w:lang w:val="en-US" w:eastAsia="zh-CN"/>
              </w:rPr>
            </w:pPr>
            <w:r>
              <w:rPr>
                <w:rFonts w:hint="eastAsia"/>
                <w:lang w:val="en-US" w:eastAsia="zh-CN"/>
              </w:rPr>
              <w:t>pH值</w:t>
            </w:r>
          </w:p>
        </w:tc>
        <w:tc>
          <w:tcPr>
            <w:tcW w:w="796" w:type="pct"/>
            <w:vAlign w:val="center"/>
          </w:tcPr>
          <w:p w14:paraId="1A4627E5">
            <w:pPr>
              <w:pStyle w:val="31"/>
              <w:bidi w:val="0"/>
              <w:jc w:val="center"/>
              <w:rPr>
                <w:rFonts w:hint="default"/>
                <w:lang w:val="en-US" w:eastAsia="zh-CN"/>
              </w:rPr>
            </w:pPr>
            <w:r>
              <w:rPr>
                <w:rFonts w:hint="eastAsia"/>
                <w:lang w:val="en-US" w:eastAsia="zh-CN"/>
              </w:rPr>
              <w:t>无量纲</w:t>
            </w:r>
          </w:p>
        </w:tc>
        <w:tc>
          <w:tcPr>
            <w:tcW w:w="645" w:type="pct"/>
            <w:vAlign w:val="center"/>
          </w:tcPr>
          <w:p w14:paraId="14EE0D9E">
            <w:pPr>
              <w:pStyle w:val="31"/>
              <w:bidi w:val="0"/>
              <w:jc w:val="center"/>
              <w:rPr>
                <w:rFonts w:hint="default"/>
                <w:lang w:val="en-US" w:eastAsia="zh-CN"/>
              </w:rPr>
            </w:pPr>
            <w:r>
              <w:rPr>
                <w:rFonts w:hint="eastAsia"/>
                <w:lang w:val="en-US" w:eastAsia="zh-CN"/>
              </w:rPr>
              <w:t>7.8</w:t>
            </w:r>
          </w:p>
        </w:tc>
        <w:tc>
          <w:tcPr>
            <w:tcW w:w="645" w:type="pct"/>
            <w:vAlign w:val="center"/>
          </w:tcPr>
          <w:p w14:paraId="01FE447C">
            <w:pPr>
              <w:pStyle w:val="31"/>
              <w:bidi w:val="0"/>
              <w:jc w:val="center"/>
              <w:rPr>
                <w:rFonts w:hint="default"/>
                <w:lang w:val="en-US" w:eastAsia="zh-CN"/>
              </w:rPr>
            </w:pPr>
            <w:r>
              <w:rPr>
                <w:rFonts w:hint="eastAsia"/>
                <w:lang w:val="en-US" w:eastAsia="zh-CN"/>
              </w:rPr>
              <w:t>7.8</w:t>
            </w:r>
          </w:p>
        </w:tc>
        <w:tc>
          <w:tcPr>
            <w:tcW w:w="646" w:type="pct"/>
            <w:vAlign w:val="center"/>
          </w:tcPr>
          <w:p w14:paraId="409D15BE">
            <w:pPr>
              <w:pStyle w:val="31"/>
              <w:bidi w:val="0"/>
              <w:jc w:val="center"/>
              <w:rPr>
                <w:rFonts w:hint="default"/>
                <w:lang w:val="en-US" w:eastAsia="zh-CN"/>
              </w:rPr>
            </w:pPr>
            <w:r>
              <w:rPr>
                <w:rFonts w:hint="eastAsia"/>
                <w:lang w:val="en-US" w:eastAsia="zh-CN"/>
              </w:rPr>
              <w:t>7.8</w:t>
            </w:r>
          </w:p>
        </w:tc>
        <w:tc>
          <w:tcPr>
            <w:tcW w:w="537" w:type="pct"/>
            <w:vAlign w:val="center"/>
          </w:tcPr>
          <w:p w14:paraId="2AC68E48">
            <w:pPr>
              <w:pStyle w:val="31"/>
              <w:bidi w:val="0"/>
              <w:jc w:val="center"/>
              <w:rPr>
                <w:rFonts w:hint="default"/>
                <w:lang w:val="en-US" w:eastAsia="zh-CN"/>
              </w:rPr>
            </w:pPr>
            <w:r>
              <w:rPr>
                <w:rFonts w:hint="eastAsia"/>
                <w:lang w:val="en-US" w:eastAsia="zh-CN"/>
              </w:rPr>
              <w:t>6.5~8.5</w:t>
            </w:r>
          </w:p>
        </w:tc>
        <w:tc>
          <w:tcPr>
            <w:tcW w:w="399" w:type="pct"/>
            <w:vAlign w:val="center"/>
          </w:tcPr>
          <w:p w14:paraId="5FA58C1C">
            <w:pPr>
              <w:pStyle w:val="31"/>
              <w:bidi w:val="0"/>
              <w:rPr>
                <w:rFonts w:hint="default"/>
                <w:lang w:val="en-US" w:eastAsia="zh-CN"/>
              </w:rPr>
            </w:pPr>
            <w:r>
              <w:rPr>
                <w:rFonts w:hint="eastAsia"/>
                <w:lang w:val="en-US" w:eastAsia="zh-CN"/>
              </w:rPr>
              <w:t>达标</w:t>
            </w:r>
          </w:p>
        </w:tc>
      </w:tr>
      <w:tr w14:paraId="6408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5D46836F">
            <w:pPr>
              <w:pStyle w:val="31"/>
              <w:bidi w:val="0"/>
              <w:jc w:val="center"/>
              <w:rPr>
                <w:rFonts w:hint="default"/>
                <w:lang w:val="en-US" w:eastAsia="zh-CN"/>
              </w:rPr>
            </w:pPr>
            <w:r>
              <w:rPr>
                <w:rFonts w:hint="eastAsia"/>
                <w:lang w:val="en-US" w:eastAsia="zh-CN"/>
              </w:rPr>
              <w:t>2</w:t>
            </w:r>
          </w:p>
        </w:tc>
        <w:tc>
          <w:tcPr>
            <w:tcW w:w="928" w:type="pct"/>
            <w:vAlign w:val="center"/>
          </w:tcPr>
          <w:p w14:paraId="5EDE2C09">
            <w:pPr>
              <w:pStyle w:val="31"/>
              <w:bidi w:val="0"/>
              <w:jc w:val="center"/>
              <w:rPr>
                <w:rFonts w:hint="default"/>
                <w:lang w:val="en-US" w:eastAsia="zh-CN"/>
              </w:rPr>
            </w:pPr>
            <w:r>
              <w:rPr>
                <w:rFonts w:hint="eastAsia"/>
                <w:lang w:val="en-US" w:eastAsia="zh-CN"/>
              </w:rPr>
              <w:t>氨氮</w:t>
            </w:r>
          </w:p>
        </w:tc>
        <w:tc>
          <w:tcPr>
            <w:tcW w:w="796" w:type="pct"/>
            <w:vAlign w:val="center"/>
          </w:tcPr>
          <w:p w14:paraId="33A5032A">
            <w:pPr>
              <w:pStyle w:val="31"/>
              <w:bidi w:val="0"/>
              <w:jc w:val="center"/>
              <w:rPr>
                <w:rFonts w:hint="default"/>
                <w:lang w:val="en-US" w:eastAsia="zh-CN"/>
              </w:rPr>
            </w:pPr>
            <w:r>
              <w:rPr>
                <w:rFonts w:hint="eastAsia"/>
                <w:lang w:val="en-US" w:eastAsia="zh-CN"/>
              </w:rPr>
              <w:t>mg/L</w:t>
            </w:r>
          </w:p>
        </w:tc>
        <w:tc>
          <w:tcPr>
            <w:tcW w:w="645" w:type="pct"/>
            <w:vAlign w:val="center"/>
          </w:tcPr>
          <w:p w14:paraId="391C3BA8">
            <w:pPr>
              <w:pStyle w:val="31"/>
              <w:bidi w:val="0"/>
              <w:jc w:val="center"/>
              <w:rPr>
                <w:rFonts w:hint="default"/>
                <w:lang w:val="en-US" w:eastAsia="zh-CN"/>
              </w:rPr>
            </w:pPr>
            <w:r>
              <w:rPr>
                <w:rFonts w:hint="eastAsia"/>
                <w:lang w:val="en-US" w:eastAsia="zh-CN"/>
              </w:rPr>
              <w:t>0.176</w:t>
            </w:r>
          </w:p>
        </w:tc>
        <w:tc>
          <w:tcPr>
            <w:tcW w:w="645" w:type="pct"/>
            <w:vAlign w:val="center"/>
          </w:tcPr>
          <w:p w14:paraId="6FAF46C2">
            <w:pPr>
              <w:pStyle w:val="31"/>
              <w:bidi w:val="0"/>
              <w:jc w:val="center"/>
              <w:rPr>
                <w:rFonts w:hint="default"/>
                <w:lang w:val="en-US" w:eastAsia="zh-CN"/>
              </w:rPr>
            </w:pPr>
            <w:r>
              <w:rPr>
                <w:rFonts w:hint="eastAsia"/>
                <w:lang w:val="en-US" w:eastAsia="zh-CN"/>
              </w:rPr>
              <w:t>0.025L</w:t>
            </w:r>
          </w:p>
        </w:tc>
        <w:tc>
          <w:tcPr>
            <w:tcW w:w="646" w:type="pct"/>
            <w:vAlign w:val="center"/>
          </w:tcPr>
          <w:p w14:paraId="0F1B3477">
            <w:pPr>
              <w:pStyle w:val="31"/>
              <w:bidi w:val="0"/>
              <w:jc w:val="center"/>
              <w:rPr>
                <w:rFonts w:hint="default"/>
                <w:lang w:val="en-US" w:eastAsia="zh-CN"/>
              </w:rPr>
            </w:pPr>
            <w:r>
              <w:rPr>
                <w:rFonts w:hint="eastAsia"/>
                <w:lang w:val="en-US" w:eastAsia="zh-CN"/>
              </w:rPr>
              <w:t>0.025L</w:t>
            </w:r>
          </w:p>
        </w:tc>
        <w:tc>
          <w:tcPr>
            <w:tcW w:w="537" w:type="pct"/>
            <w:vAlign w:val="center"/>
          </w:tcPr>
          <w:p w14:paraId="30373011">
            <w:pPr>
              <w:pStyle w:val="31"/>
              <w:bidi w:val="0"/>
              <w:jc w:val="center"/>
              <w:rPr>
                <w:rFonts w:hint="default"/>
                <w:lang w:val="en-US" w:eastAsia="zh-CN"/>
              </w:rPr>
            </w:pPr>
            <w:r>
              <w:rPr>
                <w:rFonts w:hint="eastAsia"/>
                <w:lang w:val="en-US" w:eastAsia="zh-CN"/>
              </w:rPr>
              <w:t>0.50</w:t>
            </w:r>
          </w:p>
        </w:tc>
        <w:tc>
          <w:tcPr>
            <w:tcW w:w="399" w:type="pct"/>
            <w:vAlign w:val="center"/>
          </w:tcPr>
          <w:p w14:paraId="1EDC7196">
            <w:pPr>
              <w:pStyle w:val="31"/>
              <w:bidi w:val="0"/>
              <w:rPr>
                <w:rFonts w:hint="default"/>
                <w:lang w:val="en-US" w:eastAsia="zh-CN"/>
              </w:rPr>
            </w:pPr>
            <w:r>
              <w:rPr>
                <w:rFonts w:hint="eastAsia"/>
                <w:lang w:val="en-US" w:eastAsia="zh-CN"/>
              </w:rPr>
              <w:t>达标</w:t>
            </w:r>
          </w:p>
        </w:tc>
      </w:tr>
      <w:tr w14:paraId="255CB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690EC548">
            <w:pPr>
              <w:pStyle w:val="31"/>
              <w:bidi w:val="0"/>
              <w:jc w:val="center"/>
              <w:rPr>
                <w:rFonts w:hint="default"/>
                <w:lang w:val="en-US" w:eastAsia="zh-CN"/>
              </w:rPr>
            </w:pPr>
            <w:r>
              <w:rPr>
                <w:rFonts w:hint="eastAsia"/>
                <w:lang w:val="en-US" w:eastAsia="zh-CN"/>
              </w:rPr>
              <w:t>3</w:t>
            </w:r>
          </w:p>
        </w:tc>
        <w:tc>
          <w:tcPr>
            <w:tcW w:w="928" w:type="pct"/>
            <w:vAlign w:val="center"/>
          </w:tcPr>
          <w:p w14:paraId="5938D828">
            <w:pPr>
              <w:pStyle w:val="31"/>
              <w:bidi w:val="0"/>
              <w:jc w:val="center"/>
              <w:rPr>
                <w:rFonts w:hint="default"/>
                <w:lang w:val="en-US" w:eastAsia="zh-CN"/>
              </w:rPr>
            </w:pPr>
            <w:r>
              <w:rPr>
                <w:rFonts w:hint="eastAsia"/>
                <w:lang w:val="en-US" w:eastAsia="zh-CN"/>
              </w:rPr>
              <w:t>挥发酚</w:t>
            </w:r>
          </w:p>
        </w:tc>
        <w:tc>
          <w:tcPr>
            <w:tcW w:w="796" w:type="pct"/>
            <w:vAlign w:val="center"/>
          </w:tcPr>
          <w:p w14:paraId="52C271C8">
            <w:pPr>
              <w:pStyle w:val="31"/>
              <w:bidi w:val="0"/>
              <w:rPr>
                <w:rFonts w:hint="default"/>
                <w:lang w:val="en-US" w:eastAsia="zh-CN"/>
              </w:rPr>
            </w:pPr>
            <w:r>
              <w:rPr>
                <w:rFonts w:hint="eastAsia"/>
                <w:lang w:val="en-US" w:eastAsia="zh-CN"/>
              </w:rPr>
              <w:t>mg/L</w:t>
            </w:r>
          </w:p>
        </w:tc>
        <w:tc>
          <w:tcPr>
            <w:tcW w:w="645" w:type="pct"/>
            <w:vAlign w:val="center"/>
          </w:tcPr>
          <w:p w14:paraId="55D882F6">
            <w:pPr>
              <w:pStyle w:val="31"/>
              <w:bidi w:val="0"/>
              <w:jc w:val="center"/>
              <w:rPr>
                <w:rFonts w:hint="default"/>
                <w:lang w:val="en-US" w:eastAsia="zh-CN"/>
              </w:rPr>
            </w:pPr>
            <w:r>
              <w:rPr>
                <w:rFonts w:hint="eastAsia"/>
                <w:lang w:val="en-US" w:eastAsia="zh-CN"/>
              </w:rPr>
              <w:t>0.003L</w:t>
            </w:r>
          </w:p>
        </w:tc>
        <w:tc>
          <w:tcPr>
            <w:tcW w:w="645" w:type="pct"/>
            <w:vAlign w:val="center"/>
          </w:tcPr>
          <w:p w14:paraId="2A6220CB">
            <w:pPr>
              <w:pStyle w:val="31"/>
              <w:bidi w:val="0"/>
              <w:ind w:firstLine="0" w:firstLineChars="0"/>
              <w:jc w:val="center"/>
              <w:rPr>
                <w:rFonts w:hint="default"/>
                <w:lang w:val="en-US" w:eastAsia="zh-CN"/>
              </w:rPr>
            </w:pPr>
            <w:r>
              <w:rPr>
                <w:rFonts w:hint="eastAsia"/>
                <w:lang w:val="en-US" w:eastAsia="zh-CN"/>
              </w:rPr>
              <w:t>0.003L</w:t>
            </w:r>
          </w:p>
        </w:tc>
        <w:tc>
          <w:tcPr>
            <w:tcW w:w="646" w:type="pct"/>
            <w:vAlign w:val="center"/>
          </w:tcPr>
          <w:p w14:paraId="72DCB3DA">
            <w:pPr>
              <w:pStyle w:val="31"/>
              <w:bidi w:val="0"/>
              <w:ind w:firstLine="0" w:firstLineChars="0"/>
              <w:jc w:val="center"/>
              <w:rPr>
                <w:rFonts w:hint="default"/>
                <w:lang w:val="en-US" w:eastAsia="zh-CN"/>
              </w:rPr>
            </w:pPr>
            <w:r>
              <w:rPr>
                <w:rFonts w:hint="eastAsia"/>
                <w:lang w:val="en-US" w:eastAsia="zh-CN"/>
              </w:rPr>
              <w:t>0.003L</w:t>
            </w:r>
          </w:p>
        </w:tc>
        <w:tc>
          <w:tcPr>
            <w:tcW w:w="537" w:type="pct"/>
            <w:vAlign w:val="center"/>
          </w:tcPr>
          <w:p w14:paraId="4CB1B041">
            <w:pPr>
              <w:pStyle w:val="31"/>
              <w:bidi w:val="0"/>
              <w:jc w:val="center"/>
              <w:rPr>
                <w:rFonts w:hint="default"/>
                <w:lang w:val="en-US" w:eastAsia="zh-CN"/>
              </w:rPr>
            </w:pPr>
            <w:r>
              <w:rPr>
                <w:rFonts w:hint="eastAsia"/>
                <w:lang w:val="en-US" w:eastAsia="zh-CN"/>
              </w:rPr>
              <w:t>0.002</w:t>
            </w:r>
          </w:p>
        </w:tc>
        <w:tc>
          <w:tcPr>
            <w:tcW w:w="399" w:type="pct"/>
            <w:vAlign w:val="center"/>
          </w:tcPr>
          <w:p w14:paraId="0C5D1EF3">
            <w:pPr>
              <w:pStyle w:val="31"/>
              <w:bidi w:val="0"/>
              <w:rPr>
                <w:rFonts w:hint="default"/>
                <w:lang w:val="en-US" w:eastAsia="zh-CN"/>
              </w:rPr>
            </w:pPr>
            <w:r>
              <w:rPr>
                <w:rFonts w:hint="eastAsia"/>
                <w:lang w:val="en-US" w:eastAsia="zh-CN"/>
              </w:rPr>
              <w:t>达标</w:t>
            </w:r>
          </w:p>
        </w:tc>
      </w:tr>
      <w:tr w14:paraId="556F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5E2ED870">
            <w:pPr>
              <w:pStyle w:val="31"/>
              <w:bidi w:val="0"/>
              <w:jc w:val="center"/>
              <w:rPr>
                <w:rFonts w:hint="default"/>
                <w:lang w:val="en-US" w:eastAsia="zh-CN"/>
              </w:rPr>
            </w:pPr>
            <w:r>
              <w:rPr>
                <w:rFonts w:hint="eastAsia"/>
                <w:lang w:val="en-US" w:eastAsia="zh-CN"/>
              </w:rPr>
              <w:t>4</w:t>
            </w:r>
          </w:p>
        </w:tc>
        <w:tc>
          <w:tcPr>
            <w:tcW w:w="928" w:type="pct"/>
            <w:vAlign w:val="center"/>
          </w:tcPr>
          <w:p w14:paraId="4BC1B470">
            <w:pPr>
              <w:pStyle w:val="31"/>
              <w:bidi w:val="0"/>
              <w:jc w:val="center"/>
              <w:rPr>
                <w:rFonts w:hint="default"/>
                <w:lang w:val="en-US" w:eastAsia="zh-CN"/>
              </w:rPr>
            </w:pPr>
            <w:r>
              <w:rPr>
                <w:rFonts w:hint="eastAsia"/>
                <w:lang w:val="en-US" w:eastAsia="zh-CN"/>
              </w:rPr>
              <w:t>氰化物</w:t>
            </w:r>
          </w:p>
        </w:tc>
        <w:tc>
          <w:tcPr>
            <w:tcW w:w="796" w:type="pct"/>
            <w:vAlign w:val="center"/>
          </w:tcPr>
          <w:p w14:paraId="17E6A9FA">
            <w:pPr>
              <w:pStyle w:val="31"/>
              <w:bidi w:val="0"/>
              <w:rPr>
                <w:rFonts w:hint="default"/>
                <w:lang w:val="en-US" w:eastAsia="zh-CN"/>
              </w:rPr>
            </w:pPr>
            <w:r>
              <w:rPr>
                <w:rFonts w:hint="eastAsia"/>
                <w:lang w:val="en-US" w:eastAsia="zh-CN"/>
              </w:rPr>
              <w:t>mg/L</w:t>
            </w:r>
          </w:p>
        </w:tc>
        <w:tc>
          <w:tcPr>
            <w:tcW w:w="645" w:type="pct"/>
            <w:vAlign w:val="center"/>
          </w:tcPr>
          <w:p w14:paraId="4C4E62E5">
            <w:pPr>
              <w:pStyle w:val="31"/>
              <w:bidi w:val="0"/>
              <w:jc w:val="center"/>
              <w:rPr>
                <w:rFonts w:hint="default"/>
                <w:lang w:val="en-US" w:eastAsia="zh-CN"/>
              </w:rPr>
            </w:pPr>
            <w:r>
              <w:rPr>
                <w:rFonts w:hint="eastAsia"/>
                <w:lang w:val="en-US" w:eastAsia="zh-CN"/>
              </w:rPr>
              <w:t>0.004L</w:t>
            </w:r>
          </w:p>
        </w:tc>
        <w:tc>
          <w:tcPr>
            <w:tcW w:w="645" w:type="pct"/>
            <w:vAlign w:val="center"/>
          </w:tcPr>
          <w:p w14:paraId="16D701C4">
            <w:pPr>
              <w:pStyle w:val="31"/>
              <w:bidi w:val="0"/>
              <w:ind w:firstLine="0" w:firstLineChars="0"/>
              <w:jc w:val="center"/>
              <w:rPr>
                <w:rFonts w:hint="default"/>
                <w:lang w:val="en-US" w:eastAsia="zh-CN"/>
              </w:rPr>
            </w:pPr>
            <w:r>
              <w:rPr>
                <w:rFonts w:hint="eastAsia"/>
                <w:lang w:val="en-US" w:eastAsia="zh-CN"/>
              </w:rPr>
              <w:t>0.004L</w:t>
            </w:r>
          </w:p>
        </w:tc>
        <w:tc>
          <w:tcPr>
            <w:tcW w:w="646" w:type="pct"/>
            <w:vAlign w:val="center"/>
          </w:tcPr>
          <w:p w14:paraId="0FCF4017">
            <w:pPr>
              <w:pStyle w:val="31"/>
              <w:bidi w:val="0"/>
              <w:ind w:firstLine="0" w:firstLineChars="0"/>
              <w:jc w:val="center"/>
              <w:rPr>
                <w:rFonts w:hint="default"/>
                <w:lang w:val="en-US" w:eastAsia="zh-CN"/>
              </w:rPr>
            </w:pPr>
            <w:r>
              <w:rPr>
                <w:rFonts w:hint="eastAsia"/>
                <w:lang w:val="en-US" w:eastAsia="zh-CN"/>
              </w:rPr>
              <w:t>0.004L</w:t>
            </w:r>
          </w:p>
        </w:tc>
        <w:tc>
          <w:tcPr>
            <w:tcW w:w="537" w:type="pct"/>
            <w:vAlign w:val="center"/>
          </w:tcPr>
          <w:p w14:paraId="1653C784">
            <w:pPr>
              <w:pStyle w:val="31"/>
              <w:bidi w:val="0"/>
              <w:jc w:val="center"/>
              <w:rPr>
                <w:rFonts w:hint="default"/>
                <w:lang w:val="en-US" w:eastAsia="zh-CN"/>
              </w:rPr>
            </w:pPr>
            <w:r>
              <w:rPr>
                <w:rFonts w:hint="eastAsia"/>
                <w:lang w:val="en-US" w:eastAsia="zh-CN"/>
              </w:rPr>
              <w:t>0.05</w:t>
            </w:r>
          </w:p>
        </w:tc>
        <w:tc>
          <w:tcPr>
            <w:tcW w:w="399" w:type="pct"/>
            <w:vAlign w:val="center"/>
          </w:tcPr>
          <w:p w14:paraId="36CCEC53">
            <w:pPr>
              <w:pStyle w:val="31"/>
              <w:bidi w:val="0"/>
              <w:rPr>
                <w:rFonts w:hint="default"/>
                <w:lang w:val="en-US" w:eastAsia="zh-CN"/>
              </w:rPr>
            </w:pPr>
            <w:r>
              <w:rPr>
                <w:rFonts w:hint="eastAsia"/>
                <w:lang w:val="en-US" w:eastAsia="zh-CN"/>
              </w:rPr>
              <w:t>达标</w:t>
            </w:r>
          </w:p>
        </w:tc>
      </w:tr>
      <w:tr w14:paraId="18254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19DDFA51">
            <w:pPr>
              <w:pStyle w:val="31"/>
              <w:bidi w:val="0"/>
              <w:jc w:val="center"/>
              <w:rPr>
                <w:rFonts w:hint="default"/>
                <w:lang w:val="en-US" w:eastAsia="zh-CN"/>
              </w:rPr>
            </w:pPr>
            <w:r>
              <w:rPr>
                <w:rFonts w:hint="eastAsia"/>
                <w:lang w:val="en-US" w:eastAsia="zh-CN"/>
              </w:rPr>
              <w:t>5</w:t>
            </w:r>
          </w:p>
        </w:tc>
        <w:tc>
          <w:tcPr>
            <w:tcW w:w="928" w:type="pct"/>
            <w:vAlign w:val="center"/>
          </w:tcPr>
          <w:p w14:paraId="6C4A91CF">
            <w:pPr>
              <w:pStyle w:val="31"/>
              <w:bidi w:val="0"/>
              <w:jc w:val="center"/>
              <w:rPr>
                <w:rFonts w:hint="default"/>
                <w:lang w:val="en-US" w:eastAsia="zh-CN"/>
              </w:rPr>
            </w:pPr>
            <w:r>
              <w:rPr>
                <w:rFonts w:hint="eastAsia"/>
                <w:lang w:val="en-US" w:eastAsia="zh-CN"/>
              </w:rPr>
              <w:t>砷</w:t>
            </w:r>
          </w:p>
        </w:tc>
        <w:tc>
          <w:tcPr>
            <w:tcW w:w="796" w:type="pct"/>
            <w:vAlign w:val="center"/>
          </w:tcPr>
          <w:p w14:paraId="1E8D9F55">
            <w:pPr>
              <w:pStyle w:val="31"/>
              <w:bidi w:val="0"/>
              <w:rPr>
                <w:rFonts w:hint="default"/>
                <w:lang w:val="en-US" w:eastAsia="zh-CN"/>
              </w:rPr>
            </w:pPr>
            <w:r>
              <w:rPr>
                <w:rFonts w:hint="eastAsia"/>
                <w:lang w:val="en-US" w:eastAsia="zh-CN"/>
              </w:rPr>
              <w:t>mg/L</w:t>
            </w:r>
          </w:p>
        </w:tc>
        <w:tc>
          <w:tcPr>
            <w:tcW w:w="645" w:type="pct"/>
            <w:vAlign w:val="center"/>
          </w:tcPr>
          <w:p w14:paraId="60DA8C28">
            <w:pPr>
              <w:pStyle w:val="31"/>
              <w:bidi w:val="0"/>
              <w:jc w:val="center"/>
              <w:rPr>
                <w:rFonts w:hint="default"/>
                <w:lang w:val="en-US" w:eastAsia="zh-CN"/>
              </w:rPr>
            </w:pPr>
            <w:r>
              <w:rPr>
                <w:rFonts w:hint="eastAsia"/>
                <w:lang w:val="en-US" w:eastAsia="zh-CN"/>
              </w:rPr>
              <w:t>0.0012</w:t>
            </w:r>
          </w:p>
        </w:tc>
        <w:tc>
          <w:tcPr>
            <w:tcW w:w="645" w:type="pct"/>
            <w:vAlign w:val="center"/>
          </w:tcPr>
          <w:p w14:paraId="03F409A7">
            <w:pPr>
              <w:pStyle w:val="31"/>
              <w:bidi w:val="0"/>
              <w:jc w:val="center"/>
              <w:rPr>
                <w:rFonts w:hint="default"/>
                <w:lang w:val="en-US" w:eastAsia="zh-CN"/>
              </w:rPr>
            </w:pPr>
            <w:r>
              <w:rPr>
                <w:rFonts w:hint="eastAsia"/>
                <w:lang w:val="en-US" w:eastAsia="zh-CN"/>
              </w:rPr>
              <w:t>0.0007</w:t>
            </w:r>
          </w:p>
        </w:tc>
        <w:tc>
          <w:tcPr>
            <w:tcW w:w="646" w:type="pct"/>
            <w:vAlign w:val="center"/>
          </w:tcPr>
          <w:p w14:paraId="59122CC6">
            <w:pPr>
              <w:pStyle w:val="31"/>
              <w:bidi w:val="0"/>
              <w:jc w:val="center"/>
              <w:rPr>
                <w:rFonts w:hint="default"/>
                <w:lang w:val="en-US" w:eastAsia="zh-CN"/>
              </w:rPr>
            </w:pPr>
            <w:r>
              <w:rPr>
                <w:rFonts w:hint="eastAsia"/>
                <w:lang w:val="en-US" w:eastAsia="zh-CN"/>
              </w:rPr>
              <w:t>0.0021</w:t>
            </w:r>
          </w:p>
        </w:tc>
        <w:tc>
          <w:tcPr>
            <w:tcW w:w="537" w:type="pct"/>
            <w:vAlign w:val="center"/>
          </w:tcPr>
          <w:p w14:paraId="7F611A25">
            <w:pPr>
              <w:pStyle w:val="31"/>
              <w:bidi w:val="0"/>
              <w:jc w:val="center"/>
              <w:rPr>
                <w:rFonts w:hint="default"/>
                <w:lang w:val="en-US" w:eastAsia="zh-CN"/>
              </w:rPr>
            </w:pPr>
            <w:r>
              <w:rPr>
                <w:rFonts w:hint="eastAsia"/>
                <w:lang w:val="en-US" w:eastAsia="zh-CN"/>
              </w:rPr>
              <w:t>0.01</w:t>
            </w:r>
          </w:p>
        </w:tc>
        <w:tc>
          <w:tcPr>
            <w:tcW w:w="399" w:type="pct"/>
            <w:vAlign w:val="center"/>
          </w:tcPr>
          <w:p w14:paraId="65438898">
            <w:pPr>
              <w:pStyle w:val="31"/>
              <w:bidi w:val="0"/>
              <w:rPr>
                <w:rFonts w:hint="default"/>
                <w:lang w:val="en-US" w:eastAsia="zh-CN"/>
              </w:rPr>
            </w:pPr>
            <w:r>
              <w:rPr>
                <w:rFonts w:hint="eastAsia"/>
                <w:lang w:val="en-US" w:eastAsia="zh-CN"/>
              </w:rPr>
              <w:t>达标</w:t>
            </w:r>
          </w:p>
        </w:tc>
      </w:tr>
      <w:tr w14:paraId="5A75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3B761DE1">
            <w:pPr>
              <w:pStyle w:val="31"/>
              <w:bidi w:val="0"/>
              <w:jc w:val="center"/>
              <w:rPr>
                <w:rFonts w:hint="default"/>
                <w:lang w:val="en-US" w:eastAsia="zh-CN"/>
              </w:rPr>
            </w:pPr>
            <w:r>
              <w:rPr>
                <w:rFonts w:hint="eastAsia"/>
                <w:lang w:val="en-US" w:eastAsia="zh-CN"/>
              </w:rPr>
              <w:t>6</w:t>
            </w:r>
          </w:p>
        </w:tc>
        <w:tc>
          <w:tcPr>
            <w:tcW w:w="928" w:type="pct"/>
            <w:vAlign w:val="center"/>
          </w:tcPr>
          <w:p w14:paraId="715DF3D9">
            <w:pPr>
              <w:pStyle w:val="31"/>
              <w:bidi w:val="0"/>
              <w:jc w:val="center"/>
              <w:rPr>
                <w:rFonts w:hint="default"/>
                <w:lang w:val="en-US" w:eastAsia="zh-CN"/>
              </w:rPr>
            </w:pPr>
            <w:r>
              <w:rPr>
                <w:rFonts w:hint="eastAsia"/>
                <w:lang w:val="en-US" w:eastAsia="zh-CN"/>
              </w:rPr>
              <w:t>汞</w:t>
            </w:r>
          </w:p>
        </w:tc>
        <w:tc>
          <w:tcPr>
            <w:tcW w:w="796" w:type="pct"/>
            <w:vAlign w:val="center"/>
          </w:tcPr>
          <w:p w14:paraId="1192C1B5">
            <w:pPr>
              <w:pStyle w:val="31"/>
              <w:bidi w:val="0"/>
              <w:rPr>
                <w:rFonts w:hint="default"/>
                <w:lang w:val="en-US" w:eastAsia="zh-CN"/>
              </w:rPr>
            </w:pPr>
            <w:r>
              <w:rPr>
                <w:rFonts w:hint="eastAsia"/>
                <w:lang w:val="en-US" w:eastAsia="zh-CN"/>
              </w:rPr>
              <w:t>mg/L</w:t>
            </w:r>
          </w:p>
        </w:tc>
        <w:tc>
          <w:tcPr>
            <w:tcW w:w="645" w:type="pct"/>
            <w:vAlign w:val="center"/>
          </w:tcPr>
          <w:p w14:paraId="7DAB8C82">
            <w:pPr>
              <w:pStyle w:val="31"/>
              <w:bidi w:val="0"/>
              <w:jc w:val="center"/>
              <w:rPr>
                <w:rFonts w:hint="default"/>
                <w:lang w:val="en-US" w:eastAsia="zh-CN"/>
              </w:rPr>
            </w:pPr>
            <w:r>
              <w:rPr>
                <w:rFonts w:hint="eastAsia"/>
                <w:lang w:val="en-US" w:eastAsia="zh-CN"/>
              </w:rPr>
              <w:t>0.00004</w:t>
            </w:r>
          </w:p>
        </w:tc>
        <w:tc>
          <w:tcPr>
            <w:tcW w:w="645" w:type="pct"/>
            <w:vAlign w:val="center"/>
          </w:tcPr>
          <w:p w14:paraId="3DDD931C">
            <w:pPr>
              <w:pStyle w:val="31"/>
              <w:bidi w:val="0"/>
              <w:ind w:firstLine="0" w:firstLineChars="0"/>
              <w:jc w:val="center"/>
              <w:rPr>
                <w:rFonts w:hint="default"/>
                <w:lang w:val="en-US" w:eastAsia="zh-CN"/>
              </w:rPr>
            </w:pPr>
            <w:r>
              <w:rPr>
                <w:rFonts w:hint="eastAsia"/>
                <w:lang w:val="en-US" w:eastAsia="zh-CN"/>
              </w:rPr>
              <w:t>0.00004</w:t>
            </w:r>
          </w:p>
        </w:tc>
        <w:tc>
          <w:tcPr>
            <w:tcW w:w="646" w:type="pct"/>
            <w:vAlign w:val="center"/>
          </w:tcPr>
          <w:p w14:paraId="08A11A3D">
            <w:pPr>
              <w:pStyle w:val="31"/>
              <w:bidi w:val="0"/>
              <w:ind w:firstLine="0" w:firstLineChars="0"/>
              <w:jc w:val="center"/>
              <w:rPr>
                <w:rFonts w:hint="default"/>
                <w:lang w:val="en-US" w:eastAsia="zh-CN"/>
              </w:rPr>
            </w:pPr>
            <w:r>
              <w:rPr>
                <w:rFonts w:hint="eastAsia"/>
                <w:lang w:val="en-US" w:eastAsia="zh-CN"/>
              </w:rPr>
              <w:t>0.00004</w:t>
            </w:r>
          </w:p>
        </w:tc>
        <w:tc>
          <w:tcPr>
            <w:tcW w:w="537" w:type="pct"/>
            <w:vAlign w:val="center"/>
          </w:tcPr>
          <w:p w14:paraId="0AFD7352">
            <w:pPr>
              <w:pStyle w:val="31"/>
              <w:bidi w:val="0"/>
              <w:jc w:val="center"/>
              <w:rPr>
                <w:rFonts w:hint="default"/>
                <w:lang w:val="en-US" w:eastAsia="zh-CN"/>
              </w:rPr>
            </w:pPr>
            <w:r>
              <w:rPr>
                <w:rFonts w:hint="eastAsia"/>
                <w:lang w:val="en-US" w:eastAsia="zh-CN"/>
              </w:rPr>
              <w:t>0.001</w:t>
            </w:r>
          </w:p>
        </w:tc>
        <w:tc>
          <w:tcPr>
            <w:tcW w:w="399" w:type="pct"/>
            <w:vAlign w:val="center"/>
          </w:tcPr>
          <w:p w14:paraId="6CF0911E">
            <w:pPr>
              <w:pStyle w:val="31"/>
              <w:bidi w:val="0"/>
              <w:rPr>
                <w:rFonts w:hint="default"/>
                <w:lang w:val="en-US" w:eastAsia="zh-CN"/>
              </w:rPr>
            </w:pPr>
            <w:r>
              <w:rPr>
                <w:rFonts w:hint="eastAsia"/>
                <w:lang w:val="en-US" w:eastAsia="zh-CN"/>
              </w:rPr>
              <w:t>达标</w:t>
            </w:r>
          </w:p>
        </w:tc>
      </w:tr>
      <w:tr w14:paraId="1E33B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6BD6D759">
            <w:pPr>
              <w:pStyle w:val="31"/>
              <w:bidi w:val="0"/>
              <w:jc w:val="center"/>
              <w:rPr>
                <w:rFonts w:hint="default"/>
                <w:lang w:val="en-US" w:eastAsia="zh-CN"/>
              </w:rPr>
            </w:pPr>
            <w:r>
              <w:rPr>
                <w:rFonts w:hint="eastAsia"/>
                <w:lang w:val="en-US" w:eastAsia="zh-CN"/>
              </w:rPr>
              <w:t>7</w:t>
            </w:r>
          </w:p>
        </w:tc>
        <w:tc>
          <w:tcPr>
            <w:tcW w:w="928" w:type="pct"/>
            <w:vAlign w:val="center"/>
          </w:tcPr>
          <w:p w14:paraId="62DE268A">
            <w:pPr>
              <w:pStyle w:val="31"/>
              <w:bidi w:val="0"/>
              <w:jc w:val="center"/>
              <w:rPr>
                <w:rFonts w:hint="default"/>
                <w:lang w:val="en-US" w:eastAsia="zh-CN"/>
              </w:rPr>
            </w:pPr>
            <w:r>
              <w:rPr>
                <w:rFonts w:hint="eastAsia"/>
                <w:lang w:val="en-US" w:eastAsia="zh-CN"/>
              </w:rPr>
              <w:t>六价铬</w:t>
            </w:r>
          </w:p>
        </w:tc>
        <w:tc>
          <w:tcPr>
            <w:tcW w:w="796" w:type="pct"/>
            <w:vAlign w:val="center"/>
          </w:tcPr>
          <w:p w14:paraId="04787BCB">
            <w:pPr>
              <w:pStyle w:val="31"/>
              <w:bidi w:val="0"/>
              <w:rPr>
                <w:rFonts w:hint="default"/>
                <w:lang w:val="en-US" w:eastAsia="zh-CN"/>
              </w:rPr>
            </w:pPr>
            <w:r>
              <w:rPr>
                <w:rFonts w:hint="eastAsia"/>
                <w:lang w:val="en-US" w:eastAsia="zh-CN"/>
              </w:rPr>
              <w:t>mg/L</w:t>
            </w:r>
          </w:p>
        </w:tc>
        <w:tc>
          <w:tcPr>
            <w:tcW w:w="645" w:type="pct"/>
            <w:shd w:val="clear" w:color="auto" w:fill="auto"/>
            <w:vAlign w:val="center"/>
          </w:tcPr>
          <w:p w14:paraId="3B5E085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0.0004L</w:t>
            </w:r>
          </w:p>
        </w:tc>
        <w:tc>
          <w:tcPr>
            <w:tcW w:w="645" w:type="pct"/>
            <w:shd w:val="clear" w:color="auto" w:fill="auto"/>
            <w:vAlign w:val="center"/>
          </w:tcPr>
          <w:p w14:paraId="2EC4026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0.004L</w:t>
            </w:r>
          </w:p>
        </w:tc>
        <w:tc>
          <w:tcPr>
            <w:tcW w:w="646" w:type="pct"/>
            <w:shd w:val="clear" w:color="auto" w:fill="auto"/>
            <w:vAlign w:val="center"/>
          </w:tcPr>
          <w:p w14:paraId="5B7E864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0.004L</w:t>
            </w:r>
          </w:p>
        </w:tc>
        <w:tc>
          <w:tcPr>
            <w:tcW w:w="537" w:type="pct"/>
            <w:vAlign w:val="center"/>
          </w:tcPr>
          <w:p w14:paraId="70534515">
            <w:pPr>
              <w:pStyle w:val="31"/>
              <w:bidi w:val="0"/>
              <w:jc w:val="center"/>
              <w:rPr>
                <w:rFonts w:hint="default"/>
                <w:lang w:val="en-US" w:eastAsia="zh-CN"/>
              </w:rPr>
            </w:pPr>
            <w:r>
              <w:rPr>
                <w:rFonts w:hint="eastAsia"/>
                <w:lang w:val="en-US" w:eastAsia="zh-CN"/>
              </w:rPr>
              <w:t>0.05</w:t>
            </w:r>
          </w:p>
        </w:tc>
        <w:tc>
          <w:tcPr>
            <w:tcW w:w="399" w:type="pct"/>
            <w:vAlign w:val="center"/>
          </w:tcPr>
          <w:p w14:paraId="271A6BE0">
            <w:pPr>
              <w:pStyle w:val="31"/>
              <w:bidi w:val="0"/>
              <w:rPr>
                <w:rFonts w:hint="default"/>
                <w:lang w:val="en-US" w:eastAsia="zh-CN"/>
              </w:rPr>
            </w:pPr>
            <w:r>
              <w:rPr>
                <w:rFonts w:hint="eastAsia"/>
                <w:lang w:val="en-US" w:eastAsia="zh-CN"/>
              </w:rPr>
              <w:t>达标</w:t>
            </w:r>
          </w:p>
        </w:tc>
      </w:tr>
      <w:tr w14:paraId="234E1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1E561E34">
            <w:pPr>
              <w:pStyle w:val="31"/>
              <w:bidi w:val="0"/>
              <w:jc w:val="center"/>
              <w:rPr>
                <w:rFonts w:hint="default"/>
                <w:lang w:val="en-US" w:eastAsia="zh-CN"/>
              </w:rPr>
            </w:pPr>
            <w:r>
              <w:rPr>
                <w:rFonts w:hint="eastAsia"/>
                <w:lang w:val="en-US" w:eastAsia="zh-CN"/>
              </w:rPr>
              <w:t>8</w:t>
            </w:r>
          </w:p>
        </w:tc>
        <w:tc>
          <w:tcPr>
            <w:tcW w:w="928" w:type="pct"/>
            <w:vAlign w:val="center"/>
          </w:tcPr>
          <w:p w14:paraId="5E50181B">
            <w:pPr>
              <w:pStyle w:val="31"/>
              <w:bidi w:val="0"/>
              <w:jc w:val="center"/>
              <w:rPr>
                <w:rFonts w:hint="default"/>
                <w:lang w:val="en-US" w:eastAsia="zh-CN"/>
              </w:rPr>
            </w:pPr>
            <w:r>
              <w:rPr>
                <w:rFonts w:hint="eastAsia"/>
                <w:lang w:val="en-US" w:eastAsia="zh-CN"/>
              </w:rPr>
              <w:t>总硬度</w:t>
            </w:r>
          </w:p>
        </w:tc>
        <w:tc>
          <w:tcPr>
            <w:tcW w:w="796" w:type="pct"/>
            <w:vAlign w:val="center"/>
          </w:tcPr>
          <w:p w14:paraId="09F66A11">
            <w:pPr>
              <w:pStyle w:val="31"/>
              <w:bidi w:val="0"/>
              <w:rPr>
                <w:rFonts w:hint="default"/>
                <w:lang w:val="en-US" w:eastAsia="zh-CN"/>
              </w:rPr>
            </w:pPr>
            <w:r>
              <w:rPr>
                <w:rFonts w:hint="eastAsia"/>
                <w:lang w:val="en-US" w:eastAsia="zh-CN"/>
              </w:rPr>
              <w:t>mg/L</w:t>
            </w:r>
          </w:p>
        </w:tc>
        <w:tc>
          <w:tcPr>
            <w:tcW w:w="645" w:type="pct"/>
            <w:vAlign w:val="center"/>
          </w:tcPr>
          <w:p w14:paraId="0EFA59CA">
            <w:pPr>
              <w:pStyle w:val="31"/>
              <w:bidi w:val="0"/>
              <w:jc w:val="center"/>
              <w:rPr>
                <w:rFonts w:hint="default"/>
                <w:lang w:val="en-US" w:eastAsia="zh-CN"/>
              </w:rPr>
            </w:pPr>
            <w:r>
              <w:rPr>
                <w:rFonts w:hint="eastAsia"/>
                <w:lang w:val="en-US" w:eastAsia="zh-CN"/>
              </w:rPr>
              <w:t>157</w:t>
            </w:r>
          </w:p>
        </w:tc>
        <w:tc>
          <w:tcPr>
            <w:tcW w:w="645" w:type="pct"/>
            <w:vAlign w:val="center"/>
          </w:tcPr>
          <w:p w14:paraId="63C8E6EC">
            <w:pPr>
              <w:pStyle w:val="31"/>
              <w:bidi w:val="0"/>
              <w:jc w:val="center"/>
              <w:rPr>
                <w:rFonts w:hint="default"/>
                <w:lang w:val="en-US" w:eastAsia="zh-CN"/>
              </w:rPr>
            </w:pPr>
            <w:r>
              <w:rPr>
                <w:rFonts w:hint="eastAsia"/>
                <w:lang w:val="en-US" w:eastAsia="zh-CN"/>
              </w:rPr>
              <w:t>130</w:t>
            </w:r>
          </w:p>
        </w:tc>
        <w:tc>
          <w:tcPr>
            <w:tcW w:w="646" w:type="pct"/>
            <w:vAlign w:val="center"/>
          </w:tcPr>
          <w:p w14:paraId="5A9372FB">
            <w:pPr>
              <w:pStyle w:val="31"/>
              <w:bidi w:val="0"/>
              <w:jc w:val="center"/>
              <w:rPr>
                <w:rFonts w:hint="default"/>
                <w:lang w:val="en-US" w:eastAsia="zh-CN"/>
              </w:rPr>
            </w:pPr>
            <w:r>
              <w:rPr>
                <w:rFonts w:hint="eastAsia"/>
                <w:lang w:val="en-US" w:eastAsia="zh-CN"/>
              </w:rPr>
              <w:t>132</w:t>
            </w:r>
          </w:p>
        </w:tc>
        <w:tc>
          <w:tcPr>
            <w:tcW w:w="537" w:type="pct"/>
            <w:vAlign w:val="center"/>
          </w:tcPr>
          <w:p w14:paraId="12D108F6">
            <w:pPr>
              <w:pStyle w:val="31"/>
              <w:bidi w:val="0"/>
              <w:jc w:val="center"/>
              <w:rPr>
                <w:rFonts w:hint="default"/>
                <w:lang w:val="en-US" w:eastAsia="zh-CN"/>
              </w:rPr>
            </w:pPr>
            <w:r>
              <w:rPr>
                <w:rFonts w:hint="eastAsia"/>
                <w:lang w:val="en-US" w:eastAsia="zh-CN"/>
              </w:rPr>
              <w:t>450</w:t>
            </w:r>
          </w:p>
        </w:tc>
        <w:tc>
          <w:tcPr>
            <w:tcW w:w="399" w:type="pct"/>
            <w:vAlign w:val="center"/>
          </w:tcPr>
          <w:p w14:paraId="43D673D4">
            <w:pPr>
              <w:pStyle w:val="31"/>
              <w:bidi w:val="0"/>
              <w:rPr>
                <w:rFonts w:hint="default"/>
                <w:lang w:val="en-US" w:eastAsia="zh-CN"/>
              </w:rPr>
            </w:pPr>
            <w:r>
              <w:rPr>
                <w:rFonts w:hint="eastAsia"/>
                <w:lang w:val="en-US" w:eastAsia="zh-CN"/>
              </w:rPr>
              <w:t>达标</w:t>
            </w:r>
          </w:p>
        </w:tc>
      </w:tr>
      <w:tr w14:paraId="4BAF5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216D2569">
            <w:pPr>
              <w:pStyle w:val="31"/>
              <w:bidi w:val="0"/>
              <w:jc w:val="center"/>
              <w:rPr>
                <w:rFonts w:hint="default"/>
                <w:lang w:val="en-US" w:eastAsia="zh-CN"/>
              </w:rPr>
            </w:pPr>
            <w:r>
              <w:rPr>
                <w:rFonts w:hint="eastAsia"/>
                <w:lang w:val="en-US" w:eastAsia="zh-CN"/>
              </w:rPr>
              <w:t>9</w:t>
            </w:r>
          </w:p>
        </w:tc>
        <w:tc>
          <w:tcPr>
            <w:tcW w:w="928" w:type="pct"/>
            <w:vAlign w:val="center"/>
          </w:tcPr>
          <w:p w14:paraId="4AFD1F17">
            <w:pPr>
              <w:pStyle w:val="31"/>
              <w:bidi w:val="0"/>
              <w:jc w:val="center"/>
              <w:rPr>
                <w:rFonts w:hint="default"/>
                <w:lang w:val="en-US" w:eastAsia="zh-CN"/>
              </w:rPr>
            </w:pPr>
            <w:r>
              <w:rPr>
                <w:rFonts w:hint="eastAsia"/>
                <w:lang w:val="en-US" w:eastAsia="zh-CN"/>
              </w:rPr>
              <w:t>铅</w:t>
            </w:r>
          </w:p>
        </w:tc>
        <w:tc>
          <w:tcPr>
            <w:tcW w:w="796" w:type="pct"/>
            <w:vAlign w:val="center"/>
          </w:tcPr>
          <w:p w14:paraId="1F1AAB32">
            <w:pPr>
              <w:pStyle w:val="31"/>
              <w:bidi w:val="0"/>
              <w:rPr>
                <w:rFonts w:hint="default"/>
                <w:lang w:val="en-US" w:eastAsia="zh-CN"/>
              </w:rPr>
            </w:pPr>
            <w:r>
              <w:rPr>
                <w:rFonts w:hint="eastAsia"/>
                <w:lang w:val="en-US" w:eastAsia="zh-CN"/>
              </w:rPr>
              <w:t>mg/L</w:t>
            </w:r>
          </w:p>
        </w:tc>
        <w:tc>
          <w:tcPr>
            <w:tcW w:w="645" w:type="pct"/>
            <w:vAlign w:val="center"/>
          </w:tcPr>
          <w:p w14:paraId="1EC633B7">
            <w:pPr>
              <w:pStyle w:val="31"/>
              <w:bidi w:val="0"/>
              <w:jc w:val="center"/>
              <w:rPr>
                <w:rFonts w:hint="default"/>
                <w:lang w:val="en-US" w:eastAsia="zh-CN"/>
              </w:rPr>
            </w:pPr>
            <w:r>
              <w:rPr>
                <w:rFonts w:hint="eastAsia"/>
                <w:lang w:val="en-US" w:eastAsia="zh-CN"/>
              </w:rPr>
              <w:t>0.00009L</w:t>
            </w:r>
          </w:p>
        </w:tc>
        <w:tc>
          <w:tcPr>
            <w:tcW w:w="645" w:type="pct"/>
            <w:shd w:val="clear" w:color="auto" w:fill="auto"/>
            <w:vAlign w:val="center"/>
          </w:tcPr>
          <w:p w14:paraId="0A68684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0.00009L</w:t>
            </w:r>
          </w:p>
        </w:tc>
        <w:tc>
          <w:tcPr>
            <w:tcW w:w="646" w:type="pct"/>
            <w:shd w:val="clear" w:color="auto" w:fill="auto"/>
            <w:vAlign w:val="center"/>
          </w:tcPr>
          <w:p w14:paraId="71F4F79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0.00009L</w:t>
            </w:r>
          </w:p>
        </w:tc>
        <w:tc>
          <w:tcPr>
            <w:tcW w:w="537" w:type="pct"/>
            <w:vAlign w:val="center"/>
          </w:tcPr>
          <w:p w14:paraId="758B585E">
            <w:pPr>
              <w:pStyle w:val="31"/>
              <w:bidi w:val="0"/>
              <w:jc w:val="center"/>
              <w:rPr>
                <w:rFonts w:hint="default"/>
                <w:lang w:val="en-US" w:eastAsia="zh-CN"/>
              </w:rPr>
            </w:pPr>
            <w:r>
              <w:rPr>
                <w:rFonts w:hint="eastAsia"/>
                <w:lang w:val="en-US" w:eastAsia="zh-CN"/>
              </w:rPr>
              <w:t>0.01</w:t>
            </w:r>
          </w:p>
        </w:tc>
        <w:tc>
          <w:tcPr>
            <w:tcW w:w="399" w:type="pct"/>
            <w:vAlign w:val="center"/>
          </w:tcPr>
          <w:p w14:paraId="6CDF7AFA">
            <w:pPr>
              <w:pStyle w:val="31"/>
              <w:bidi w:val="0"/>
              <w:rPr>
                <w:rFonts w:hint="default"/>
                <w:lang w:val="en-US" w:eastAsia="zh-CN"/>
              </w:rPr>
            </w:pPr>
            <w:r>
              <w:rPr>
                <w:rFonts w:hint="eastAsia"/>
                <w:lang w:val="en-US" w:eastAsia="zh-CN"/>
              </w:rPr>
              <w:t>达标</w:t>
            </w:r>
          </w:p>
        </w:tc>
      </w:tr>
      <w:tr w14:paraId="6BAE2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652DC69D">
            <w:pPr>
              <w:pStyle w:val="31"/>
              <w:bidi w:val="0"/>
              <w:jc w:val="center"/>
              <w:rPr>
                <w:rFonts w:hint="default"/>
                <w:lang w:val="en-US" w:eastAsia="zh-CN"/>
              </w:rPr>
            </w:pPr>
            <w:r>
              <w:rPr>
                <w:rFonts w:hint="eastAsia"/>
                <w:lang w:val="en-US" w:eastAsia="zh-CN"/>
              </w:rPr>
              <w:t>10</w:t>
            </w:r>
          </w:p>
        </w:tc>
        <w:tc>
          <w:tcPr>
            <w:tcW w:w="928" w:type="pct"/>
            <w:vAlign w:val="center"/>
          </w:tcPr>
          <w:p w14:paraId="41715657">
            <w:pPr>
              <w:pStyle w:val="31"/>
              <w:bidi w:val="0"/>
              <w:jc w:val="center"/>
              <w:rPr>
                <w:rFonts w:hint="default"/>
                <w:lang w:val="en-US" w:eastAsia="zh-CN"/>
              </w:rPr>
            </w:pPr>
            <w:r>
              <w:rPr>
                <w:rFonts w:hint="eastAsia"/>
                <w:lang w:val="en-US" w:eastAsia="zh-CN"/>
              </w:rPr>
              <w:t>镉</w:t>
            </w:r>
          </w:p>
        </w:tc>
        <w:tc>
          <w:tcPr>
            <w:tcW w:w="796" w:type="pct"/>
            <w:vAlign w:val="center"/>
          </w:tcPr>
          <w:p w14:paraId="35A91780">
            <w:pPr>
              <w:pStyle w:val="31"/>
              <w:bidi w:val="0"/>
              <w:rPr>
                <w:rFonts w:hint="default"/>
                <w:lang w:val="en-US" w:eastAsia="zh-CN"/>
              </w:rPr>
            </w:pPr>
            <w:r>
              <w:rPr>
                <w:rFonts w:hint="eastAsia"/>
                <w:lang w:val="en-US" w:eastAsia="zh-CN"/>
              </w:rPr>
              <w:t>mg/L</w:t>
            </w:r>
          </w:p>
        </w:tc>
        <w:tc>
          <w:tcPr>
            <w:tcW w:w="645" w:type="pct"/>
            <w:vAlign w:val="center"/>
          </w:tcPr>
          <w:p w14:paraId="6A4AFA59">
            <w:pPr>
              <w:pStyle w:val="31"/>
              <w:bidi w:val="0"/>
              <w:jc w:val="center"/>
              <w:rPr>
                <w:rFonts w:hint="default"/>
                <w:lang w:val="en-US" w:eastAsia="zh-CN"/>
              </w:rPr>
            </w:pPr>
            <w:r>
              <w:rPr>
                <w:rFonts w:hint="eastAsia"/>
                <w:lang w:val="en-US" w:eastAsia="zh-CN"/>
              </w:rPr>
              <w:t>0.00018</w:t>
            </w:r>
          </w:p>
        </w:tc>
        <w:tc>
          <w:tcPr>
            <w:tcW w:w="645" w:type="pct"/>
            <w:vAlign w:val="center"/>
          </w:tcPr>
          <w:p w14:paraId="5DD4C79B">
            <w:pPr>
              <w:pStyle w:val="31"/>
              <w:bidi w:val="0"/>
              <w:jc w:val="center"/>
              <w:rPr>
                <w:rFonts w:hint="default"/>
                <w:lang w:val="en-US" w:eastAsia="zh-CN"/>
              </w:rPr>
            </w:pPr>
            <w:r>
              <w:rPr>
                <w:rFonts w:hint="eastAsia"/>
                <w:lang w:val="en-US" w:eastAsia="zh-CN"/>
              </w:rPr>
              <w:t>0.00018</w:t>
            </w:r>
          </w:p>
        </w:tc>
        <w:tc>
          <w:tcPr>
            <w:tcW w:w="646" w:type="pct"/>
            <w:vAlign w:val="center"/>
          </w:tcPr>
          <w:p w14:paraId="35C87758">
            <w:pPr>
              <w:pStyle w:val="31"/>
              <w:bidi w:val="0"/>
              <w:jc w:val="center"/>
              <w:rPr>
                <w:rFonts w:hint="default"/>
                <w:lang w:val="en-US" w:eastAsia="zh-CN"/>
              </w:rPr>
            </w:pPr>
            <w:r>
              <w:rPr>
                <w:rFonts w:hint="eastAsia"/>
                <w:lang w:val="en-US" w:eastAsia="zh-CN"/>
              </w:rPr>
              <w:t>0.00005L</w:t>
            </w:r>
          </w:p>
        </w:tc>
        <w:tc>
          <w:tcPr>
            <w:tcW w:w="537" w:type="pct"/>
            <w:vAlign w:val="center"/>
          </w:tcPr>
          <w:p w14:paraId="4EE2044C">
            <w:pPr>
              <w:pStyle w:val="31"/>
              <w:bidi w:val="0"/>
              <w:jc w:val="center"/>
              <w:rPr>
                <w:rFonts w:hint="default"/>
                <w:lang w:val="en-US" w:eastAsia="zh-CN"/>
              </w:rPr>
            </w:pPr>
            <w:r>
              <w:rPr>
                <w:rFonts w:hint="eastAsia"/>
                <w:lang w:val="en-US" w:eastAsia="zh-CN"/>
              </w:rPr>
              <w:t>0.005</w:t>
            </w:r>
          </w:p>
        </w:tc>
        <w:tc>
          <w:tcPr>
            <w:tcW w:w="399" w:type="pct"/>
            <w:vAlign w:val="center"/>
          </w:tcPr>
          <w:p w14:paraId="5090FAB4">
            <w:pPr>
              <w:pStyle w:val="31"/>
              <w:bidi w:val="0"/>
              <w:rPr>
                <w:rFonts w:hint="default"/>
                <w:lang w:val="en-US" w:eastAsia="zh-CN"/>
              </w:rPr>
            </w:pPr>
            <w:r>
              <w:rPr>
                <w:rFonts w:hint="eastAsia"/>
                <w:lang w:val="en-US" w:eastAsia="zh-CN"/>
              </w:rPr>
              <w:t>达标</w:t>
            </w:r>
          </w:p>
        </w:tc>
      </w:tr>
      <w:tr w14:paraId="7538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33755485">
            <w:pPr>
              <w:pStyle w:val="31"/>
              <w:bidi w:val="0"/>
              <w:jc w:val="center"/>
              <w:rPr>
                <w:rFonts w:hint="default"/>
                <w:lang w:val="en-US" w:eastAsia="zh-CN"/>
              </w:rPr>
            </w:pPr>
            <w:r>
              <w:rPr>
                <w:rFonts w:hint="eastAsia"/>
                <w:lang w:val="en-US" w:eastAsia="zh-CN"/>
              </w:rPr>
              <w:t>11</w:t>
            </w:r>
          </w:p>
        </w:tc>
        <w:tc>
          <w:tcPr>
            <w:tcW w:w="928" w:type="pct"/>
            <w:vAlign w:val="center"/>
          </w:tcPr>
          <w:p w14:paraId="258A22E5">
            <w:pPr>
              <w:pStyle w:val="31"/>
              <w:bidi w:val="0"/>
              <w:jc w:val="center"/>
              <w:rPr>
                <w:rFonts w:hint="default"/>
                <w:lang w:val="en-US" w:eastAsia="zh-CN"/>
              </w:rPr>
            </w:pPr>
            <w:r>
              <w:rPr>
                <w:rFonts w:hint="eastAsia"/>
                <w:lang w:val="en-US" w:eastAsia="zh-CN"/>
              </w:rPr>
              <w:t>铁</w:t>
            </w:r>
          </w:p>
        </w:tc>
        <w:tc>
          <w:tcPr>
            <w:tcW w:w="796" w:type="pct"/>
            <w:vAlign w:val="center"/>
          </w:tcPr>
          <w:p w14:paraId="7042BBD1">
            <w:pPr>
              <w:pStyle w:val="31"/>
              <w:bidi w:val="0"/>
              <w:rPr>
                <w:rFonts w:hint="default"/>
                <w:lang w:val="en-US" w:eastAsia="zh-CN"/>
              </w:rPr>
            </w:pPr>
            <w:r>
              <w:rPr>
                <w:rFonts w:hint="eastAsia"/>
                <w:lang w:val="en-US" w:eastAsia="zh-CN"/>
              </w:rPr>
              <w:t>mg/L</w:t>
            </w:r>
          </w:p>
        </w:tc>
        <w:tc>
          <w:tcPr>
            <w:tcW w:w="645" w:type="pct"/>
            <w:vAlign w:val="center"/>
          </w:tcPr>
          <w:p w14:paraId="5877AAC1">
            <w:pPr>
              <w:pStyle w:val="31"/>
              <w:bidi w:val="0"/>
              <w:jc w:val="center"/>
              <w:rPr>
                <w:rFonts w:hint="default"/>
                <w:lang w:val="en-US" w:eastAsia="zh-CN"/>
              </w:rPr>
            </w:pPr>
            <w:r>
              <w:rPr>
                <w:rFonts w:hint="eastAsia"/>
                <w:lang w:val="en-US" w:eastAsia="zh-CN"/>
              </w:rPr>
              <w:t>0.00082L</w:t>
            </w:r>
          </w:p>
        </w:tc>
        <w:tc>
          <w:tcPr>
            <w:tcW w:w="645" w:type="pct"/>
            <w:vAlign w:val="center"/>
          </w:tcPr>
          <w:p w14:paraId="0B80B282">
            <w:pPr>
              <w:pStyle w:val="31"/>
              <w:bidi w:val="0"/>
              <w:jc w:val="center"/>
              <w:rPr>
                <w:rFonts w:hint="default"/>
                <w:lang w:val="en-US" w:eastAsia="zh-CN"/>
              </w:rPr>
            </w:pPr>
            <w:r>
              <w:rPr>
                <w:rFonts w:hint="eastAsia"/>
                <w:lang w:val="en-US" w:eastAsia="zh-CN"/>
              </w:rPr>
              <w:t>0.00082L</w:t>
            </w:r>
          </w:p>
        </w:tc>
        <w:tc>
          <w:tcPr>
            <w:tcW w:w="646" w:type="pct"/>
            <w:vAlign w:val="center"/>
          </w:tcPr>
          <w:p w14:paraId="1C0DF2D6">
            <w:pPr>
              <w:pStyle w:val="31"/>
              <w:bidi w:val="0"/>
              <w:jc w:val="center"/>
              <w:rPr>
                <w:rFonts w:hint="default"/>
                <w:lang w:val="en-US" w:eastAsia="zh-CN"/>
              </w:rPr>
            </w:pPr>
            <w:r>
              <w:rPr>
                <w:rFonts w:hint="eastAsia"/>
                <w:lang w:val="en-US" w:eastAsia="zh-CN"/>
              </w:rPr>
              <w:t>0.00435</w:t>
            </w:r>
          </w:p>
        </w:tc>
        <w:tc>
          <w:tcPr>
            <w:tcW w:w="537" w:type="pct"/>
            <w:vAlign w:val="center"/>
          </w:tcPr>
          <w:p w14:paraId="6B19B1E5">
            <w:pPr>
              <w:pStyle w:val="31"/>
              <w:bidi w:val="0"/>
              <w:jc w:val="center"/>
              <w:rPr>
                <w:rFonts w:hint="default"/>
                <w:lang w:val="en-US" w:eastAsia="zh-CN"/>
              </w:rPr>
            </w:pPr>
            <w:r>
              <w:rPr>
                <w:rFonts w:hint="eastAsia"/>
                <w:lang w:val="en-US" w:eastAsia="zh-CN"/>
              </w:rPr>
              <w:t>0.3</w:t>
            </w:r>
          </w:p>
        </w:tc>
        <w:tc>
          <w:tcPr>
            <w:tcW w:w="399" w:type="pct"/>
            <w:vAlign w:val="center"/>
          </w:tcPr>
          <w:p w14:paraId="420930D1">
            <w:pPr>
              <w:pStyle w:val="31"/>
              <w:bidi w:val="0"/>
              <w:rPr>
                <w:rFonts w:hint="default"/>
                <w:lang w:val="en-US" w:eastAsia="zh-CN"/>
              </w:rPr>
            </w:pPr>
            <w:r>
              <w:rPr>
                <w:rFonts w:hint="eastAsia"/>
                <w:lang w:val="en-US" w:eastAsia="zh-CN"/>
              </w:rPr>
              <w:t>达标</w:t>
            </w:r>
          </w:p>
        </w:tc>
      </w:tr>
      <w:tr w14:paraId="4647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0F938999">
            <w:pPr>
              <w:pStyle w:val="31"/>
              <w:bidi w:val="0"/>
              <w:jc w:val="center"/>
              <w:rPr>
                <w:rFonts w:hint="default"/>
                <w:lang w:val="en-US" w:eastAsia="zh-CN"/>
              </w:rPr>
            </w:pPr>
            <w:r>
              <w:rPr>
                <w:rFonts w:hint="eastAsia"/>
                <w:lang w:val="en-US" w:eastAsia="zh-CN"/>
              </w:rPr>
              <w:t>12</w:t>
            </w:r>
          </w:p>
        </w:tc>
        <w:tc>
          <w:tcPr>
            <w:tcW w:w="928" w:type="pct"/>
            <w:vAlign w:val="center"/>
          </w:tcPr>
          <w:p w14:paraId="449C755C">
            <w:pPr>
              <w:pStyle w:val="31"/>
              <w:bidi w:val="0"/>
              <w:jc w:val="center"/>
              <w:rPr>
                <w:rFonts w:hint="default"/>
                <w:lang w:val="en-US" w:eastAsia="zh-CN"/>
              </w:rPr>
            </w:pPr>
            <w:r>
              <w:rPr>
                <w:rFonts w:hint="eastAsia"/>
                <w:lang w:val="en-US" w:eastAsia="zh-CN"/>
              </w:rPr>
              <w:t>锰</w:t>
            </w:r>
          </w:p>
        </w:tc>
        <w:tc>
          <w:tcPr>
            <w:tcW w:w="796" w:type="pct"/>
            <w:vAlign w:val="center"/>
          </w:tcPr>
          <w:p w14:paraId="4AEAF1B9">
            <w:pPr>
              <w:pStyle w:val="31"/>
              <w:bidi w:val="0"/>
              <w:rPr>
                <w:rFonts w:hint="default"/>
                <w:lang w:val="en-US" w:eastAsia="zh-CN"/>
              </w:rPr>
            </w:pPr>
            <w:r>
              <w:rPr>
                <w:rFonts w:hint="eastAsia"/>
                <w:lang w:val="en-US" w:eastAsia="zh-CN"/>
              </w:rPr>
              <w:t>mg/L</w:t>
            </w:r>
          </w:p>
        </w:tc>
        <w:tc>
          <w:tcPr>
            <w:tcW w:w="645" w:type="pct"/>
            <w:vAlign w:val="center"/>
          </w:tcPr>
          <w:p w14:paraId="4D81300F">
            <w:pPr>
              <w:pStyle w:val="31"/>
              <w:bidi w:val="0"/>
              <w:jc w:val="center"/>
              <w:rPr>
                <w:rFonts w:hint="default"/>
                <w:lang w:val="en-US" w:eastAsia="zh-CN"/>
              </w:rPr>
            </w:pPr>
            <w:r>
              <w:rPr>
                <w:rFonts w:hint="eastAsia"/>
                <w:lang w:val="en-US" w:eastAsia="zh-CN"/>
              </w:rPr>
              <w:t>0.0158</w:t>
            </w:r>
          </w:p>
        </w:tc>
        <w:tc>
          <w:tcPr>
            <w:tcW w:w="645" w:type="pct"/>
            <w:vAlign w:val="center"/>
          </w:tcPr>
          <w:p w14:paraId="0076C295">
            <w:pPr>
              <w:pStyle w:val="31"/>
              <w:bidi w:val="0"/>
              <w:jc w:val="center"/>
              <w:rPr>
                <w:rFonts w:hint="default"/>
                <w:lang w:val="en-US" w:eastAsia="zh-CN"/>
              </w:rPr>
            </w:pPr>
            <w:r>
              <w:rPr>
                <w:rFonts w:hint="eastAsia"/>
                <w:lang w:val="en-US" w:eastAsia="zh-CN"/>
              </w:rPr>
              <w:t>0.0136</w:t>
            </w:r>
          </w:p>
        </w:tc>
        <w:tc>
          <w:tcPr>
            <w:tcW w:w="646" w:type="pct"/>
            <w:vAlign w:val="center"/>
          </w:tcPr>
          <w:p w14:paraId="6062FBBD">
            <w:pPr>
              <w:pStyle w:val="31"/>
              <w:bidi w:val="0"/>
              <w:jc w:val="center"/>
              <w:rPr>
                <w:rFonts w:hint="default"/>
                <w:lang w:val="en-US" w:eastAsia="zh-CN"/>
              </w:rPr>
            </w:pPr>
            <w:r>
              <w:rPr>
                <w:rFonts w:hint="eastAsia"/>
                <w:lang w:val="en-US" w:eastAsia="zh-CN"/>
              </w:rPr>
              <w:t>0.00209</w:t>
            </w:r>
          </w:p>
        </w:tc>
        <w:tc>
          <w:tcPr>
            <w:tcW w:w="537" w:type="pct"/>
            <w:vAlign w:val="center"/>
          </w:tcPr>
          <w:p w14:paraId="112A97CC">
            <w:pPr>
              <w:pStyle w:val="31"/>
              <w:bidi w:val="0"/>
              <w:jc w:val="center"/>
              <w:rPr>
                <w:rFonts w:hint="default"/>
                <w:lang w:val="en-US" w:eastAsia="zh-CN"/>
              </w:rPr>
            </w:pPr>
            <w:r>
              <w:rPr>
                <w:rFonts w:hint="eastAsia"/>
                <w:lang w:val="en-US" w:eastAsia="zh-CN"/>
              </w:rPr>
              <w:t>0.10</w:t>
            </w:r>
          </w:p>
        </w:tc>
        <w:tc>
          <w:tcPr>
            <w:tcW w:w="399" w:type="pct"/>
            <w:vAlign w:val="center"/>
          </w:tcPr>
          <w:p w14:paraId="321928E1">
            <w:pPr>
              <w:pStyle w:val="31"/>
              <w:bidi w:val="0"/>
              <w:rPr>
                <w:rFonts w:hint="default"/>
                <w:lang w:val="en-US" w:eastAsia="zh-CN"/>
              </w:rPr>
            </w:pPr>
            <w:r>
              <w:rPr>
                <w:rFonts w:hint="eastAsia"/>
                <w:lang w:val="en-US" w:eastAsia="zh-CN"/>
              </w:rPr>
              <w:t>达标</w:t>
            </w:r>
          </w:p>
        </w:tc>
      </w:tr>
      <w:tr w14:paraId="0F09E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2890CE4C">
            <w:pPr>
              <w:pStyle w:val="31"/>
              <w:bidi w:val="0"/>
              <w:jc w:val="center"/>
              <w:rPr>
                <w:rFonts w:hint="default"/>
                <w:lang w:val="en-US" w:eastAsia="zh-CN"/>
              </w:rPr>
            </w:pPr>
            <w:r>
              <w:rPr>
                <w:rFonts w:hint="eastAsia"/>
                <w:lang w:val="en-US" w:eastAsia="zh-CN"/>
              </w:rPr>
              <w:t>13</w:t>
            </w:r>
          </w:p>
        </w:tc>
        <w:tc>
          <w:tcPr>
            <w:tcW w:w="928" w:type="pct"/>
            <w:vAlign w:val="center"/>
          </w:tcPr>
          <w:p w14:paraId="1619649B">
            <w:pPr>
              <w:pStyle w:val="31"/>
              <w:bidi w:val="0"/>
              <w:jc w:val="center"/>
              <w:rPr>
                <w:rFonts w:hint="default"/>
                <w:lang w:val="en-US" w:eastAsia="zh-CN"/>
              </w:rPr>
            </w:pPr>
            <w:r>
              <w:rPr>
                <w:rFonts w:hint="eastAsia"/>
                <w:lang w:val="en-US" w:eastAsia="zh-CN"/>
              </w:rPr>
              <w:t>溶解性总固体</w:t>
            </w:r>
          </w:p>
        </w:tc>
        <w:tc>
          <w:tcPr>
            <w:tcW w:w="796" w:type="pct"/>
            <w:vAlign w:val="center"/>
          </w:tcPr>
          <w:p w14:paraId="0B462467">
            <w:pPr>
              <w:pStyle w:val="31"/>
              <w:bidi w:val="0"/>
              <w:rPr>
                <w:rFonts w:hint="default"/>
                <w:lang w:val="en-US" w:eastAsia="zh-CN"/>
              </w:rPr>
            </w:pPr>
            <w:r>
              <w:rPr>
                <w:rFonts w:hint="eastAsia"/>
                <w:lang w:val="en-US" w:eastAsia="zh-CN"/>
              </w:rPr>
              <w:t>mg/L</w:t>
            </w:r>
          </w:p>
        </w:tc>
        <w:tc>
          <w:tcPr>
            <w:tcW w:w="645" w:type="pct"/>
            <w:vAlign w:val="center"/>
          </w:tcPr>
          <w:p w14:paraId="6EBD19D4">
            <w:pPr>
              <w:pStyle w:val="31"/>
              <w:bidi w:val="0"/>
              <w:jc w:val="center"/>
              <w:rPr>
                <w:rFonts w:hint="default"/>
                <w:lang w:val="en-US" w:eastAsia="zh-CN"/>
              </w:rPr>
            </w:pPr>
            <w:r>
              <w:rPr>
                <w:rFonts w:hint="eastAsia"/>
                <w:lang w:val="en-US" w:eastAsia="zh-CN"/>
              </w:rPr>
              <w:t>188</w:t>
            </w:r>
          </w:p>
        </w:tc>
        <w:tc>
          <w:tcPr>
            <w:tcW w:w="645" w:type="pct"/>
            <w:vAlign w:val="center"/>
          </w:tcPr>
          <w:p w14:paraId="20310040">
            <w:pPr>
              <w:pStyle w:val="31"/>
              <w:bidi w:val="0"/>
              <w:jc w:val="center"/>
              <w:rPr>
                <w:rFonts w:hint="default"/>
                <w:lang w:val="en-US" w:eastAsia="zh-CN"/>
              </w:rPr>
            </w:pPr>
            <w:r>
              <w:rPr>
                <w:rFonts w:hint="eastAsia"/>
                <w:lang w:val="en-US" w:eastAsia="zh-CN"/>
              </w:rPr>
              <w:t>160</w:t>
            </w:r>
          </w:p>
        </w:tc>
        <w:tc>
          <w:tcPr>
            <w:tcW w:w="646" w:type="pct"/>
            <w:vAlign w:val="center"/>
          </w:tcPr>
          <w:p w14:paraId="19452CD9">
            <w:pPr>
              <w:pStyle w:val="31"/>
              <w:bidi w:val="0"/>
              <w:jc w:val="center"/>
              <w:rPr>
                <w:rFonts w:hint="default"/>
                <w:lang w:val="en-US" w:eastAsia="zh-CN"/>
              </w:rPr>
            </w:pPr>
            <w:r>
              <w:rPr>
                <w:rFonts w:hint="eastAsia"/>
                <w:lang w:val="en-US" w:eastAsia="zh-CN"/>
              </w:rPr>
              <w:t>171</w:t>
            </w:r>
          </w:p>
        </w:tc>
        <w:tc>
          <w:tcPr>
            <w:tcW w:w="537" w:type="pct"/>
            <w:vAlign w:val="center"/>
          </w:tcPr>
          <w:p w14:paraId="547DE04F">
            <w:pPr>
              <w:pStyle w:val="31"/>
              <w:bidi w:val="0"/>
              <w:jc w:val="center"/>
              <w:rPr>
                <w:rFonts w:hint="default"/>
                <w:lang w:val="en-US" w:eastAsia="zh-CN"/>
              </w:rPr>
            </w:pPr>
            <w:r>
              <w:rPr>
                <w:rFonts w:hint="eastAsia"/>
                <w:lang w:val="en-US" w:eastAsia="zh-CN"/>
              </w:rPr>
              <w:t>1000</w:t>
            </w:r>
          </w:p>
        </w:tc>
        <w:tc>
          <w:tcPr>
            <w:tcW w:w="399" w:type="pct"/>
            <w:vAlign w:val="center"/>
          </w:tcPr>
          <w:p w14:paraId="4FA20237">
            <w:pPr>
              <w:pStyle w:val="31"/>
              <w:bidi w:val="0"/>
              <w:rPr>
                <w:rFonts w:hint="default"/>
                <w:lang w:val="en-US" w:eastAsia="zh-CN"/>
              </w:rPr>
            </w:pPr>
            <w:r>
              <w:rPr>
                <w:rFonts w:hint="eastAsia"/>
                <w:lang w:val="en-US" w:eastAsia="zh-CN"/>
              </w:rPr>
              <w:t>达标</w:t>
            </w:r>
          </w:p>
        </w:tc>
      </w:tr>
      <w:tr w14:paraId="284A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4A371157">
            <w:pPr>
              <w:pStyle w:val="31"/>
              <w:bidi w:val="0"/>
              <w:jc w:val="center"/>
              <w:rPr>
                <w:rFonts w:hint="default"/>
                <w:lang w:val="en-US" w:eastAsia="zh-CN"/>
              </w:rPr>
            </w:pPr>
            <w:r>
              <w:rPr>
                <w:rFonts w:hint="eastAsia"/>
                <w:lang w:val="en-US" w:eastAsia="zh-CN"/>
              </w:rPr>
              <w:t>14</w:t>
            </w:r>
          </w:p>
        </w:tc>
        <w:tc>
          <w:tcPr>
            <w:tcW w:w="928" w:type="pct"/>
            <w:vAlign w:val="center"/>
          </w:tcPr>
          <w:p w14:paraId="264C692C">
            <w:pPr>
              <w:pStyle w:val="31"/>
              <w:bidi w:val="0"/>
              <w:jc w:val="center"/>
              <w:rPr>
                <w:rFonts w:hint="default"/>
                <w:lang w:val="en-US" w:eastAsia="zh-CN"/>
              </w:rPr>
            </w:pPr>
            <w:r>
              <w:rPr>
                <w:rFonts w:hint="eastAsia"/>
                <w:lang w:val="en-US" w:eastAsia="zh-CN"/>
              </w:rPr>
              <w:t>高门酸盐指数</w:t>
            </w:r>
          </w:p>
        </w:tc>
        <w:tc>
          <w:tcPr>
            <w:tcW w:w="796" w:type="pct"/>
            <w:vAlign w:val="center"/>
          </w:tcPr>
          <w:p w14:paraId="0E544671">
            <w:pPr>
              <w:pStyle w:val="31"/>
              <w:bidi w:val="0"/>
              <w:rPr>
                <w:rFonts w:hint="default"/>
                <w:lang w:val="en-US" w:eastAsia="zh-CN"/>
              </w:rPr>
            </w:pPr>
            <w:r>
              <w:rPr>
                <w:rFonts w:hint="eastAsia"/>
                <w:lang w:val="en-US" w:eastAsia="zh-CN"/>
              </w:rPr>
              <w:t>mg/L</w:t>
            </w:r>
          </w:p>
        </w:tc>
        <w:tc>
          <w:tcPr>
            <w:tcW w:w="645" w:type="pct"/>
            <w:vAlign w:val="center"/>
          </w:tcPr>
          <w:p w14:paraId="32797E08">
            <w:pPr>
              <w:pStyle w:val="31"/>
              <w:bidi w:val="0"/>
              <w:jc w:val="center"/>
              <w:rPr>
                <w:rFonts w:hint="default"/>
                <w:lang w:val="en-US" w:eastAsia="zh-CN"/>
              </w:rPr>
            </w:pPr>
            <w:r>
              <w:rPr>
                <w:rFonts w:hint="eastAsia"/>
                <w:lang w:val="en-US" w:eastAsia="zh-CN"/>
              </w:rPr>
              <w:t>0.9</w:t>
            </w:r>
          </w:p>
        </w:tc>
        <w:tc>
          <w:tcPr>
            <w:tcW w:w="645" w:type="pct"/>
            <w:vAlign w:val="center"/>
          </w:tcPr>
          <w:p w14:paraId="5350F21B">
            <w:pPr>
              <w:pStyle w:val="31"/>
              <w:bidi w:val="0"/>
              <w:jc w:val="center"/>
              <w:rPr>
                <w:rFonts w:hint="default"/>
                <w:lang w:val="en-US" w:eastAsia="zh-CN"/>
              </w:rPr>
            </w:pPr>
            <w:r>
              <w:rPr>
                <w:rFonts w:hint="eastAsia"/>
                <w:lang w:val="en-US" w:eastAsia="zh-CN"/>
              </w:rPr>
              <w:t>0.6</w:t>
            </w:r>
          </w:p>
        </w:tc>
        <w:tc>
          <w:tcPr>
            <w:tcW w:w="646" w:type="pct"/>
            <w:vAlign w:val="center"/>
          </w:tcPr>
          <w:p w14:paraId="1E24BF96">
            <w:pPr>
              <w:pStyle w:val="31"/>
              <w:bidi w:val="0"/>
              <w:jc w:val="center"/>
              <w:rPr>
                <w:rFonts w:hint="default"/>
                <w:lang w:val="en-US" w:eastAsia="zh-CN"/>
              </w:rPr>
            </w:pPr>
            <w:r>
              <w:rPr>
                <w:rFonts w:hint="eastAsia"/>
                <w:lang w:val="en-US" w:eastAsia="zh-CN"/>
              </w:rPr>
              <w:t>1.2</w:t>
            </w:r>
          </w:p>
        </w:tc>
        <w:tc>
          <w:tcPr>
            <w:tcW w:w="537" w:type="pct"/>
            <w:vAlign w:val="center"/>
          </w:tcPr>
          <w:p w14:paraId="3B27BE5C">
            <w:pPr>
              <w:pStyle w:val="31"/>
              <w:bidi w:val="0"/>
              <w:jc w:val="center"/>
              <w:rPr>
                <w:rFonts w:hint="default"/>
                <w:lang w:val="en-US" w:eastAsia="zh-CN"/>
              </w:rPr>
            </w:pPr>
            <w:r>
              <w:rPr>
                <w:rFonts w:hint="eastAsia"/>
                <w:lang w:val="en-US" w:eastAsia="zh-CN"/>
              </w:rPr>
              <w:t>3.0</w:t>
            </w:r>
          </w:p>
        </w:tc>
        <w:tc>
          <w:tcPr>
            <w:tcW w:w="399" w:type="pct"/>
            <w:vAlign w:val="center"/>
          </w:tcPr>
          <w:p w14:paraId="1270BC8B">
            <w:pPr>
              <w:pStyle w:val="31"/>
              <w:bidi w:val="0"/>
              <w:rPr>
                <w:rFonts w:hint="default"/>
                <w:lang w:val="en-US" w:eastAsia="zh-CN"/>
              </w:rPr>
            </w:pPr>
            <w:r>
              <w:rPr>
                <w:rFonts w:hint="eastAsia"/>
                <w:lang w:val="en-US" w:eastAsia="zh-CN"/>
              </w:rPr>
              <w:t>达标</w:t>
            </w:r>
          </w:p>
        </w:tc>
      </w:tr>
      <w:tr w14:paraId="2C9E9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6975D69B">
            <w:pPr>
              <w:pStyle w:val="31"/>
              <w:bidi w:val="0"/>
              <w:jc w:val="center"/>
              <w:rPr>
                <w:rFonts w:hint="default"/>
                <w:lang w:val="en-US" w:eastAsia="zh-CN"/>
              </w:rPr>
            </w:pPr>
            <w:r>
              <w:rPr>
                <w:rFonts w:hint="eastAsia"/>
                <w:lang w:val="en-US" w:eastAsia="zh-CN"/>
              </w:rPr>
              <w:t>15</w:t>
            </w:r>
          </w:p>
        </w:tc>
        <w:tc>
          <w:tcPr>
            <w:tcW w:w="928" w:type="pct"/>
            <w:vAlign w:val="center"/>
          </w:tcPr>
          <w:p w14:paraId="56C1885B">
            <w:pPr>
              <w:pStyle w:val="31"/>
              <w:bidi w:val="0"/>
              <w:jc w:val="center"/>
              <w:rPr>
                <w:rFonts w:hint="default"/>
                <w:lang w:val="en-US" w:eastAsia="zh-CN"/>
              </w:rPr>
            </w:pPr>
            <w:r>
              <w:rPr>
                <w:rFonts w:hint="eastAsia"/>
                <w:lang w:val="en-US" w:eastAsia="zh-CN"/>
              </w:rPr>
              <w:t>硝酸盐</w:t>
            </w:r>
          </w:p>
        </w:tc>
        <w:tc>
          <w:tcPr>
            <w:tcW w:w="796" w:type="pct"/>
            <w:vAlign w:val="center"/>
          </w:tcPr>
          <w:p w14:paraId="4BFE6027">
            <w:pPr>
              <w:pStyle w:val="31"/>
              <w:bidi w:val="0"/>
              <w:rPr>
                <w:rFonts w:hint="default"/>
                <w:lang w:val="en-US" w:eastAsia="zh-CN"/>
              </w:rPr>
            </w:pPr>
            <w:r>
              <w:rPr>
                <w:rFonts w:hint="eastAsia"/>
                <w:lang w:val="en-US" w:eastAsia="zh-CN"/>
              </w:rPr>
              <w:t>mg/L</w:t>
            </w:r>
          </w:p>
        </w:tc>
        <w:tc>
          <w:tcPr>
            <w:tcW w:w="645" w:type="pct"/>
            <w:vAlign w:val="center"/>
          </w:tcPr>
          <w:p w14:paraId="2C413357">
            <w:pPr>
              <w:pStyle w:val="31"/>
              <w:bidi w:val="0"/>
              <w:jc w:val="center"/>
              <w:rPr>
                <w:rFonts w:hint="default"/>
                <w:lang w:val="en-US" w:eastAsia="zh-CN"/>
              </w:rPr>
            </w:pPr>
            <w:r>
              <w:rPr>
                <w:rFonts w:hint="eastAsia"/>
                <w:lang w:val="en-US" w:eastAsia="zh-CN"/>
              </w:rPr>
              <w:t>3.41</w:t>
            </w:r>
          </w:p>
        </w:tc>
        <w:tc>
          <w:tcPr>
            <w:tcW w:w="645" w:type="pct"/>
            <w:vAlign w:val="center"/>
          </w:tcPr>
          <w:p w14:paraId="7BE0CE03">
            <w:pPr>
              <w:pStyle w:val="31"/>
              <w:bidi w:val="0"/>
              <w:jc w:val="center"/>
              <w:rPr>
                <w:rFonts w:hint="default"/>
                <w:lang w:val="en-US" w:eastAsia="zh-CN"/>
              </w:rPr>
            </w:pPr>
            <w:r>
              <w:rPr>
                <w:rFonts w:hint="eastAsia"/>
                <w:lang w:val="en-US" w:eastAsia="zh-CN"/>
              </w:rPr>
              <w:t>7.01</w:t>
            </w:r>
          </w:p>
        </w:tc>
        <w:tc>
          <w:tcPr>
            <w:tcW w:w="646" w:type="pct"/>
            <w:vAlign w:val="center"/>
          </w:tcPr>
          <w:p w14:paraId="37968EC7">
            <w:pPr>
              <w:pStyle w:val="31"/>
              <w:bidi w:val="0"/>
              <w:jc w:val="center"/>
              <w:rPr>
                <w:rFonts w:hint="default"/>
                <w:lang w:val="en-US" w:eastAsia="zh-CN"/>
              </w:rPr>
            </w:pPr>
            <w:r>
              <w:rPr>
                <w:rFonts w:hint="eastAsia"/>
                <w:lang w:val="en-US" w:eastAsia="zh-CN"/>
              </w:rPr>
              <w:t>1.47</w:t>
            </w:r>
          </w:p>
        </w:tc>
        <w:tc>
          <w:tcPr>
            <w:tcW w:w="537" w:type="pct"/>
            <w:vAlign w:val="center"/>
          </w:tcPr>
          <w:p w14:paraId="7DF8C511">
            <w:pPr>
              <w:pStyle w:val="31"/>
              <w:bidi w:val="0"/>
              <w:jc w:val="center"/>
              <w:rPr>
                <w:rFonts w:hint="default"/>
                <w:lang w:val="en-US" w:eastAsia="zh-CN"/>
              </w:rPr>
            </w:pPr>
            <w:r>
              <w:rPr>
                <w:rFonts w:hint="eastAsia"/>
                <w:lang w:val="en-US" w:eastAsia="zh-CN"/>
              </w:rPr>
              <w:t>20.0</w:t>
            </w:r>
          </w:p>
        </w:tc>
        <w:tc>
          <w:tcPr>
            <w:tcW w:w="399" w:type="pct"/>
            <w:vAlign w:val="center"/>
          </w:tcPr>
          <w:p w14:paraId="6B6DF31F">
            <w:pPr>
              <w:pStyle w:val="31"/>
              <w:bidi w:val="0"/>
              <w:rPr>
                <w:rFonts w:hint="default"/>
                <w:lang w:val="en-US" w:eastAsia="zh-CN"/>
              </w:rPr>
            </w:pPr>
            <w:r>
              <w:rPr>
                <w:rFonts w:hint="eastAsia"/>
                <w:lang w:val="en-US" w:eastAsia="zh-CN"/>
              </w:rPr>
              <w:t>达标</w:t>
            </w:r>
          </w:p>
        </w:tc>
      </w:tr>
      <w:tr w14:paraId="6234C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31A0BF23">
            <w:pPr>
              <w:pStyle w:val="31"/>
              <w:bidi w:val="0"/>
              <w:jc w:val="center"/>
              <w:rPr>
                <w:rFonts w:hint="default"/>
                <w:lang w:val="en-US" w:eastAsia="zh-CN"/>
              </w:rPr>
            </w:pPr>
            <w:r>
              <w:rPr>
                <w:rFonts w:hint="eastAsia"/>
                <w:lang w:val="en-US" w:eastAsia="zh-CN"/>
              </w:rPr>
              <w:t>16</w:t>
            </w:r>
          </w:p>
        </w:tc>
        <w:tc>
          <w:tcPr>
            <w:tcW w:w="928" w:type="pct"/>
            <w:vAlign w:val="center"/>
          </w:tcPr>
          <w:p w14:paraId="5AD4EB54">
            <w:pPr>
              <w:pStyle w:val="31"/>
              <w:bidi w:val="0"/>
              <w:jc w:val="center"/>
              <w:rPr>
                <w:rFonts w:hint="default"/>
                <w:lang w:val="en-US" w:eastAsia="zh-CN"/>
              </w:rPr>
            </w:pPr>
            <w:r>
              <w:rPr>
                <w:rFonts w:hint="eastAsia"/>
                <w:lang w:val="en-US" w:eastAsia="zh-CN"/>
              </w:rPr>
              <w:t>亚硝酸盐</w:t>
            </w:r>
          </w:p>
        </w:tc>
        <w:tc>
          <w:tcPr>
            <w:tcW w:w="796" w:type="pct"/>
            <w:vAlign w:val="center"/>
          </w:tcPr>
          <w:p w14:paraId="3A74830C">
            <w:pPr>
              <w:pStyle w:val="31"/>
              <w:bidi w:val="0"/>
              <w:rPr>
                <w:rFonts w:hint="default"/>
                <w:lang w:val="en-US" w:eastAsia="zh-CN"/>
              </w:rPr>
            </w:pPr>
            <w:r>
              <w:rPr>
                <w:rFonts w:hint="eastAsia"/>
                <w:lang w:val="en-US" w:eastAsia="zh-CN"/>
              </w:rPr>
              <w:t>mg/L</w:t>
            </w:r>
          </w:p>
        </w:tc>
        <w:tc>
          <w:tcPr>
            <w:tcW w:w="645" w:type="pct"/>
            <w:vAlign w:val="center"/>
          </w:tcPr>
          <w:p w14:paraId="72A8F553">
            <w:pPr>
              <w:pStyle w:val="31"/>
              <w:bidi w:val="0"/>
              <w:jc w:val="center"/>
              <w:rPr>
                <w:rFonts w:hint="default"/>
                <w:lang w:val="en-US" w:eastAsia="zh-CN"/>
              </w:rPr>
            </w:pPr>
            <w:r>
              <w:rPr>
                <w:rFonts w:hint="eastAsia"/>
                <w:lang w:val="en-US" w:eastAsia="zh-CN"/>
              </w:rPr>
              <w:t>0.010</w:t>
            </w:r>
          </w:p>
        </w:tc>
        <w:tc>
          <w:tcPr>
            <w:tcW w:w="645" w:type="pct"/>
            <w:vAlign w:val="center"/>
          </w:tcPr>
          <w:p w14:paraId="0929B4B6">
            <w:pPr>
              <w:pStyle w:val="31"/>
              <w:bidi w:val="0"/>
              <w:jc w:val="center"/>
              <w:rPr>
                <w:rFonts w:hint="default"/>
                <w:lang w:val="en-US" w:eastAsia="zh-CN"/>
              </w:rPr>
            </w:pPr>
            <w:r>
              <w:rPr>
                <w:rFonts w:hint="eastAsia"/>
                <w:lang w:val="en-US" w:eastAsia="zh-CN"/>
              </w:rPr>
              <w:t>0.005L</w:t>
            </w:r>
          </w:p>
        </w:tc>
        <w:tc>
          <w:tcPr>
            <w:tcW w:w="646" w:type="pct"/>
            <w:vAlign w:val="center"/>
          </w:tcPr>
          <w:p w14:paraId="3BE6120C">
            <w:pPr>
              <w:pStyle w:val="31"/>
              <w:bidi w:val="0"/>
              <w:jc w:val="center"/>
              <w:rPr>
                <w:rFonts w:hint="default"/>
                <w:lang w:val="en-US" w:eastAsia="zh-CN"/>
              </w:rPr>
            </w:pPr>
            <w:r>
              <w:rPr>
                <w:rFonts w:hint="eastAsia"/>
                <w:lang w:val="en-US" w:eastAsia="zh-CN"/>
              </w:rPr>
              <w:t>0.024</w:t>
            </w:r>
          </w:p>
        </w:tc>
        <w:tc>
          <w:tcPr>
            <w:tcW w:w="537" w:type="pct"/>
            <w:vAlign w:val="center"/>
          </w:tcPr>
          <w:p w14:paraId="7E18AC86">
            <w:pPr>
              <w:pStyle w:val="31"/>
              <w:bidi w:val="0"/>
              <w:jc w:val="center"/>
              <w:rPr>
                <w:rFonts w:hint="default"/>
                <w:lang w:val="en-US" w:eastAsia="zh-CN"/>
              </w:rPr>
            </w:pPr>
            <w:r>
              <w:rPr>
                <w:rFonts w:hint="eastAsia"/>
                <w:lang w:val="en-US" w:eastAsia="zh-CN"/>
              </w:rPr>
              <w:t>1.00</w:t>
            </w:r>
          </w:p>
        </w:tc>
        <w:tc>
          <w:tcPr>
            <w:tcW w:w="399" w:type="pct"/>
            <w:vAlign w:val="center"/>
          </w:tcPr>
          <w:p w14:paraId="36976750">
            <w:pPr>
              <w:pStyle w:val="31"/>
              <w:bidi w:val="0"/>
              <w:rPr>
                <w:rFonts w:hint="default"/>
                <w:lang w:val="en-US" w:eastAsia="zh-CN"/>
              </w:rPr>
            </w:pPr>
            <w:r>
              <w:rPr>
                <w:rFonts w:hint="eastAsia"/>
                <w:lang w:val="en-US" w:eastAsia="zh-CN"/>
              </w:rPr>
              <w:t>达标</w:t>
            </w:r>
          </w:p>
        </w:tc>
      </w:tr>
      <w:tr w14:paraId="01F01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0439685D">
            <w:pPr>
              <w:pStyle w:val="31"/>
              <w:bidi w:val="0"/>
              <w:jc w:val="center"/>
              <w:rPr>
                <w:rFonts w:hint="default"/>
                <w:lang w:val="en-US" w:eastAsia="zh-CN"/>
              </w:rPr>
            </w:pPr>
            <w:r>
              <w:rPr>
                <w:rFonts w:hint="eastAsia"/>
                <w:lang w:val="en-US" w:eastAsia="zh-CN"/>
              </w:rPr>
              <w:t>17</w:t>
            </w:r>
          </w:p>
        </w:tc>
        <w:tc>
          <w:tcPr>
            <w:tcW w:w="928" w:type="pct"/>
            <w:vAlign w:val="center"/>
          </w:tcPr>
          <w:p w14:paraId="0C48E7E5">
            <w:pPr>
              <w:pStyle w:val="31"/>
              <w:bidi w:val="0"/>
              <w:jc w:val="center"/>
              <w:rPr>
                <w:rFonts w:hint="default"/>
                <w:lang w:val="en-US" w:eastAsia="zh-CN"/>
              </w:rPr>
            </w:pPr>
            <w:r>
              <w:rPr>
                <w:rFonts w:hint="eastAsia"/>
                <w:lang w:val="en-US" w:eastAsia="zh-CN"/>
              </w:rPr>
              <w:t>氟化物</w:t>
            </w:r>
          </w:p>
        </w:tc>
        <w:tc>
          <w:tcPr>
            <w:tcW w:w="796" w:type="pct"/>
            <w:vAlign w:val="center"/>
          </w:tcPr>
          <w:p w14:paraId="7FC9236E">
            <w:pPr>
              <w:pStyle w:val="31"/>
              <w:bidi w:val="0"/>
              <w:rPr>
                <w:rFonts w:hint="default"/>
                <w:lang w:val="en-US" w:eastAsia="zh-CN"/>
              </w:rPr>
            </w:pPr>
            <w:r>
              <w:rPr>
                <w:rFonts w:hint="eastAsia"/>
                <w:lang w:val="en-US" w:eastAsia="zh-CN"/>
              </w:rPr>
              <w:t>mg/L</w:t>
            </w:r>
          </w:p>
        </w:tc>
        <w:tc>
          <w:tcPr>
            <w:tcW w:w="645" w:type="pct"/>
            <w:vAlign w:val="center"/>
          </w:tcPr>
          <w:p w14:paraId="432FA003">
            <w:pPr>
              <w:pStyle w:val="31"/>
              <w:bidi w:val="0"/>
              <w:jc w:val="center"/>
              <w:rPr>
                <w:rFonts w:hint="default"/>
                <w:lang w:val="en-US" w:eastAsia="zh-CN"/>
              </w:rPr>
            </w:pPr>
            <w:r>
              <w:rPr>
                <w:rFonts w:hint="eastAsia"/>
                <w:lang w:val="en-US" w:eastAsia="zh-CN"/>
              </w:rPr>
              <w:t>0.122</w:t>
            </w:r>
          </w:p>
        </w:tc>
        <w:tc>
          <w:tcPr>
            <w:tcW w:w="645" w:type="pct"/>
            <w:vAlign w:val="center"/>
          </w:tcPr>
          <w:p w14:paraId="19D883D9">
            <w:pPr>
              <w:pStyle w:val="31"/>
              <w:bidi w:val="0"/>
              <w:jc w:val="center"/>
              <w:rPr>
                <w:rFonts w:hint="default"/>
                <w:lang w:val="en-US" w:eastAsia="zh-CN"/>
              </w:rPr>
            </w:pPr>
            <w:r>
              <w:rPr>
                <w:rFonts w:hint="eastAsia"/>
                <w:lang w:val="en-US" w:eastAsia="zh-CN"/>
              </w:rPr>
              <w:t>0.062</w:t>
            </w:r>
          </w:p>
        </w:tc>
        <w:tc>
          <w:tcPr>
            <w:tcW w:w="646" w:type="pct"/>
            <w:vAlign w:val="center"/>
          </w:tcPr>
          <w:p w14:paraId="0373B422">
            <w:pPr>
              <w:pStyle w:val="31"/>
              <w:bidi w:val="0"/>
              <w:jc w:val="center"/>
              <w:rPr>
                <w:rFonts w:hint="default"/>
                <w:lang w:val="en-US" w:eastAsia="zh-CN"/>
              </w:rPr>
            </w:pPr>
            <w:r>
              <w:rPr>
                <w:rFonts w:hint="eastAsia"/>
                <w:lang w:val="en-US" w:eastAsia="zh-CN"/>
              </w:rPr>
              <w:t>0.198</w:t>
            </w:r>
          </w:p>
        </w:tc>
        <w:tc>
          <w:tcPr>
            <w:tcW w:w="537" w:type="pct"/>
            <w:vAlign w:val="center"/>
          </w:tcPr>
          <w:p w14:paraId="3E88682C">
            <w:pPr>
              <w:pStyle w:val="31"/>
              <w:bidi w:val="0"/>
              <w:jc w:val="center"/>
              <w:rPr>
                <w:rFonts w:hint="default"/>
                <w:lang w:val="en-US" w:eastAsia="zh-CN"/>
              </w:rPr>
            </w:pPr>
            <w:r>
              <w:rPr>
                <w:rFonts w:hint="eastAsia"/>
                <w:lang w:val="en-US" w:eastAsia="zh-CN"/>
              </w:rPr>
              <w:t>1.0</w:t>
            </w:r>
          </w:p>
        </w:tc>
        <w:tc>
          <w:tcPr>
            <w:tcW w:w="399" w:type="pct"/>
            <w:vAlign w:val="center"/>
          </w:tcPr>
          <w:p w14:paraId="13381F2F">
            <w:pPr>
              <w:pStyle w:val="31"/>
              <w:bidi w:val="0"/>
              <w:rPr>
                <w:rFonts w:hint="default"/>
                <w:lang w:val="en-US" w:eastAsia="zh-CN"/>
              </w:rPr>
            </w:pPr>
            <w:r>
              <w:rPr>
                <w:rFonts w:hint="eastAsia"/>
                <w:lang w:val="en-US" w:eastAsia="zh-CN"/>
              </w:rPr>
              <w:t>达标</w:t>
            </w:r>
          </w:p>
        </w:tc>
      </w:tr>
      <w:tr w14:paraId="7AD06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2A7D6A9D">
            <w:pPr>
              <w:pStyle w:val="31"/>
              <w:bidi w:val="0"/>
              <w:jc w:val="center"/>
              <w:rPr>
                <w:rFonts w:hint="default"/>
                <w:lang w:val="en-US" w:eastAsia="zh-CN"/>
              </w:rPr>
            </w:pPr>
            <w:r>
              <w:rPr>
                <w:rFonts w:hint="eastAsia"/>
                <w:lang w:val="en-US" w:eastAsia="zh-CN"/>
              </w:rPr>
              <w:t>18</w:t>
            </w:r>
          </w:p>
        </w:tc>
        <w:tc>
          <w:tcPr>
            <w:tcW w:w="928" w:type="pct"/>
            <w:vAlign w:val="center"/>
          </w:tcPr>
          <w:p w14:paraId="588ABB9F">
            <w:pPr>
              <w:pStyle w:val="31"/>
              <w:bidi w:val="0"/>
              <w:jc w:val="center"/>
              <w:rPr>
                <w:rFonts w:hint="default"/>
                <w:lang w:val="en-US" w:eastAsia="zh-CN"/>
              </w:rPr>
            </w:pPr>
            <w:r>
              <w:rPr>
                <w:rFonts w:hint="eastAsia"/>
                <w:lang w:val="en-US" w:eastAsia="zh-CN"/>
              </w:rPr>
              <w:t>硫酸盐</w:t>
            </w:r>
          </w:p>
        </w:tc>
        <w:tc>
          <w:tcPr>
            <w:tcW w:w="796" w:type="pct"/>
            <w:vAlign w:val="center"/>
          </w:tcPr>
          <w:p w14:paraId="5DA1EE83">
            <w:pPr>
              <w:pStyle w:val="31"/>
              <w:bidi w:val="0"/>
              <w:rPr>
                <w:rFonts w:hint="default"/>
                <w:lang w:val="en-US" w:eastAsia="zh-CN"/>
              </w:rPr>
            </w:pPr>
            <w:r>
              <w:rPr>
                <w:rFonts w:hint="eastAsia"/>
                <w:lang w:val="en-US" w:eastAsia="zh-CN"/>
              </w:rPr>
              <w:t>mg/L</w:t>
            </w:r>
          </w:p>
        </w:tc>
        <w:tc>
          <w:tcPr>
            <w:tcW w:w="645" w:type="pct"/>
            <w:vAlign w:val="center"/>
          </w:tcPr>
          <w:p w14:paraId="55130EE4">
            <w:pPr>
              <w:pStyle w:val="31"/>
              <w:bidi w:val="0"/>
              <w:jc w:val="center"/>
              <w:rPr>
                <w:rFonts w:hint="default"/>
                <w:lang w:val="en-US" w:eastAsia="zh-CN"/>
              </w:rPr>
            </w:pPr>
            <w:r>
              <w:rPr>
                <w:rFonts w:hint="eastAsia"/>
                <w:lang w:val="en-US" w:eastAsia="zh-CN"/>
              </w:rPr>
              <w:t>8.60</w:t>
            </w:r>
          </w:p>
        </w:tc>
        <w:tc>
          <w:tcPr>
            <w:tcW w:w="645" w:type="pct"/>
            <w:vAlign w:val="center"/>
          </w:tcPr>
          <w:p w14:paraId="4496161A">
            <w:pPr>
              <w:pStyle w:val="31"/>
              <w:bidi w:val="0"/>
              <w:jc w:val="center"/>
              <w:rPr>
                <w:rFonts w:hint="default"/>
                <w:lang w:val="en-US" w:eastAsia="zh-CN"/>
              </w:rPr>
            </w:pPr>
            <w:r>
              <w:rPr>
                <w:rFonts w:hint="eastAsia"/>
                <w:lang w:val="en-US" w:eastAsia="zh-CN"/>
              </w:rPr>
              <w:t>14.70</w:t>
            </w:r>
          </w:p>
        </w:tc>
        <w:tc>
          <w:tcPr>
            <w:tcW w:w="646" w:type="pct"/>
            <w:vAlign w:val="center"/>
          </w:tcPr>
          <w:p w14:paraId="4DC1C830">
            <w:pPr>
              <w:pStyle w:val="31"/>
              <w:bidi w:val="0"/>
              <w:jc w:val="center"/>
              <w:rPr>
                <w:rFonts w:hint="default"/>
                <w:lang w:val="en-US" w:eastAsia="zh-CN"/>
              </w:rPr>
            </w:pPr>
            <w:r>
              <w:rPr>
                <w:rFonts w:hint="eastAsia"/>
                <w:lang w:val="en-US" w:eastAsia="zh-CN"/>
              </w:rPr>
              <w:t>17.80</w:t>
            </w:r>
          </w:p>
        </w:tc>
        <w:tc>
          <w:tcPr>
            <w:tcW w:w="537" w:type="pct"/>
            <w:vAlign w:val="center"/>
          </w:tcPr>
          <w:p w14:paraId="1BC35B3A">
            <w:pPr>
              <w:pStyle w:val="31"/>
              <w:bidi w:val="0"/>
              <w:jc w:val="center"/>
              <w:rPr>
                <w:rFonts w:hint="default"/>
                <w:lang w:val="en-US" w:eastAsia="zh-CN"/>
              </w:rPr>
            </w:pPr>
            <w:r>
              <w:rPr>
                <w:rFonts w:hint="eastAsia"/>
                <w:lang w:val="en-US" w:eastAsia="zh-CN"/>
              </w:rPr>
              <w:t>250</w:t>
            </w:r>
          </w:p>
        </w:tc>
        <w:tc>
          <w:tcPr>
            <w:tcW w:w="399" w:type="pct"/>
            <w:vAlign w:val="center"/>
          </w:tcPr>
          <w:p w14:paraId="77BCB5C7">
            <w:pPr>
              <w:pStyle w:val="31"/>
              <w:bidi w:val="0"/>
              <w:rPr>
                <w:rFonts w:hint="default"/>
                <w:lang w:val="en-US" w:eastAsia="zh-CN"/>
              </w:rPr>
            </w:pPr>
            <w:r>
              <w:rPr>
                <w:rFonts w:hint="eastAsia"/>
                <w:lang w:val="en-US" w:eastAsia="zh-CN"/>
              </w:rPr>
              <w:t>达标</w:t>
            </w:r>
          </w:p>
        </w:tc>
      </w:tr>
      <w:tr w14:paraId="3EE6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1D60674C">
            <w:pPr>
              <w:pStyle w:val="31"/>
              <w:bidi w:val="0"/>
              <w:jc w:val="center"/>
              <w:rPr>
                <w:rFonts w:hint="default"/>
                <w:lang w:val="en-US" w:eastAsia="zh-CN"/>
              </w:rPr>
            </w:pPr>
            <w:r>
              <w:rPr>
                <w:rFonts w:hint="eastAsia"/>
                <w:lang w:val="en-US" w:eastAsia="zh-CN"/>
              </w:rPr>
              <w:t>19</w:t>
            </w:r>
          </w:p>
        </w:tc>
        <w:tc>
          <w:tcPr>
            <w:tcW w:w="928" w:type="pct"/>
            <w:vAlign w:val="center"/>
          </w:tcPr>
          <w:p w14:paraId="46A66819">
            <w:pPr>
              <w:pStyle w:val="31"/>
              <w:bidi w:val="0"/>
              <w:jc w:val="center"/>
              <w:rPr>
                <w:rFonts w:hint="eastAsia"/>
                <w:lang w:val="en-US" w:eastAsia="zh-CN"/>
              </w:rPr>
            </w:pPr>
            <w:r>
              <w:rPr>
                <w:rFonts w:hint="eastAsia"/>
                <w:lang w:val="en-US" w:eastAsia="zh-CN"/>
              </w:rPr>
              <w:t>氯化物</w:t>
            </w:r>
          </w:p>
        </w:tc>
        <w:tc>
          <w:tcPr>
            <w:tcW w:w="796" w:type="pct"/>
            <w:vAlign w:val="center"/>
          </w:tcPr>
          <w:p w14:paraId="5CA15699">
            <w:pPr>
              <w:pStyle w:val="31"/>
              <w:bidi w:val="0"/>
              <w:rPr>
                <w:rFonts w:hint="eastAsia"/>
                <w:lang w:val="en-US" w:eastAsia="zh-CN"/>
              </w:rPr>
            </w:pPr>
            <w:r>
              <w:rPr>
                <w:rFonts w:hint="eastAsia"/>
                <w:lang w:val="en-US" w:eastAsia="zh-CN"/>
              </w:rPr>
              <w:t>mg/L</w:t>
            </w:r>
          </w:p>
        </w:tc>
        <w:tc>
          <w:tcPr>
            <w:tcW w:w="645" w:type="pct"/>
            <w:shd w:val="clear" w:color="auto" w:fill="auto"/>
            <w:vAlign w:val="center"/>
          </w:tcPr>
          <w:p w14:paraId="28B4AE8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9.79</w:t>
            </w:r>
          </w:p>
        </w:tc>
        <w:tc>
          <w:tcPr>
            <w:tcW w:w="645" w:type="pct"/>
            <w:shd w:val="clear" w:color="auto" w:fill="auto"/>
            <w:vAlign w:val="center"/>
          </w:tcPr>
          <w:p w14:paraId="2179B4F7">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16.70</w:t>
            </w:r>
          </w:p>
        </w:tc>
        <w:tc>
          <w:tcPr>
            <w:tcW w:w="646" w:type="pct"/>
            <w:shd w:val="clear" w:color="auto" w:fill="auto"/>
            <w:vAlign w:val="center"/>
          </w:tcPr>
          <w:p w14:paraId="33EC8AB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3.34</w:t>
            </w:r>
          </w:p>
        </w:tc>
        <w:tc>
          <w:tcPr>
            <w:tcW w:w="537" w:type="pct"/>
            <w:vAlign w:val="center"/>
          </w:tcPr>
          <w:p w14:paraId="38EB6EB1">
            <w:pPr>
              <w:pStyle w:val="31"/>
              <w:bidi w:val="0"/>
              <w:jc w:val="center"/>
              <w:rPr>
                <w:rFonts w:hint="default"/>
                <w:lang w:val="en-US" w:eastAsia="zh-CN"/>
              </w:rPr>
            </w:pPr>
            <w:r>
              <w:rPr>
                <w:rFonts w:hint="eastAsia"/>
                <w:lang w:val="en-US" w:eastAsia="zh-CN"/>
              </w:rPr>
              <w:t>250</w:t>
            </w:r>
          </w:p>
        </w:tc>
        <w:tc>
          <w:tcPr>
            <w:tcW w:w="399" w:type="pct"/>
            <w:vAlign w:val="center"/>
          </w:tcPr>
          <w:p w14:paraId="69AE3E69">
            <w:pPr>
              <w:pStyle w:val="31"/>
              <w:bidi w:val="0"/>
              <w:rPr>
                <w:rFonts w:hint="default"/>
                <w:lang w:val="en-US" w:eastAsia="zh-CN"/>
              </w:rPr>
            </w:pPr>
            <w:r>
              <w:rPr>
                <w:rFonts w:hint="eastAsia"/>
                <w:lang w:val="en-US" w:eastAsia="zh-CN"/>
              </w:rPr>
              <w:t>达标</w:t>
            </w:r>
          </w:p>
        </w:tc>
      </w:tr>
      <w:tr w14:paraId="03CD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394618D6">
            <w:pPr>
              <w:pStyle w:val="31"/>
              <w:bidi w:val="0"/>
              <w:jc w:val="center"/>
              <w:rPr>
                <w:rFonts w:hint="default"/>
                <w:lang w:val="en-US" w:eastAsia="zh-CN"/>
              </w:rPr>
            </w:pPr>
            <w:r>
              <w:rPr>
                <w:rFonts w:hint="eastAsia"/>
                <w:lang w:val="en-US" w:eastAsia="zh-CN"/>
              </w:rPr>
              <w:t>20</w:t>
            </w:r>
          </w:p>
        </w:tc>
        <w:tc>
          <w:tcPr>
            <w:tcW w:w="928" w:type="pct"/>
            <w:vAlign w:val="center"/>
          </w:tcPr>
          <w:p w14:paraId="44042756">
            <w:pPr>
              <w:pStyle w:val="31"/>
              <w:bidi w:val="0"/>
              <w:jc w:val="center"/>
              <w:rPr>
                <w:rFonts w:hint="default"/>
                <w:lang w:val="en-US" w:eastAsia="zh-CN"/>
              </w:rPr>
            </w:pPr>
            <w:r>
              <w:rPr>
                <w:rFonts w:hint="eastAsia"/>
                <w:lang w:val="en-US" w:eastAsia="zh-CN"/>
              </w:rPr>
              <w:t>总大肠菌群</w:t>
            </w:r>
          </w:p>
        </w:tc>
        <w:tc>
          <w:tcPr>
            <w:tcW w:w="796" w:type="pct"/>
            <w:vAlign w:val="center"/>
          </w:tcPr>
          <w:p w14:paraId="0F8E7D5C">
            <w:pPr>
              <w:pStyle w:val="31"/>
              <w:bidi w:val="0"/>
              <w:rPr>
                <w:rFonts w:hint="default"/>
                <w:lang w:val="en-US" w:eastAsia="zh-CN"/>
              </w:rPr>
            </w:pPr>
            <w:r>
              <w:rPr>
                <w:rFonts w:hint="eastAsia"/>
                <w:lang w:val="en-US" w:eastAsia="zh-CN"/>
              </w:rPr>
              <w:t>MPN/100ml</w:t>
            </w:r>
          </w:p>
        </w:tc>
        <w:tc>
          <w:tcPr>
            <w:tcW w:w="645" w:type="pct"/>
            <w:vAlign w:val="center"/>
          </w:tcPr>
          <w:p w14:paraId="1FBB5936">
            <w:pPr>
              <w:pStyle w:val="31"/>
              <w:bidi w:val="0"/>
              <w:jc w:val="center"/>
              <w:rPr>
                <w:rFonts w:hint="default"/>
                <w:lang w:val="en-US" w:eastAsia="zh-CN"/>
              </w:rPr>
            </w:pPr>
            <w:r>
              <w:rPr>
                <w:rFonts w:hint="eastAsia"/>
                <w:lang w:val="en-US" w:eastAsia="zh-CN"/>
              </w:rPr>
              <w:t>未检出</w:t>
            </w:r>
          </w:p>
        </w:tc>
        <w:tc>
          <w:tcPr>
            <w:tcW w:w="645" w:type="pct"/>
            <w:vAlign w:val="center"/>
          </w:tcPr>
          <w:p w14:paraId="7BD05675">
            <w:pPr>
              <w:pStyle w:val="31"/>
              <w:bidi w:val="0"/>
              <w:jc w:val="center"/>
              <w:rPr>
                <w:rFonts w:hint="default"/>
                <w:lang w:val="en-US" w:eastAsia="zh-CN"/>
              </w:rPr>
            </w:pPr>
            <w:r>
              <w:rPr>
                <w:rFonts w:hint="eastAsia"/>
                <w:lang w:val="en-US" w:eastAsia="zh-CN"/>
              </w:rPr>
              <w:t>未检出</w:t>
            </w:r>
          </w:p>
        </w:tc>
        <w:tc>
          <w:tcPr>
            <w:tcW w:w="646" w:type="pct"/>
            <w:vAlign w:val="center"/>
          </w:tcPr>
          <w:p w14:paraId="324FE566">
            <w:pPr>
              <w:pStyle w:val="31"/>
              <w:bidi w:val="0"/>
              <w:jc w:val="center"/>
              <w:rPr>
                <w:rFonts w:hint="default"/>
                <w:lang w:val="en-US" w:eastAsia="zh-CN"/>
              </w:rPr>
            </w:pPr>
            <w:r>
              <w:rPr>
                <w:rFonts w:hint="eastAsia"/>
                <w:lang w:val="en-US" w:eastAsia="zh-CN"/>
              </w:rPr>
              <w:t>未检出</w:t>
            </w:r>
          </w:p>
        </w:tc>
        <w:tc>
          <w:tcPr>
            <w:tcW w:w="537" w:type="pct"/>
            <w:vAlign w:val="center"/>
          </w:tcPr>
          <w:p w14:paraId="6E7CF74F">
            <w:pPr>
              <w:pStyle w:val="31"/>
              <w:bidi w:val="0"/>
              <w:jc w:val="center"/>
              <w:rPr>
                <w:rFonts w:hint="default"/>
                <w:lang w:val="en-US" w:eastAsia="zh-CN"/>
              </w:rPr>
            </w:pPr>
            <w:r>
              <w:rPr>
                <w:rFonts w:hint="eastAsia"/>
                <w:lang w:val="en-US" w:eastAsia="zh-CN"/>
              </w:rPr>
              <w:t>3.0</w:t>
            </w:r>
          </w:p>
        </w:tc>
        <w:tc>
          <w:tcPr>
            <w:tcW w:w="399" w:type="pct"/>
            <w:vAlign w:val="center"/>
          </w:tcPr>
          <w:p w14:paraId="72FDFC0F">
            <w:pPr>
              <w:pStyle w:val="31"/>
              <w:bidi w:val="0"/>
              <w:rPr>
                <w:rFonts w:hint="default"/>
                <w:lang w:val="en-US" w:eastAsia="zh-CN"/>
              </w:rPr>
            </w:pPr>
            <w:r>
              <w:rPr>
                <w:rFonts w:hint="eastAsia"/>
                <w:lang w:val="en-US" w:eastAsia="zh-CN"/>
              </w:rPr>
              <w:t>达标</w:t>
            </w:r>
          </w:p>
        </w:tc>
      </w:tr>
      <w:tr w14:paraId="2097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9" w:type="pct"/>
            <w:vAlign w:val="center"/>
          </w:tcPr>
          <w:p w14:paraId="3F375051">
            <w:pPr>
              <w:pStyle w:val="31"/>
              <w:bidi w:val="0"/>
              <w:jc w:val="center"/>
              <w:rPr>
                <w:rFonts w:hint="default"/>
                <w:lang w:val="en-US" w:eastAsia="zh-CN"/>
              </w:rPr>
            </w:pPr>
            <w:r>
              <w:rPr>
                <w:rFonts w:hint="eastAsia"/>
                <w:lang w:val="en-US" w:eastAsia="zh-CN"/>
              </w:rPr>
              <w:t>21</w:t>
            </w:r>
          </w:p>
        </w:tc>
        <w:tc>
          <w:tcPr>
            <w:tcW w:w="928" w:type="pct"/>
            <w:vAlign w:val="center"/>
          </w:tcPr>
          <w:p w14:paraId="2FF8156D">
            <w:pPr>
              <w:pStyle w:val="31"/>
              <w:bidi w:val="0"/>
              <w:jc w:val="center"/>
              <w:rPr>
                <w:rFonts w:hint="default"/>
                <w:lang w:val="en-US" w:eastAsia="zh-CN"/>
              </w:rPr>
            </w:pPr>
            <w:r>
              <w:rPr>
                <w:rFonts w:hint="eastAsia"/>
                <w:lang w:val="en-US" w:eastAsia="zh-CN"/>
              </w:rPr>
              <w:t>菌落总数</w:t>
            </w:r>
          </w:p>
        </w:tc>
        <w:tc>
          <w:tcPr>
            <w:tcW w:w="796" w:type="pct"/>
            <w:vAlign w:val="center"/>
          </w:tcPr>
          <w:p w14:paraId="067B3167">
            <w:pPr>
              <w:pStyle w:val="31"/>
              <w:bidi w:val="0"/>
              <w:rPr>
                <w:rFonts w:hint="default"/>
                <w:lang w:val="en-US" w:eastAsia="zh-CN"/>
              </w:rPr>
            </w:pPr>
            <w:r>
              <w:rPr>
                <w:rFonts w:hint="eastAsia"/>
                <w:lang w:val="en-US" w:eastAsia="zh-CN"/>
              </w:rPr>
              <w:t>CFU/ml</w:t>
            </w:r>
          </w:p>
        </w:tc>
        <w:tc>
          <w:tcPr>
            <w:tcW w:w="645" w:type="pct"/>
            <w:vAlign w:val="center"/>
          </w:tcPr>
          <w:p w14:paraId="263E5072">
            <w:pPr>
              <w:pStyle w:val="31"/>
              <w:bidi w:val="0"/>
              <w:jc w:val="center"/>
              <w:rPr>
                <w:rFonts w:hint="default"/>
                <w:lang w:val="en-US" w:eastAsia="zh-CN"/>
              </w:rPr>
            </w:pPr>
            <w:r>
              <w:rPr>
                <w:rFonts w:hint="eastAsia"/>
                <w:lang w:val="en-US" w:eastAsia="zh-CN"/>
              </w:rPr>
              <w:t>42</w:t>
            </w:r>
          </w:p>
        </w:tc>
        <w:tc>
          <w:tcPr>
            <w:tcW w:w="645" w:type="pct"/>
            <w:vAlign w:val="center"/>
          </w:tcPr>
          <w:p w14:paraId="52AD87D9">
            <w:pPr>
              <w:pStyle w:val="31"/>
              <w:bidi w:val="0"/>
              <w:jc w:val="center"/>
              <w:rPr>
                <w:rFonts w:hint="default"/>
                <w:lang w:val="en-US" w:eastAsia="zh-CN"/>
              </w:rPr>
            </w:pPr>
            <w:r>
              <w:rPr>
                <w:rFonts w:hint="eastAsia"/>
                <w:lang w:val="en-US" w:eastAsia="zh-CN"/>
              </w:rPr>
              <w:t>39</w:t>
            </w:r>
          </w:p>
        </w:tc>
        <w:tc>
          <w:tcPr>
            <w:tcW w:w="646" w:type="pct"/>
            <w:vAlign w:val="center"/>
          </w:tcPr>
          <w:p w14:paraId="66D1B770">
            <w:pPr>
              <w:pStyle w:val="31"/>
              <w:bidi w:val="0"/>
              <w:jc w:val="center"/>
              <w:rPr>
                <w:rFonts w:hint="default"/>
                <w:lang w:val="en-US" w:eastAsia="zh-CN"/>
              </w:rPr>
            </w:pPr>
            <w:r>
              <w:rPr>
                <w:rFonts w:hint="eastAsia"/>
                <w:lang w:val="en-US" w:eastAsia="zh-CN"/>
              </w:rPr>
              <w:t>33</w:t>
            </w:r>
          </w:p>
        </w:tc>
        <w:tc>
          <w:tcPr>
            <w:tcW w:w="537" w:type="pct"/>
            <w:vAlign w:val="center"/>
          </w:tcPr>
          <w:p w14:paraId="47D320FE">
            <w:pPr>
              <w:pStyle w:val="31"/>
              <w:bidi w:val="0"/>
              <w:jc w:val="center"/>
              <w:rPr>
                <w:rFonts w:hint="default"/>
                <w:lang w:val="en-US" w:eastAsia="zh-CN"/>
              </w:rPr>
            </w:pPr>
            <w:r>
              <w:rPr>
                <w:rFonts w:hint="eastAsia"/>
                <w:lang w:val="en-US" w:eastAsia="zh-CN"/>
              </w:rPr>
              <w:t>100</w:t>
            </w:r>
          </w:p>
        </w:tc>
        <w:tc>
          <w:tcPr>
            <w:tcW w:w="399" w:type="pct"/>
            <w:vAlign w:val="center"/>
          </w:tcPr>
          <w:p w14:paraId="49F98C7C">
            <w:pPr>
              <w:pStyle w:val="31"/>
              <w:bidi w:val="0"/>
              <w:rPr>
                <w:rFonts w:hint="default"/>
                <w:lang w:val="en-US" w:eastAsia="zh-CN"/>
              </w:rPr>
            </w:pPr>
            <w:r>
              <w:rPr>
                <w:rFonts w:hint="eastAsia"/>
                <w:lang w:val="en-US" w:eastAsia="zh-CN"/>
              </w:rPr>
              <w:t>达标</w:t>
            </w:r>
          </w:p>
        </w:tc>
      </w:tr>
      <w:tr w14:paraId="237E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42561DFB">
            <w:pPr>
              <w:pStyle w:val="31"/>
              <w:bidi w:val="0"/>
              <w:jc w:val="center"/>
              <w:rPr>
                <w:rFonts w:hint="default"/>
                <w:lang w:val="en-US" w:eastAsia="zh-CN"/>
              </w:rPr>
            </w:pPr>
            <w:r>
              <w:rPr>
                <w:rFonts w:hint="eastAsia"/>
                <w:lang w:val="en-US" w:eastAsia="zh-CN"/>
              </w:rPr>
              <w:t>22</w:t>
            </w:r>
          </w:p>
        </w:tc>
        <w:tc>
          <w:tcPr>
            <w:tcW w:w="928" w:type="pct"/>
            <w:vAlign w:val="center"/>
          </w:tcPr>
          <w:p w14:paraId="0CE754B8">
            <w:pPr>
              <w:pStyle w:val="31"/>
              <w:bidi w:val="0"/>
              <w:jc w:val="center"/>
              <w:rPr>
                <w:rFonts w:hint="default"/>
                <w:vertAlign w:val="baseline"/>
                <w:lang w:val="en-US" w:eastAsia="zh-CN"/>
              </w:rPr>
            </w:pPr>
            <w:r>
              <w:rPr>
                <w:rFonts w:hint="eastAsia"/>
                <w:lang w:val="en-US" w:eastAsia="zh-CN"/>
              </w:rPr>
              <w:t>K</w:t>
            </w:r>
            <w:r>
              <w:rPr>
                <w:rFonts w:hint="eastAsia"/>
                <w:vertAlign w:val="superscript"/>
                <w:lang w:val="en-US" w:eastAsia="zh-CN"/>
              </w:rPr>
              <w:t>+</w:t>
            </w:r>
          </w:p>
        </w:tc>
        <w:tc>
          <w:tcPr>
            <w:tcW w:w="796" w:type="pct"/>
            <w:vAlign w:val="center"/>
          </w:tcPr>
          <w:p w14:paraId="15A9E69B">
            <w:pPr>
              <w:pStyle w:val="31"/>
              <w:bidi w:val="0"/>
              <w:rPr>
                <w:rFonts w:hint="default"/>
                <w:lang w:val="en-US" w:eastAsia="zh-CN"/>
              </w:rPr>
            </w:pPr>
            <w:r>
              <w:rPr>
                <w:rFonts w:hint="eastAsia"/>
                <w:lang w:val="en-US" w:eastAsia="zh-CN"/>
              </w:rPr>
              <w:t>mg/L</w:t>
            </w:r>
          </w:p>
        </w:tc>
        <w:tc>
          <w:tcPr>
            <w:tcW w:w="645" w:type="pct"/>
            <w:vAlign w:val="center"/>
          </w:tcPr>
          <w:p w14:paraId="029B2D41">
            <w:pPr>
              <w:pStyle w:val="31"/>
              <w:bidi w:val="0"/>
              <w:jc w:val="center"/>
              <w:rPr>
                <w:rFonts w:hint="default"/>
                <w:lang w:val="en-US" w:eastAsia="zh-CN"/>
              </w:rPr>
            </w:pPr>
            <w:r>
              <w:rPr>
                <w:rFonts w:hint="eastAsia"/>
                <w:lang w:val="en-US" w:eastAsia="zh-CN"/>
              </w:rPr>
              <w:t>11.6</w:t>
            </w:r>
          </w:p>
        </w:tc>
        <w:tc>
          <w:tcPr>
            <w:tcW w:w="645" w:type="pct"/>
            <w:vAlign w:val="center"/>
          </w:tcPr>
          <w:p w14:paraId="6F057B66">
            <w:pPr>
              <w:pStyle w:val="31"/>
              <w:bidi w:val="0"/>
              <w:jc w:val="center"/>
              <w:rPr>
                <w:rFonts w:hint="default"/>
                <w:lang w:val="en-US" w:eastAsia="zh-CN"/>
              </w:rPr>
            </w:pPr>
            <w:r>
              <w:rPr>
                <w:rFonts w:hint="eastAsia"/>
                <w:lang w:val="en-US" w:eastAsia="zh-CN"/>
              </w:rPr>
              <w:t>11.9</w:t>
            </w:r>
          </w:p>
        </w:tc>
        <w:tc>
          <w:tcPr>
            <w:tcW w:w="646" w:type="pct"/>
            <w:vAlign w:val="center"/>
          </w:tcPr>
          <w:p w14:paraId="26548B48">
            <w:pPr>
              <w:pStyle w:val="31"/>
              <w:bidi w:val="0"/>
              <w:jc w:val="center"/>
              <w:rPr>
                <w:rFonts w:hint="default"/>
                <w:lang w:val="en-US" w:eastAsia="zh-CN"/>
              </w:rPr>
            </w:pPr>
            <w:r>
              <w:rPr>
                <w:rFonts w:hint="eastAsia"/>
                <w:lang w:val="en-US" w:eastAsia="zh-CN"/>
              </w:rPr>
              <w:t>17.7</w:t>
            </w:r>
          </w:p>
        </w:tc>
        <w:tc>
          <w:tcPr>
            <w:tcW w:w="537" w:type="pct"/>
            <w:vAlign w:val="center"/>
          </w:tcPr>
          <w:p w14:paraId="2AC59E8A">
            <w:pPr>
              <w:pStyle w:val="31"/>
              <w:bidi w:val="0"/>
              <w:jc w:val="center"/>
              <w:rPr>
                <w:rFonts w:hint="default"/>
                <w:lang w:val="en-US" w:eastAsia="zh-CN"/>
              </w:rPr>
            </w:pPr>
            <w:r>
              <w:rPr>
                <w:rFonts w:hint="eastAsia"/>
                <w:lang w:val="en-US" w:eastAsia="zh-CN"/>
              </w:rPr>
              <w:t>/</w:t>
            </w:r>
          </w:p>
        </w:tc>
        <w:tc>
          <w:tcPr>
            <w:tcW w:w="399" w:type="pct"/>
            <w:vAlign w:val="center"/>
          </w:tcPr>
          <w:p w14:paraId="0292B60E">
            <w:pPr>
              <w:pStyle w:val="31"/>
              <w:bidi w:val="0"/>
              <w:jc w:val="center"/>
              <w:rPr>
                <w:rFonts w:hint="default"/>
                <w:lang w:val="en-US" w:eastAsia="zh-CN"/>
              </w:rPr>
            </w:pPr>
            <w:r>
              <w:rPr>
                <w:rFonts w:hint="eastAsia"/>
                <w:lang w:val="en-US" w:eastAsia="zh-CN"/>
              </w:rPr>
              <w:t>/</w:t>
            </w:r>
          </w:p>
        </w:tc>
      </w:tr>
      <w:tr w14:paraId="65695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0E5AC70C">
            <w:pPr>
              <w:pStyle w:val="31"/>
              <w:bidi w:val="0"/>
              <w:jc w:val="center"/>
              <w:rPr>
                <w:rFonts w:hint="default"/>
                <w:lang w:val="en-US" w:eastAsia="zh-CN"/>
              </w:rPr>
            </w:pPr>
            <w:r>
              <w:rPr>
                <w:rFonts w:hint="eastAsia"/>
                <w:lang w:val="en-US" w:eastAsia="zh-CN"/>
              </w:rPr>
              <w:t>23</w:t>
            </w:r>
          </w:p>
        </w:tc>
        <w:tc>
          <w:tcPr>
            <w:tcW w:w="928" w:type="pct"/>
            <w:vAlign w:val="center"/>
          </w:tcPr>
          <w:p w14:paraId="419A75F9">
            <w:pPr>
              <w:pStyle w:val="31"/>
              <w:bidi w:val="0"/>
              <w:jc w:val="center"/>
              <w:rPr>
                <w:rFonts w:hint="default"/>
                <w:vertAlign w:val="baseline"/>
                <w:lang w:val="en-US" w:eastAsia="zh-CN"/>
              </w:rPr>
            </w:pPr>
            <w:r>
              <w:rPr>
                <w:rFonts w:hint="eastAsia"/>
                <w:lang w:val="en-US" w:eastAsia="zh-CN"/>
              </w:rPr>
              <w:t>Na</w:t>
            </w:r>
            <w:r>
              <w:rPr>
                <w:rFonts w:hint="eastAsia"/>
                <w:vertAlign w:val="superscript"/>
                <w:lang w:val="en-US" w:eastAsia="zh-CN"/>
              </w:rPr>
              <w:t>+</w:t>
            </w:r>
          </w:p>
        </w:tc>
        <w:tc>
          <w:tcPr>
            <w:tcW w:w="796" w:type="pct"/>
            <w:vAlign w:val="center"/>
          </w:tcPr>
          <w:p w14:paraId="0918E416">
            <w:pPr>
              <w:pStyle w:val="31"/>
              <w:bidi w:val="0"/>
              <w:rPr>
                <w:rFonts w:hint="default"/>
                <w:lang w:val="en-US" w:eastAsia="zh-CN"/>
              </w:rPr>
            </w:pPr>
            <w:r>
              <w:rPr>
                <w:rFonts w:hint="eastAsia"/>
                <w:lang w:val="en-US" w:eastAsia="zh-CN"/>
              </w:rPr>
              <w:t>mg/L</w:t>
            </w:r>
          </w:p>
        </w:tc>
        <w:tc>
          <w:tcPr>
            <w:tcW w:w="645" w:type="pct"/>
            <w:vAlign w:val="center"/>
          </w:tcPr>
          <w:p w14:paraId="3DE7C82C">
            <w:pPr>
              <w:pStyle w:val="31"/>
              <w:bidi w:val="0"/>
              <w:jc w:val="center"/>
              <w:rPr>
                <w:rFonts w:hint="default"/>
                <w:lang w:val="en-US" w:eastAsia="zh-CN"/>
              </w:rPr>
            </w:pPr>
            <w:r>
              <w:rPr>
                <w:rFonts w:hint="eastAsia"/>
                <w:lang w:val="en-US" w:eastAsia="zh-CN"/>
              </w:rPr>
              <w:t>8.96</w:t>
            </w:r>
          </w:p>
        </w:tc>
        <w:tc>
          <w:tcPr>
            <w:tcW w:w="645" w:type="pct"/>
            <w:vAlign w:val="center"/>
          </w:tcPr>
          <w:p w14:paraId="56754153">
            <w:pPr>
              <w:pStyle w:val="31"/>
              <w:bidi w:val="0"/>
              <w:jc w:val="center"/>
              <w:rPr>
                <w:rFonts w:hint="default"/>
                <w:lang w:val="en-US" w:eastAsia="zh-CN"/>
              </w:rPr>
            </w:pPr>
            <w:r>
              <w:rPr>
                <w:rFonts w:hint="eastAsia"/>
                <w:lang w:val="en-US" w:eastAsia="zh-CN"/>
              </w:rPr>
              <w:t>13.2</w:t>
            </w:r>
          </w:p>
        </w:tc>
        <w:tc>
          <w:tcPr>
            <w:tcW w:w="646" w:type="pct"/>
            <w:vAlign w:val="center"/>
          </w:tcPr>
          <w:p w14:paraId="28B0003D">
            <w:pPr>
              <w:pStyle w:val="31"/>
              <w:bidi w:val="0"/>
              <w:jc w:val="center"/>
              <w:rPr>
                <w:rFonts w:hint="default"/>
                <w:lang w:val="en-US" w:eastAsia="zh-CN"/>
              </w:rPr>
            </w:pPr>
            <w:r>
              <w:rPr>
                <w:rFonts w:hint="eastAsia"/>
                <w:lang w:val="en-US" w:eastAsia="zh-CN"/>
              </w:rPr>
              <w:t>4.34</w:t>
            </w:r>
          </w:p>
        </w:tc>
        <w:tc>
          <w:tcPr>
            <w:tcW w:w="537" w:type="pct"/>
            <w:vAlign w:val="center"/>
          </w:tcPr>
          <w:p w14:paraId="5AE873A6">
            <w:pPr>
              <w:pStyle w:val="31"/>
              <w:bidi w:val="0"/>
              <w:jc w:val="center"/>
              <w:rPr>
                <w:rFonts w:hint="default"/>
                <w:lang w:val="en-US" w:eastAsia="zh-CN"/>
              </w:rPr>
            </w:pPr>
            <w:r>
              <w:rPr>
                <w:rFonts w:hint="eastAsia"/>
                <w:lang w:val="en-US" w:eastAsia="zh-CN"/>
              </w:rPr>
              <w:t>200</w:t>
            </w:r>
          </w:p>
        </w:tc>
        <w:tc>
          <w:tcPr>
            <w:tcW w:w="399" w:type="pct"/>
            <w:vAlign w:val="center"/>
          </w:tcPr>
          <w:p w14:paraId="1D377E14">
            <w:pPr>
              <w:pStyle w:val="31"/>
              <w:bidi w:val="0"/>
              <w:jc w:val="center"/>
              <w:rPr>
                <w:rFonts w:hint="default"/>
                <w:lang w:val="en-US" w:eastAsia="zh-CN"/>
              </w:rPr>
            </w:pPr>
            <w:r>
              <w:rPr>
                <w:rFonts w:hint="eastAsia"/>
                <w:lang w:val="en-US" w:eastAsia="zh-CN"/>
              </w:rPr>
              <w:t>达标</w:t>
            </w:r>
          </w:p>
        </w:tc>
      </w:tr>
      <w:tr w14:paraId="53C5B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5FE1B932">
            <w:pPr>
              <w:pStyle w:val="31"/>
              <w:bidi w:val="0"/>
              <w:jc w:val="center"/>
              <w:rPr>
                <w:rFonts w:hint="default"/>
                <w:lang w:val="en-US" w:eastAsia="zh-CN"/>
              </w:rPr>
            </w:pPr>
            <w:r>
              <w:rPr>
                <w:rFonts w:hint="eastAsia"/>
                <w:lang w:val="en-US" w:eastAsia="zh-CN"/>
              </w:rPr>
              <w:t>24</w:t>
            </w:r>
          </w:p>
        </w:tc>
        <w:tc>
          <w:tcPr>
            <w:tcW w:w="928" w:type="pct"/>
            <w:vAlign w:val="center"/>
          </w:tcPr>
          <w:p w14:paraId="1B6535DF">
            <w:pPr>
              <w:pStyle w:val="31"/>
              <w:bidi w:val="0"/>
              <w:jc w:val="center"/>
              <w:rPr>
                <w:rFonts w:hint="default"/>
                <w:vertAlign w:val="superscript"/>
                <w:lang w:val="en-US" w:eastAsia="zh-CN"/>
              </w:rPr>
            </w:pPr>
            <w:r>
              <w:rPr>
                <w:rFonts w:hint="eastAsia"/>
                <w:lang w:val="en-US" w:eastAsia="zh-CN"/>
              </w:rPr>
              <w:t>Ca</w:t>
            </w:r>
            <w:r>
              <w:rPr>
                <w:rFonts w:hint="eastAsia"/>
                <w:vertAlign w:val="superscript"/>
                <w:lang w:val="en-US" w:eastAsia="zh-CN"/>
              </w:rPr>
              <w:t>2+</w:t>
            </w:r>
          </w:p>
        </w:tc>
        <w:tc>
          <w:tcPr>
            <w:tcW w:w="796" w:type="pct"/>
            <w:vAlign w:val="center"/>
          </w:tcPr>
          <w:p w14:paraId="38871B92">
            <w:pPr>
              <w:pStyle w:val="31"/>
              <w:bidi w:val="0"/>
              <w:rPr>
                <w:rFonts w:hint="default"/>
                <w:lang w:val="en-US" w:eastAsia="zh-CN"/>
              </w:rPr>
            </w:pPr>
            <w:r>
              <w:rPr>
                <w:rFonts w:hint="eastAsia"/>
                <w:lang w:val="en-US" w:eastAsia="zh-CN"/>
              </w:rPr>
              <w:t>mg/L</w:t>
            </w:r>
          </w:p>
        </w:tc>
        <w:tc>
          <w:tcPr>
            <w:tcW w:w="645" w:type="pct"/>
            <w:vAlign w:val="center"/>
          </w:tcPr>
          <w:p w14:paraId="7CEC50D6">
            <w:pPr>
              <w:pStyle w:val="31"/>
              <w:bidi w:val="0"/>
              <w:jc w:val="center"/>
              <w:rPr>
                <w:rFonts w:hint="default"/>
                <w:lang w:val="en-US" w:eastAsia="zh-CN"/>
              </w:rPr>
            </w:pPr>
            <w:r>
              <w:rPr>
                <w:rFonts w:hint="eastAsia"/>
                <w:lang w:val="en-US" w:eastAsia="zh-CN"/>
              </w:rPr>
              <w:t>53.0</w:t>
            </w:r>
          </w:p>
        </w:tc>
        <w:tc>
          <w:tcPr>
            <w:tcW w:w="645" w:type="pct"/>
            <w:vAlign w:val="center"/>
          </w:tcPr>
          <w:p w14:paraId="10920F24">
            <w:pPr>
              <w:pStyle w:val="31"/>
              <w:bidi w:val="0"/>
              <w:jc w:val="center"/>
              <w:rPr>
                <w:rFonts w:hint="default"/>
                <w:lang w:val="en-US" w:eastAsia="zh-CN"/>
              </w:rPr>
            </w:pPr>
            <w:r>
              <w:rPr>
                <w:rFonts w:hint="eastAsia"/>
                <w:lang w:val="en-US" w:eastAsia="zh-CN"/>
              </w:rPr>
              <w:t>39.5</w:t>
            </w:r>
          </w:p>
        </w:tc>
        <w:tc>
          <w:tcPr>
            <w:tcW w:w="646" w:type="pct"/>
            <w:vAlign w:val="center"/>
          </w:tcPr>
          <w:p w14:paraId="5EBCC6E6">
            <w:pPr>
              <w:pStyle w:val="31"/>
              <w:bidi w:val="0"/>
              <w:jc w:val="center"/>
              <w:rPr>
                <w:rFonts w:hint="default"/>
                <w:lang w:val="en-US" w:eastAsia="zh-CN"/>
              </w:rPr>
            </w:pPr>
            <w:r>
              <w:rPr>
                <w:rFonts w:hint="eastAsia"/>
                <w:lang w:val="en-US" w:eastAsia="zh-CN"/>
              </w:rPr>
              <w:t>0.03L</w:t>
            </w:r>
          </w:p>
        </w:tc>
        <w:tc>
          <w:tcPr>
            <w:tcW w:w="537" w:type="pct"/>
            <w:vAlign w:val="center"/>
          </w:tcPr>
          <w:p w14:paraId="439DC86E">
            <w:pPr>
              <w:pStyle w:val="31"/>
              <w:bidi w:val="0"/>
              <w:jc w:val="center"/>
              <w:rPr>
                <w:rFonts w:hint="default"/>
                <w:lang w:val="en-US" w:eastAsia="zh-CN"/>
              </w:rPr>
            </w:pPr>
            <w:r>
              <w:rPr>
                <w:rFonts w:hint="eastAsia"/>
                <w:lang w:val="en-US" w:eastAsia="zh-CN"/>
              </w:rPr>
              <w:t>/</w:t>
            </w:r>
          </w:p>
        </w:tc>
        <w:tc>
          <w:tcPr>
            <w:tcW w:w="399" w:type="pct"/>
            <w:vAlign w:val="center"/>
          </w:tcPr>
          <w:p w14:paraId="056C16C3">
            <w:pPr>
              <w:pStyle w:val="31"/>
              <w:bidi w:val="0"/>
              <w:jc w:val="center"/>
              <w:rPr>
                <w:rFonts w:hint="default"/>
                <w:lang w:val="en-US" w:eastAsia="zh-CN"/>
              </w:rPr>
            </w:pPr>
            <w:r>
              <w:rPr>
                <w:rFonts w:hint="eastAsia"/>
                <w:lang w:val="en-US" w:eastAsia="zh-CN"/>
              </w:rPr>
              <w:t>/</w:t>
            </w:r>
          </w:p>
        </w:tc>
      </w:tr>
      <w:tr w14:paraId="65BF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3E04FBC8">
            <w:pPr>
              <w:pStyle w:val="31"/>
              <w:bidi w:val="0"/>
              <w:jc w:val="center"/>
              <w:rPr>
                <w:rFonts w:hint="default"/>
                <w:lang w:val="en-US" w:eastAsia="zh-CN"/>
              </w:rPr>
            </w:pPr>
            <w:r>
              <w:rPr>
                <w:rFonts w:hint="eastAsia"/>
                <w:lang w:val="en-US" w:eastAsia="zh-CN"/>
              </w:rPr>
              <w:t>25</w:t>
            </w:r>
          </w:p>
        </w:tc>
        <w:tc>
          <w:tcPr>
            <w:tcW w:w="928" w:type="pct"/>
            <w:vAlign w:val="center"/>
          </w:tcPr>
          <w:p w14:paraId="09588336">
            <w:pPr>
              <w:pStyle w:val="31"/>
              <w:bidi w:val="0"/>
              <w:jc w:val="center"/>
              <w:rPr>
                <w:rFonts w:hint="default"/>
                <w:vertAlign w:val="superscript"/>
                <w:lang w:val="en-US" w:eastAsia="zh-CN"/>
              </w:rPr>
            </w:pPr>
            <w:r>
              <w:rPr>
                <w:rFonts w:hint="eastAsia"/>
                <w:lang w:val="en-US" w:eastAsia="zh-CN"/>
              </w:rPr>
              <w:t>Mg</w:t>
            </w:r>
            <w:r>
              <w:rPr>
                <w:rFonts w:hint="eastAsia"/>
                <w:vertAlign w:val="superscript"/>
                <w:lang w:val="en-US" w:eastAsia="zh-CN"/>
              </w:rPr>
              <w:t>2+</w:t>
            </w:r>
          </w:p>
        </w:tc>
        <w:tc>
          <w:tcPr>
            <w:tcW w:w="796" w:type="pct"/>
            <w:vAlign w:val="center"/>
          </w:tcPr>
          <w:p w14:paraId="1AB106D0">
            <w:pPr>
              <w:pStyle w:val="31"/>
              <w:bidi w:val="0"/>
              <w:rPr>
                <w:rFonts w:hint="default"/>
                <w:lang w:val="en-US" w:eastAsia="zh-CN"/>
              </w:rPr>
            </w:pPr>
            <w:r>
              <w:rPr>
                <w:rFonts w:hint="eastAsia"/>
                <w:lang w:val="en-US" w:eastAsia="zh-CN"/>
              </w:rPr>
              <w:t>mg/L</w:t>
            </w:r>
          </w:p>
        </w:tc>
        <w:tc>
          <w:tcPr>
            <w:tcW w:w="645" w:type="pct"/>
            <w:vAlign w:val="center"/>
          </w:tcPr>
          <w:p w14:paraId="28D51FC1">
            <w:pPr>
              <w:pStyle w:val="31"/>
              <w:bidi w:val="0"/>
              <w:jc w:val="center"/>
              <w:rPr>
                <w:rFonts w:hint="default"/>
                <w:lang w:val="en-US" w:eastAsia="zh-CN"/>
              </w:rPr>
            </w:pPr>
            <w:r>
              <w:rPr>
                <w:rFonts w:hint="eastAsia"/>
                <w:lang w:val="en-US" w:eastAsia="zh-CN"/>
              </w:rPr>
              <w:t>5.70</w:t>
            </w:r>
          </w:p>
        </w:tc>
        <w:tc>
          <w:tcPr>
            <w:tcW w:w="645" w:type="pct"/>
            <w:vAlign w:val="center"/>
          </w:tcPr>
          <w:p w14:paraId="5F07A6EE">
            <w:pPr>
              <w:pStyle w:val="31"/>
              <w:bidi w:val="0"/>
              <w:jc w:val="center"/>
              <w:rPr>
                <w:rFonts w:hint="default"/>
                <w:lang w:val="en-US" w:eastAsia="zh-CN"/>
              </w:rPr>
            </w:pPr>
            <w:r>
              <w:rPr>
                <w:rFonts w:hint="eastAsia"/>
                <w:lang w:val="en-US" w:eastAsia="zh-CN"/>
              </w:rPr>
              <w:t>5.93</w:t>
            </w:r>
          </w:p>
        </w:tc>
        <w:tc>
          <w:tcPr>
            <w:tcW w:w="646" w:type="pct"/>
            <w:vAlign w:val="center"/>
          </w:tcPr>
          <w:p w14:paraId="0C8253C5">
            <w:pPr>
              <w:pStyle w:val="31"/>
              <w:bidi w:val="0"/>
              <w:jc w:val="center"/>
              <w:rPr>
                <w:rFonts w:hint="default"/>
                <w:lang w:val="en-US" w:eastAsia="zh-CN"/>
              </w:rPr>
            </w:pPr>
            <w:r>
              <w:rPr>
                <w:rFonts w:hint="eastAsia"/>
                <w:lang w:val="en-US" w:eastAsia="zh-CN"/>
              </w:rPr>
              <w:t>0.03</w:t>
            </w:r>
          </w:p>
        </w:tc>
        <w:tc>
          <w:tcPr>
            <w:tcW w:w="537" w:type="pct"/>
            <w:vAlign w:val="center"/>
          </w:tcPr>
          <w:p w14:paraId="54B3AAAC">
            <w:pPr>
              <w:pStyle w:val="31"/>
              <w:bidi w:val="0"/>
              <w:jc w:val="center"/>
              <w:rPr>
                <w:rFonts w:hint="default"/>
                <w:lang w:val="en-US" w:eastAsia="zh-CN"/>
              </w:rPr>
            </w:pPr>
            <w:r>
              <w:rPr>
                <w:rFonts w:hint="eastAsia"/>
                <w:lang w:val="en-US" w:eastAsia="zh-CN"/>
              </w:rPr>
              <w:t>/</w:t>
            </w:r>
          </w:p>
        </w:tc>
        <w:tc>
          <w:tcPr>
            <w:tcW w:w="399" w:type="pct"/>
            <w:vAlign w:val="center"/>
          </w:tcPr>
          <w:p w14:paraId="428FAE99">
            <w:pPr>
              <w:pStyle w:val="31"/>
              <w:bidi w:val="0"/>
              <w:jc w:val="center"/>
              <w:rPr>
                <w:rFonts w:hint="default"/>
                <w:lang w:val="en-US" w:eastAsia="zh-CN"/>
              </w:rPr>
            </w:pPr>
            <w:r>
              <w:rPr>
                <w:rFonts w:hint="eastAsia"/>
                <w:lang w:val="en-US" w:eastAsia="zh-CN"/>
              </w:rPr>
              <w:t>/</w:t>
            </w:r>
          </w:p>
        </w:tc>
      </w:tr>
      <w:tr w14:paraId="18D6D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6825ED33">
            <w:pPr>
              <w:pStyle w:val="31"/>
              <w:bidi w:val="0"/>
              <w:jc w:val="center"/>
              <w:rPr>
                <w:rFonts w:hint="default"/>
                <w:lang w:val="en-US" w:eastAsia="zh-CN"/>
              </w:rPr>
            </w:pPr>
            <w:r>
              <w:rPr>
                <w:rFonts w:hint="eastAsia"/>
                <w:lang w:val="en-US" w:eastAsia="zh-CN"/>
              </w:rPr>
              <w:t>26</w:t>
            </w:r>
          </w:p>
        </w:tc>
        <w:tc>
          <w:tcPr>
            <w:tcW w:w="928" w:type="pct"/>
            <w:vAlign w:val="center"/>
          </w:tcPr>
          <w:p w14:paraId="2DC57F11">
            <w:pPr>
              <w:pStyle w:val="31"/>
              <w:bidi w:val="0"/>
              <w:jc w:val="center"/>
              <w:rPr>
                <w:rFonts w:hint="default"/>
                <w:vertAlign w:val="superscript"/>
                <w:lang w:val="en-US" w:eastAsia="zh-CN"/>
              </w:rPr>
            </w:pPr>
            <w:r>
              <w:rPr>
                <w:rFonts w:hint="eastAsia"/>
                <w:lang w:val="en-US" w:eastAsia="zh-CN"/>
              </w:rPr>
              <w:t>CO</w:t>
            </w:r>
            <w:r>
              <w:rPr>
                <w:rFonts w:hint="eastAsia"/>
                <w:vertAlign w:val="subscript"/>
                <w:lang w:val="en-US" w:eastAsia="zh-CN"/>
              </w:rPr>
              <w:t>3</w:t>
            </w:r>
            <w:r>
              <w:rPr>
                <w:rFonts w:hint="eastAsia"/>
                <w:vertAlign w:val="superscript"/>
                <w:lang w:val="en-US" w:eastAsia="zh-CN"/>
              </w:rPr>
              <w:t>2-</w:t>
            </w:r>
          </w:p>
        </w:tc>
        <w:tc>
          <w:tcPr>
            <w:tcW w:w="796" w:type="pct"/>
            <w:vAlign w:val="center"/>
          </w:tcPr>
          <w:p w14:paraId="0F7A25EA">
            <w:pPr>
              <w:pStyle w:val="31"/>
              <w:bidi w:val="0"/>
              <w:rPr>
                <w:rFonts w:hint="default"/>
                <w:lang w:val="en-US" w:eastAsia="zh-CN"/>
              </w:rPr>
            </w:pPr>
            <w:r>
              <w:rPr>
                <w:rFonts w:hint="eastAsia"/>
                <w:lang w:val="en-US" w:eastAsia="zh-CN"/>
              </w:rPr>
              <w:t>mg/L</w:t>
            </w:r>
          </w:p>
        </w:tc>
        <w:tc>
          <w:tcPr>
            <w:tcW w:w="645" w:type="pct"/>
            <w:vAlign w:val="center"/>
          </w:tcPr>
          <w:p w14:paraId="5D8395DB">
            <w:pPr>
              <w:pStyle w:val="31"/>
              <w:bidi w:val="0"/>
              <w:jc w:val="center"/>
              <w:rPr>
                <w:rFonts w:hint="default"/>
                <w:lang w:val="en-US" w:eastAsia="zh-CN"/>
              </w:rPr>
            </w:pPr>
            <w:r>
              <w:rPr>
                <w:rFonts w:hint="eastAsia"/>
                <w:lang w:val="en-US" w:eastAsia="zh-CN"/>
              </w:rPr>
              <w:t>5L</w:t>
            </w:r>
          </w:p>
        </w:tc>
        <w:tc>
          <w:tcPr>
            <w:tcW w:w="645" w:type="pct"/>
            <w:vAlign w:val="center"/>
          </w:tcPr>
          <w:p w14:paraId="55E479E9">
            <w:pPr>
              <w:pStyle w:val="31"/>
              <w:bidi w:val="0"/>
              <w:jc w:val="center"/>
              <w:rPr>
                <w:rFonts w:hint="default"/>
                <w:lang w:val="en-US" w:eastAsia="zh-CN"/>
              </w:rPr>
            </w:pPr>
            <w:r>
              <w:rPr>
                <w:rFonts w:hint="eastAsia"/>
                <w:lang w:val="en-US" w:eastAsia="zh-CN"/>
              </w:rPr>
              <w:t>5L</w:t>
            </w:r>
          </w:p>
        </w:tc>
        <w:tc>
          <w:tcPr>
            <w:tcW w:w="646" w:type="pct"/>
            <w:vAlign w:val="center"/>
          </w:tcPr>
          <w:p w14:paraId="5BA6F1EA">
            <w:pPr>
              <w:pStyle w:val="31"/>
              <w:bidi w:val="0"/>
              <w:jc w:val="center"/>
              <w:rPr>
                <w:rFonts w:hint="default"/>
                <w:lang w:val="en-US" w:eastAsia="zh-CN"/>
              </w:rPr>
            </w:pPr>
            <w:r>
              <w:rPr>
                <w:rFonts w:hint="eastAsia"/>
                <w:lang w:val="en-US" w:eastAsia="zh-CN"/>
              </w:rPr>
              <w:t>5L</w:t>
            </w:r>
          </w:p>
        </w:tc>
        <w:tc>
          <w:tcPr>
            <w:tcW w:w="537" w:type="pct"/>
            <w:vAlign w:val="center"/>
          </w:tcPr>
          <w:p w14:paraId="45AEC539">
            <w:pPr>
              <w:pStyle w:val="31"/>
              <w:bidi w:val="0"/>
              <w:jc w:val="center"/>
              <w:rPr>
                <w:rFonts w:hint="default"/>
                <w:lang w:val="en-US" w:eastAsia="zh-CN"/>
              </w:rPr>
            </w:pPr>
            <w:r>
              <w:rPr>
                <w:rFonts w:hint="eastAsia"/>
                <w:lang w:val="en-US" w:eastAsia="zh-CN"/>
              </w:rPr>
              <w:t>/</w:t>
            </w:r>
          </w:p>
        </w:tc>
        <w:tc>
          <w:tcPr>
            <w:tcW w:w="399" w:type="pct"/>
            <w:vAlign w:val="center"/>
          </w:tcPr>
          <w:p w14:paraId="499EFCF6">
            <w:pPr>
              <w:pStyle w:val="31"/>
              <w:bidi w:val="0"/>
              <w:jc w:val="center"/>
              <w:rPr>
                <w:rFonts w:hint="default"/>
                <w:lang w:val="en-US" w:eastAsia="zh-CN"/>
              </w:rPr>
            </w:pPr>
            <w:r>
              <w:rPr>
                <w:rFonts w:hint="eastAsia"/>
                <w:lang w:val="en-US" w:eastAsia="zh-CN"/>
              </w:rPr>
              <w:t>/</w:t>
            </w:r>
          </w:p>
        </w:tc>
      </w:tr>
      <w:tr w14:paraId="016C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2620FDB1">
            <w:pPr>
              <w:pStyle w:val="31"/>
              <w:bidi w:val="0"/>
              <w:jc w:val="center"/>
              <w:rPr>
                <w:rFonts w:hint="default"/>
                <w:lang w:val="en-US" w:eastAsia="zh-CN"/>
              </w:rPr>
            </w:pPr>
            <w:r>
              <w:rPr>
                <w:rFonts w:hint="eastAsia"/>
                <w:lang w:val="en-US" w:eastAsia="zh-CN"/>
              </w:rPr>
              <w:t>27</w:t>
            </w:r>
          </w:p>
        </w:tc>
        <w:tc>
          <w:tcPr>
            <w:tcW w:w="928" w:type="pct"/>
            <w:vAlign w:val="center"/>
          </w:tcPr>
          <w:p w14:paraId="241C1758">
            <w:pPr>
              <w:pStyle w:val="31"/>
              <w:bidi w:val="0"/>
              <w:jc w:val="center"/>
              <w:rPr>
                <w:rFonts w:hint="default"/>
                <w:vertAlign w:val="superscript"/>
                <w:lang w:val="en-US" w:eastAsia="zh-CN"/>
              </w:rPr>
            </w:pPr>
            <w:r>
              <w:rPr>
                <w:rFonts w:hint="eastAsia"/>
                <w:lang w:val="en-US" w:eastAsia="zh-CN"/>
              </w:rPr>
              <w:t>HCO</w:t>
            </w:r>
            <w:r>
              <w:rPr>
                <w:rFonts w:hint="eastAsia"/>
                <w:vertAlign w:val="subscript"/>
                <w:lang w:val="en-US" w:eastAsia="zh-CN"/>
              </w:rPr>
              <w:t>3</w:t>
            </w:r>
            <w:r>
              <w:rPr>
                <w:rFonts w:hint="eastAsia"/>
                <w:vertAlign w:val="superscript"/>
                <w:lang w:val="en-US" w:eastAsia="zh-CN"/>
              </w:rPr>
              <w:t>-</w:t>
            </w:r>
          </w:p>
        </w:tc>
        <w:tc>
          <w:tcPr>
            <w:tcW w:w="796" w:type="pct"/>
            <w:vAlign w:val="center"/>
          </w:tcPr>
          <w:p w14:paraId="1BDDD768">
            <w:pPr>
              <w:pStyle w:val="31"/>
              <w:bidi w:val="0"/>
              <w:rPr>
                <w:rFonts w:hint="default"/>
                <w:lang w:val="en-US" w:eastAsia="zh-CN"/>
              </w:rPr>
            </w:pPr>
            <w:r>
              <w:rPr>
                <w:rFonts w:hint="eastAsia"/>
                <w:lang w:val="en-US" w:eastAsia="zh-CN"/>
              </w:rPr>
              <w:t>mg/L</w:t>
            </w:r>
          </w:p>
        </w:tc>
        <w:tc>
          <w:tcPr>
            <w:tcW w:w="645" w:type="pct"/>
            <w:vAlign w:val="center"/>
          </w:tcPr>
          <w:p w14:paraId="096F062D">
            <w:pPr>
              <w:pStyle w:val="31"/>
              <w:bidi w:val="0"/>
              <w:jc w:val="center"/>
              <w:rPr>
                <w:rFonts w:hint="default"/>
                <w:lang w:val="en-US" w:eastAsia="zh-CN"/>
              </w:rPr>
            </w:pPr>
            <w:r>
              <w:rPr>
                <w:rFonts w:hint="eastAsia"/>
                <w:lang w:val="en-US" w:eastAsia="zh-CN"/>
              </w:rPr>
              <w:t>172</w:t>
            </w:r>
          </w:p>
        </w:tc>
        <w:tc>
          <w:tcPr>
            <w:tcW w:w="645" w:type="pct"/>
            <w:vAlign w:val="center"/>
          </w:tcPr>
          <w:p w14:paraId="5DD36902">
            <w:pPr>
              <w:pStyle w:val="31"/>
              <w:bidi w:val="0"/>
              <w:jc w:val="center"/>
              <w:rPr>
                <w:rFonts w:hint="default"/>
                <w:lang w:val="en-US" w:eastAsia="zh-CN"/>
              </w:rPr>
            </w:pPr>
            <w:r>
              <w:rPr>
                <w:rFonts w:hint="eastAsia"/>
                <w:lang w:val="en-US" w:eastAsia="zh-CN"/>
              </w:rPr>
              <w:t>110</w:t>
            </w:r>
          </w:p>
        </w:tc>
        <w:tc>
          <w:tcPr>
            <w:tcW w:w="646" w:type="pct"/>
            <w:vAlign w:val="center"/>
          </w:tcPr>
          <w:p w14:paraId="30563202">
            <w:pPr>
              <w:pStyle w:val="31"/>
              <w:bidi w:val="0"/>
              <w:jc w:val="center"/>
              <w:rPr>
                <w:rFonts w:hint="default"/>
                <w:lang w:val="en-US" w:eastAsia="zh-CN"/>
              </w:rPr>
            </w:pPr>
            <w:r>
              <w:rPr>
                <w:rFonts w:hint="eastAsia"/>
                <w:lang w:val="en-US" w:eastAsia="zh-CN"/>
              </w:rPr>
              <w:t>118</w:t>
            </w:r>
          </w:p>
        </w:tc>
        <w:tc>
          <w:tcPr>
            <w:tcW w:w="537" w:type="pct"/>
            <w:vAlign w:val="center"/>
          </w:tcPr>
          <w:p w14:paraId="56EDD943">
            <w:pPr>
              <w:pStyle w:val="31"/>
              <w:bidi w:val="0"/>
              <w:jc w:val="center"/>
              <w:rPr>
                <w:rFonts w:hint="default"/>
                <w:lang w:val="en-US" w:eastAsia="zh-CN"/>
              </w:rPr>
            </w:pPr>
            <w:r>
              <w:rPr>
                <w:rFonts w:hint="eastAsia"/>
                <w:lang w:val="en-US" w:eastAsia="zh-CN"/>
              </w:rPr>
              <w:t>/</w:t>
            </w:r>
          </w:p>
        </w:tc>
        <w:tc>
          <w:tcPr>
            <w:tcW w:w="399" w:type="pct"/>
            <w:vAlign w:val="center"/>
          </w:tcPr>
          <w:p w14:paraId="69572FC7">
            <w:pPr>
              <w:pStyle w:val="31"/>
              <w:bidi w:val="0"/>
              <w:jc w:val="center"/>
              <w:rPr>
                <w:rFonts w:hint="default"/>
                <w:lang w:val="en-US" w:eastAsia="zh-CN"/>
              </w:rPr>
            </w:pPr>
            <w:r>
              <w:rPr>
                <w:rFonts w:hint="eastAsia"/>
                <w:lang w:val="en-US" w:eastAsia="zh-CN"/>
              </w:rPr>
              <w:t>/</w:t>
            </w:r>
          </w:p>
        </w:tc>
      </w:tr>
      <w:tr w14:paraId="524C3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1A32D4DE">
            <w:pPr>
              <w:pStyle w:val="31"/>
              <w:bidi w:val="0"/>
              <w:jc w:val="center"/>
              <w:rPr>
                <w:rFonts w:hint="default"/>
                <w:lang w:val="en-US" w:eastAsia="zh-CN"/>
              </w:rPr>
            </w:pPr>
            <w:r>
              <w:rPr>
                <w:rFonts w:hint="eastAsia"/>
                <w:lang w:val="en-US" w:eastAsia="zh-CN"/>
              </w:rPr>
              <w:t>28</w:t>
            </w:r>
          </w:p>
        </w:tc>
        <w:tc>
          <w:tcPr>
            <w:tcW w:w="928" w:type="pct"/>
            <w:vAlign w:val="center"/>
          </w:tcPr>
          <w:p w14:paraId="4EA7813B">
            <w:pPr>
              <w:pStyle w:val="31"/>
              <w:bidi w:val="0"/>
              <w:jc w:val="center"/>
              <w:rPr>
                <w:rFonts w:hint="default"/>
                <w:vertAlign w:val="superscript"/>
                <w:lang w:val="en-US" w:eastAsia="zh-CN"/>
              </w:rPr>
            </w:pPr>
            <w:r>
              <w:rPr>
                <w:rFonts w:hint="eastAsia"/>
                <w:lang w:val="en-US" w:eastAsia="zh-CN"/>
              </w:rPr>
              <w:t>Cl</w:t>
            </w:r>
            <w:r>
              <w:rPr>
                <w:rFonts w:hint="eastAsia"/>
                <w:vertAlign w:val="superscript"/>
                <w:lang w:val="en-US" w:eastAsia="zh-CN"/>
              </w:rPr>
              <w:t>-</w:t>
            </w:r>
          </w:p>
        </w:tc>
        <w:tc>
          <w:tcPr>
            <w:tcW w:w="796" w:type="pct"/>
            <w:vAlign w:val="center"/>
          </w:tcPr>
          <w:p w14:paraId="51D81AE8">
            <w:pPr>
              <w:pStyle w:val="31"/>
              <w:bidi w:val="0"/>
              <w:rPr>
                <w:rFonts w:hint="default"/>
                <w:lang w:val="en-US" w:eastAsia="zh-CN"/>
              </w:rPr>
            </w:pPr>
            <w:r>
              <w:rPr>
                <w:rFonts w:hint="eastAsia"/>
                <w:lang w:val="en-US" w:eastAsia="zh-CN"/>
              </w:rPr>
              <w:t>mg/L</w:t>
            </w:r>
          </w:p>
        </w:tc>
        <w:tc>
          <w:tcPr>
            <w:tcW w:w="645" w:type="pct"/>
            <w:shd w:val="clear" w:color="auto" w:fill="auto"/>
            <w:vAlign w:val="center"/>
          </w:tcPr>
          <w:p w14:paraId="42904DF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9.79</w:t>
            </w:r>
          </w:p>
        </w:tc>
        <w:tc>
          <w:tcPr>
            <w:tcW w:w="645" w:type="pct"/>
            <w:shd w:val="clear" w:color="auto" w:fill="auto"/>
            <w:vAlign w:val="center"/>
          </w:tcPr>
          <w:p w14:paraId="5D96A33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16.70</w:t>
            </w:r>
          </w:p>
        </w:tc>
        <w:tc>
          <w:tcPr>
            <w:tcW w:w="646" w:type="pct"/>
            <w:shd w:val="clear" w:color="auto" w:fill="auto"/>
            <w:vAlign w:val="center"/>
          </w:tcPr>
          <w:p w14:paraId="2A5C21F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3.34</w:t>
            </w:r>
          </w:p>
        </w:tc>
        <w:tc>
          <w:tcPr>
            <w:tcW w:w="537" w:type="pct"/>
            <w:vAlign w:val="center"/>
          </w:tcPr>
          <w:p w14:paraId="167AABC1">
            <w:pPr>
              <w:pStyle w:val="31"/>
              <w:bidi w:val="0"/>
              <w:jc w:val="center"/>
              <w:rPr>
                <w:rFonts w:hint="default"/>
                <w:lang w:val="en-US" w:eastAsia="zh-CN"/>
              </w:rPr>
            </w:pPr>
            <w:r>
              <w:rPr>
                <w:rFonts w:hint="eastAsia"/>
                <w:lang w:val="en-US" w:eastAsia="zh-CN"/>
              </w:rPr>
              <w:t>/</w:t>
            </w:r>
          </w:p>
        </w:tc>
        <w:tc>
          <w:tcPr>
            <w:tcW w:w="399" w:type="pct"/>
            <w:vAlign w:val="center"/>
          </w:tcPr>
          <w:p w14:paraId="74C4D56A">
            <w:pPr>
              <w:pStyle w:val="31"/>
              <w:bidi w:val="0"/>
              <w:jc w:val="center"/>
              <w:rPr>
                <w:rFonts w:hint="default"/>
                <w:lang w:val="en-US" w:eastAsia="zh-CN"/>
              </w:rPr>
            </w:pPr>
            <w:r>
              <w:rPr>
                <w:rFonts w:hint="eastAsia"/>
                <w:lang w:val="en-US" w:eastAsia="zh-CN"/>
              </w:rPr>
              <w:t>/</w:t>
            </w:r>
          </w:p>
        </w:tc>
      </w:tr>
      <w:tr w14:paraId="217A2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9" w:type="pct"/>
            <w:vAlign w:val="center"/>
          </w:tcPr>
          <w:p w14:paraId="7C54A800">
            <w:pPr>
              <w:pStyle w:val="31"/>
              <w:bidi w:val="0"/>
              <w:jc w:val="center"/>
              <w:rPr>
                <w:rFonts w:hint="default"/>
                <w:lang w:val="en-US" w:eastAsia="zh-CN"/>
              </w:rPr>
            </w:pPr>
            <w:r>
              <w:rPr>
                <w:rFonts w:hint="eastAsia"/>
                <w:lang w:val="en-US" w:eastAsia="zh-CN"/>
              </w:rPr>
              <w:t>29</w:t>
            </w:r>
          </w:p>
        </w:tc>
        <w:tc>
          <w:tcPr>
            <w:tcW w:w="928" w:type="pct"/>
            <w:vAlign w:val="center"/>
          </w:tcPr>
          <w:p w14:paraId="2B8200D7">
            <w:pPr>
              <w:pStyle w:val="31"/>
              <w:bidi w:val="0"/>
              <w:jc w:val="center"/>
              <w:rPr>
                <w:rFonts w:hint="default"/>
                <w:vertAlign w:val="superscript"/>
                <w:lang w:val="en-US" w:eastAsia="zh-CN"/>
              </w:rPr>
            </w:pPr>
            <w:r>
              <w:rPr>
                <w:rFonts w:hint="eastAsia"/>
                <w:lang w:val="en-US" w:eastAsia="zh-CN"/>
              </w:rPr>
              <w:t>SO</w:t>
            </w:r>
            <w:r>
              <w:rPr>
                <w:rFonts w:hint="eastAsia"/>
                <w:vertAlign w:val="subscript"/>
                <w:lang w:val="en-US" w:eastAsia="zh-CN"/>
              </w:rPr>
              <w:t>4</w:t>
            </w:r>
            <w:r>
              <w:rPr>
                <w:rFonts w:hint="eastAsia"/>
                <w:vertAlign w:val="superscript"/>
                <w:lang w:val="en-US" w:eastAsia="zh-CN"/>
              </w:rPr>
              <w:t>2-</w:t>
            </w:r>
          </w:p>
        </w:tc>
        <w:tc>
          <w:tcPr>
            <w:tcW w:w="796" w:type="pct"/>
            <w:vAlign w:val="center"/>
          </w:tcPr>
          <w:p w14:paraId="27C1EF32">
            <w:pPr>
              <w:pStyle w:val="31"/>
              <w:bidi w:val="0"/>
              <w:rPr>
                <w:rFonts w:hint="default"/>
                <w:lang w:val="en-US" w:eastAsia="zh-CN"/>
              </w:rPr>
            </w:pPr>
            <w:r>
              <w:rPr>
                <w:rFonts w:hint="eastAsia"/>
                <w:lang w:val="en-US" w:eastAsia="zh-CN"/>
              </w:rPr>
              <w:t>mg/L</w:t>
            </w:r>
          </w:p>
        </w:tc>
        <w:tc>
          <w:tcPr>
            <w:tcW w:w="645" w:type="pct"/>
            <w:shd w:val="clear" w:color="auto" w:fill="auto"/>
            <w:vAlign w:val="center"/>
          </w:tcPr>
          <w:p w14:paraId="21F30EC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8.60</w:t>
            </w:r>
          </w:p>
        </w:tc>
        <w:tc>
          <w:tcPr>
            <w:tcW w:w="645" w:type="pct"/>
            <w:shd w:val="clear" w:color="auto" w:fill="auto"/>
            <w:vAlign w:val="center"/>
          </w:tcPr>
          <w:p w14:paraId="639ADA0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14.70</w:t>
            </w:r>
          </w:p>
        </w:tc>
        <w:tc>
          <w:tcPr>
            <w:tcW w:w="646" w:type="pct"/>
            <w:shd w:val="clear" w:color="auto" w:fill="auto"/>
            <w:vAlign w:val="center"/>
          </w:tcPr>
          <w:p w14:paraId="226FA33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17.80</w:t>
            </w:r>
          </w:p>
        </w:tc>
        <w:tc>
          <w:tcPr>
            <w:tcW w:w="537" w:type="pct"/>
            <w:vAlign w:val="center"/>
          </w:tcPr>
          <w:p w14:paraId="1BA40D44">
            <w:pPr>
              <w:pStyle w:val="31"/>
              <w:bidi w:val="0"/>
              <w:jc w:val="center"/>
              <w:rPr>
                <w:rFonts w:hint="default"/>
                <w:lang w:val="en-US" w:eastAsia="zh-CN"/>
              </w:rPr>
            </w:pPr>
            <w:r>
              <w:rPr>
                <w:rFonts w:hint="eastAsia"/>
                <w:lang w:val="en-US" w:eastAsia="zh-CN"/>
              </w:rPr>
              <w:t>/</w:t>
            </w:r>
          </w:p>
        </w:tc>
        <w:tc>
          <w:tcPr>
            <w:tcW w:w="399" w:type="pct"/>
            <w:vAlign w:val="center"/>
          </w:tcPr>
          <w:p w14:paraId="1FC69C31">
            <w:pPr>
              <w:pStyle w:val="31"/>
              <w:bidi w:val="0"/>
              <w:jc w:val="center"/>
              <w:rPr>
                <w:rFonts w:hint="default"/>
                <w:lang w:val="en-US" w:eastAsia="zh-CN"/>
              </w:rPr>
            </w:pPr>
            <w:r>
              <w:rPr>
                <w:rFonts w:hint="eastAsia"/>
                <w:lang w:val="en-US" w:eastAsia="zh-CN"/>
              </w:rPr>
              <w:t>/</w:t>
            </w:r>
          </w:p>
        </w:tc>
      </w:tr>
    </w:tbl>
    <w:p w14:paraId="68767B34">
      <w:pPr>
        <w:pStyle w:val="21"/>
        <w:rPr>
          <w:rFonts w:hint="default"/>
          <w:lang w:val="en-US" w:eastAsia="zh-CN"/>
        </w:rPr>
      </w:pPr>
      <w:r>
        <w:rPr>
          <w:rFonts w:hint="eastAsia"/>
          <w:lang w:val="en-US" w:eastAsia="zh-CN"/>
        </w:rPr>
        <w:t>根据监测结果可知，项目区域所有监测点位各监测因子均能满足</w:t>
      </w:r>
      <w:r>
        <w:rPr>
          <w:rFonts w:hint="eastAsia"/>
        </w:rPr>
        <w:t>《地下水质量标准》（GB/T</w:t>
      </w:r>
      <w:r>
        <w:t xml:space="preserve"> </w:t>
      </w:r>
      <w:r>
        <w:rPr>
          <w:rFonts w:hint="eastAsia"/>
        </w:rPr>
        <w:t>14848-</w:t>
      </w:r>
      <w:r>
        <w:t>2017</w:t>
      </w:r>
      <w:r>
        <w:rPr>
          <w:rFonts w:hint="eastAsia"/>
        </w:rPr>
        <w:t>）III类标准</w:t>
      </w:r>
      <w:r>
        <w:rPr>
          <w:rFonts w:hint="eastAsia"/>
          <w:lang w:val="en-US" w:eastAsia="zh-CN"/>
        </w:rPr>
        <w:t>要求。</w:t>
      </w:r>
    </w:p>
    <w:p w14:paraId="0B625B10">
      <w:pPr>
        <w:pStyle w:val="28"/>
      </w:pPr>
      <w:bookmarkStart w:id="140" w:name="_Toc28879"/>
      <w:r>
        <w:rPr>
          <w:rFonts w:hint="eastAsia"/>
        </w:rPr>
        <w:t>4.5声环境质量现状</w:t>
      </w:r>
      <w:bookmarkEnd w:id="140"/>
    </w:p>
    <w:p w14:paraId="28ADA4A4">
      <w:pPr>
        <w:pStyle w:val="21"/>
        <w:ind w:firstLine="480"/>
        <w:rPr>
          <w:rFonts w:hint="eastAsia" w:cs="宋体"/>
        </w:rPr>
      </w:pPr>
      <w:r>
        <w:rPr>
          <w:rFonts w:hint="eastAsia"/>
          <w:szCs w:val="32"/>
        </w:rPr>
        <w:t>为了进一步了解项目所在区域环境噪声现状情况，本次评价委托景倡源检测(湖南)有限公司</w:t>
      </w:r>
      <w:r>
        <w:rPr>
          <w:szCs w:val="32"/>
        </w:rPr>
        <w:t>于20</w:t>
      </w:r>
      <w:r>
        <w:rPr>
          <w:rFonts w:hint="eastAsia"/>
          <w:szCs w:val="32"/>
        </w:rPr>
        <w:t>2</w:t>
      </w:r>
      <w:r>
        <w:rPr>
          <w:rFonts w:hint="eastAsia"/>
          <w:szCs w:val="32"/>
          <w:lang w:val="en-US" w:eastAsia="zh-CN"/>
        </w:rPr>
        <w:t>5</w:t>
      </w:r>
      <w:r>
        <w:rPr>
          <w:szCs w:val="32"/>
        </w:rPr>
        <w:t>年</w:t>
      </w:r>
      <w:r>
        <w:rPr>
          <w:rFonts w:hint="eastAsia"/>
          <w:szCs w:val="32"/>
          <w:lang w:val="en-US" w:eastAsia="zh-CN"/>
        </w:rPr>
        <w:t>5</w:t>
      </w:r>
      <w:r>
        <w:rPr>
          <w:szCs w:val="32"/>
        </w:rPr>
        <w:t>月</w:t>
      </w:r>
      <w:r>
        <w:rPr>
          <w:rFonts w:hint="eastAsia"/>
          <w:color w:val="000000"/>
          <w:szCs w:val="32"/>
          <w:lang w:val="en-US" w:eastAsia="zh-CN"/>
        </w:rPr>
        <w:t>21</w:t>
      </w:r>
      <w:r>
        <w:rPr>
          <w:color w:val="000000"/>
          <w:szCs w:val="32"/>
        </w:rPr>
        <w:t>日</w:t>
      </w:r>
      <w:r>
        <w:rPr>
          <w:rFonts w:hint="eastAsia"/>
          <w:color w:val="000000"/>
          <w:szCs w:val="32"/>
        </w:rPr>
        <w:t>~</w:t>
      </w:r>
      <w:r>
        <w:rPr>
          <w:rFonts w:hint="eastAsia"/>
          <w:color w:val="000000"/>
          <w:szCs w:val="32"/>
          <w:lang w:val="en-US" w:eastAsia="zh-CN"/>
        </w:rPr>
        <w:t>22</w:t>
      </w:r>
      <w:r>
        <w:rPr>
          <w:rFonts w:hint="eastAsia"/>
          <w:color w:val="000000"/>
          <w:szCs w:val="32"/>
        </w:rPr>
        <w:t>日</w:t>
      </w:r>
      <w:r>
        <w:rPr>
          <w:rFonts w:hint="eastAsia" w:cs="宋体"/>
        </w:rPr>
        <w:t>对项目厂界</w:t>
      </w:r>
      <w:r>
        <w:rPr>
          <w:rFonts w:hint="eastAsia" w:cs="宋体"/>
          <w:lang w:val="en-US" w:eastAsia="zh-CN"/>
        </w:rPr>
        <w:t>及周边</w:t>
      </w:r>
      <w:r>
        <w:rPr>
          <w:rFonts w:hint="eastAsia" w:cs="宋体"/>
        </w:rPr>
        <w:t>敏感点进行现状环境噪声监测，噪声监测统计结果，详见下表。</w:t>
      </w:r>
    </w:p>
    <w:p w14:paraId="74D9104F">
      <w:pPr>
        <w:pStyle w:val="23"/>
        <w:bidi w:val="0"/>
        <w:rPr>
          <w:rFonts w:hint="eastAsia"/>
          <w:lang w:val="en-US" w:eastAsia="zh-CN"/>
        </w:rPr>
      </w:pPr>
      <w:r>
        <w:rPr>
          <w:rFonts w:hint="eastAsia"/>
          <w:lang w:val="en-US" w:eastAsia="zh-CN"/>
        </w:rPr>
        <w:t>表4.5-1  声环境质量现状监测结果表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6AA6E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Align w:val="center"/>
          </w:tcPr>
          <w:p w14:paraId="3F09F8B4">
            <w:pPr>
              <w:pStyle w:val="31"/>
              <w:bidi w:val="0"/>
              <w:jc w:val="center"/>
              <w:rPr>
                <w:rFonts w:hint="default"/>
                <w:lang w:val="en-US" w:eastAsia="zh-CN"/>
              </w:rPr>
            </w:pPr>
            <w:r>
              <w:rPr>
                <w:rFonts w:hint="eastAsia"/>
                <w:lang w:val="en-US" w:eastAsia="zh-CN"/>
              </w:rPr>
              <w:t>监测点位</w:t>
            </w:r>
          </w:p>
        </w:tc>
        <w:tc>
          <w:tcPr>
            <w:tcW w:w="1420" w:type="dxa"/>
            <w:vAlign w:val="center"/>
          </w:tcPr>
          <w:p w14:paraId="174656CC">
            <w:pPr>
              <w:pStyle w:val="31"/>
              <w:bidi w:val="0"/>
              <w:jc w:val="center"/>
              <w:rPr>
                <w:rFonts w:hint="default"/>
                <w:lang w:val="en-US" w:eastAsia="zh-CN"/>
              </w:rPr>
            </w:pPr>
            <w:r>
              <w:rPr>
                <w:rFonts w:hint="eastAsia"/>
                <w:lang w:val="en-US" w:eastAsia="zh-CN"/>
              </w:rPr>
              <w:t>监测日期</w:t>
            </w:r>
          </w:p>
        </w:tc>
        <w:tc>
          <w:tcPr>
            <w:tcW w:w="1420" w:type="dxa"/>
            <w:vAlign w:val="center"/>
          </w:tcPr>
          <w:p w14:paraId="263C361F">
            <w:pPr>
              <w:pStyle w:val="31"/>
              <w:bidi w:val="0"/>
              <w:jc w:val="center"/>
              <w:rPr>
                <w:rFonts w:hint="default"/>
                <w:lang w:val="en-US" w:eastAsia="zh-CN"/>
              </w:rPr>
            </w:pPr>
            <w:r>
              <w:rPr>
                <w:rFonts w:hint="eastAsia"/>
                <w:lang w:val="en-US" w:eastAsia="zh-CN"/>
              </w:rPr>
              <w:t>时段</w:t>
            </w:r>
          </w:p>
        </w:tc>
        <w:tc>
          <w:tcPr>
            <w:tcW w:w="1420" w:type="dxa"/>
            <w:vAlign w:val="center"/>
          </w:tcPr>
          <w:p w14:paraId="5B20BABC">
            <w:pPr>
              <w:pStyle w:val="31"/>
              <w:bidi w:val="0"/>
              <w:jc w:val="center"/>
              <w:rPr>
                <w:rFonts w:hint="default"/>
                <w:lang w:val="en-US" w:eastAsia="zh-CN"/>
              </w:rPr>
            </w:pPr>
            <w:r>
              <w:rPr>
                <w:rFonts w:hint="eastAsia"/>
                <w:lang w:val="en-US" w:eastAsia="zh-CN"/>
              </w:rPr>
              <w:t>监测结果dB(A)</w:t>
            </w:r>
          </w:p>
        </w:tc>
        <w:tc>
          <w:tcPr>
            <w:tcW w:w="1421" w:type="dxa"/>
            <w:vAlign w:val="center"/>
          </w:tcPr>
          <w:p w14:paraId="3B3E22CB">
            <w:pPr>
              <w:pStyle w:val="31"/>
              <w:bidi w:val="0"/>
              <w:jc w:val="center"/>
              <w:rPr>
                <w:rFonts w:hint="default"/>
                <w:lang w:val="en-US" w:eastAsia="zh-CN"/>
              </w:rPr>
            </w:pPr>
            <w:r>
              <w:rPr>
                <w:rFonts w:hint="eastAsia"/>
                <w:lang w:val="en-US" w:eastAsia="zh-CN"/>
              </w:rPr>
              <w:t>标准限值dB(A)</w:t>
            </w:r>
          </w:p>
        </w:tc>
        <w:tc>
          <w:tcPr>
            <w:tcW w:w="1421" w:type="dxa"/>
            <w:vAlign w:val="center"/>
          </w:tcPr>
          <w:p w14:paraId="6B43A923">
            <w:pPr>
              <w:pStyle w:val="31"/>
              <w:bidi w:val="0"/>
              <w:jc w:val="center"/>
              <w:rPr>
                <w:rFonts w:hint="default"/>
                <w:lang w:val="en-US" w:eastAsia="zh-CN"/>
              </w:rPr>
            </w:pPr>
            <w:r>
              <w:rPr>
                <w:rFonts w:hint="eastAsia"/>
                <w:lang w:val="en-US" w:eastAsia="zh-CN"/>
              </w:rPr>
              <w:t>达标情况</w:t>
            </w:r>
          </w:p>
        </w:tc>
      </w:tr>
      <w:tr w14:paraId="06A16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restart"/>
            <w:vAlign w:val="center"/>
          </w:tcPr>
          <w:p w14:paraId="6FBF8DD1">
            <w:pPr>
              <w:pStyle w:val="31"/>
              <w:bidi w:val="0"/>
              <w:jc w:val="center"/>
              <w:rPr>
                <w:rFonts w:hint="default"/>
                <w:lang w:val="en-US" w:eastAsia="zh-CN"/>
              </w:rPr>
            </w:pPr>
            <w:r>
              <w:rPr>
                <w:rFonts w:hint="eastAsia"/>
                <w:lang w:val="en-US" w:eastAsia="zh-CN"/>
              </w:rPr>
              <w:t>N1：项目厂界东侧</w:t>
            </w:r>
          </w:p>
        </w:tc>
        <w:tc>
          <w:tcPr>
            <w:tcW w:w="1420" w:type="dxa"/>
            <w:vMerge w:val="restart"/>
            <w:vAlign w:val="center"/>
          </w:tcPr>
          <w:p w14:paraId="6288A475">
            <w:pPr>
              <w:pStyle w:val="31"/>
              <w:bidi w:val="0"/>
              <w:jc w:val="center"/>
              <w:rPr>
                <w:rFonts w:hint="default"/>
                <w:lang w:val="en-US" w:eastAsia="zh-CN"/>
              </w:rPr>
            </w:pPr>
            <w:r>
              <w:rPr>
                <w:rFonts w:hint="eastAsia"/>
                <w:lang w:val="en-US" w:eastAsia="zh-CN"/>
              </w:rPr>
              <w:t>2025.05.21</w:t>
            </w:r>
          </w:p>
        </w:tc>
        <w:tc>
          <w:tcPr>
            <w:tcW w:w="1420" w:type="dxa"/>
            <w:vAlign w:val="center"/>
          </w:tcPr>
          <w:p w14:paraId="4C890849">
            <w:pPr>
              <w:pStyle w:val="31"/>
              <w:bidi w:val="0"/>
              <w:jc w:val="center"/>
              <w:rPr>
                <w:rFonts w:hint="default"/>
                <w:lang w:val="en-US" w:eastAsia="zh-CN"/>
              </w:rPr>
            </w:pPr>
            <w:r>
              <w:rPr>
                <w:rFonts w:hint="eastAsia"/>
                <w:lang w:val="en-US" w:eastAsia="zh-CN"/>
              </w:rPr>
              <w:t>昼间</w:t>
            </w:r>
          </w:p>
        </w:tc>
        <w:tc>
          <w:tcPr>
            <w:tcW w:w="1420" w:type="dxa"/>
            <w:vAlign w:val="center"/>
          </w:tcPr>
          <w:p w14:paraId="14532253">
            <w:pPr>
              <w:pStyle w:val="31"/>
              <w:bidi w:val="0"/>
              <w:jc w:val="center"/>
              <w:rPr>
                <w:rFonts w:hint="default"/>
                <w:lang w:val="en-US" w:eastAsia="zh-CN"/>
              </w:rPr>
            </w:pPr>
            <w:r>
              <w:rPr>
                <w:rFonts w:hint="eastAsia"/>
                <w:lang w:val="en-US" w:eastAsia="zh-CN"/>
              </w:rPr>
              <w:t>55</w:t>
            </w:r>
          </w:p>
        </w:tc>
        <w:tc>
          <w:tcPr>
            <w:tcW w:w="1421" w:type="dxa"/>
            <w:vAlign w:val="center"/>
          </w:tcPr>
          <w:p w14:paraId="10A8ECF0">
            <w:pPr>
              <w:pStyle w:val="31"/>
              <w:bidi w:val="0"/>
              <w:jc w:val="center"/>
              <w:rPr>
                <w:rFonts w:hint="default"/>
                <w:lang w:val="en-US" w:eastAsia="zh-CN"/>
              </w:rPr>
            </w:pPr>
            <w:r>
              <w:rPr>
                <w:rFonts w:hint="eastAsia"/>
                <w:lang w:val="en-US" w:eastAsia="zh-CN"/>
              </w:rPr>
              <w:t>60</w:t>
            </w:r>
          </w:p>
        </w:tc>
        <w:tc>
          <w:tcPr>
            <w:tcW w:w="1421" w:type="dxa"/>
            <w:vAlign w:val="center"/>
          </w:tcPr>
          <w:p w14:paraId="0D8DAD53">
            <w:pPr>
              <w:pStyle w:val="31"/>
              <w:bidi w:val="0"/>
              <w:jc w:val="center"/>
              <w:rPr>
                <w:rFonts w:hint="default"/>
                <w:lang w:val="en-US" w:eastAsia="zh-CN"/>
              </w:rPr>
            </w:pPr>
            <w:r>
              <w:rPr>
                <w:rFonts w:hint="eastAsia"/>
                <w:lang w:val="en-US" w:eastAsia="zh-CN"/>
              </w:rPr>
              <w:t>达标</w:t>
            </w:r>
          </w:p>
        </w:tc>
      </w:tr>
      <w:tr w14:paraId="0DADF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64E3A62A">
            <w:pPr>
              <w:pStyle w:val="31"/>
              <w:bidi w:val="0"/>
              <w:jc w:val="center"/>
              <w:rPr>
                <w:rFonts w:hint="default"/>
                <w:lang w:val="en-US" w:eastAsia="zh-CN"/>
              </w:rPr>
            </w:pPr>
          </w:p>
        </w:tc>
        <w:tc>
          <w:tcPr>
            <w:tcW w:w="1420" w:type="dxa"/>
            <w:vMerge w:val="continue"/>
            <w:vAlign w:val="center"/>
          </w:tcPr>
          <w:p w14:paraId="3CA92D4B">
            <w:pPr>
              <w:pStyle w:val="31"/>
              <w:bidi w:val="0"/>
              <w:jc w:val="center"/>
              <w:rPr>
                <w:rFonts w:hint="default"/>
                <w:lang w:val="en-US" w:eastAsia="zh-CN"/>
              </w:rPr>
            </w:pPr>
          </w:p>
        </w:tc>
        <w:tc>
          <w:tcPr>
            <w:tcW w:w="1420" w:type="dxa"/>
            <w:vAlign w:val="center"/>
          </w:tcPr>
          <w:p w14:paraId="07C290A0">
            <w:pPr>
              <w:pStyle w:val="31"/>
              <w:bidi w:val="0"/>
              <w:jc w:val="center"/>
              <w:rPr>
                <w:rFonts w:hint="default"/>
                <w:lang w:val="en-US" w:eastAsia="zh-CN"/>
              </w:rPr>
            </w:pPr>
            <w:r>
              <w:rPr>
                <w:rFonts w:hint="eastAsia"/>
                <w:lang w:val="en-US" w:eastAsia="zh-CN"/>
              </w:rPr>
              <w:t>夜间</w:t>
            </w:r>
          </w:p>
        </w:tc>
        <w:tc>
          <w:tcPr>
            <w:tcW w:w="1420" w:type="dxa"/>
            <w:vAlign w:val="center"/>
          </w:tcPr>
          <w:p w14:paraId="67E30B0E">
            <w:pPr>
              <w:pStyle w:val="31"/>
              <w:bidi w:val="0"/>
              <w:jc w:val="center"/>
              <w:rPr>
                <w:rFonts w:hint="default"/>
                <w:lang w:val="en-US" w:eastAsia="zh-CN"/>
              </w:rPr>
            </w:pPr>
            <w:r>
              <w:rPr>
                <w:rFonts w:hint="eastAsia"/>
                <w:lang w:val="en-US" w:eastAsia="zh-CN"/>
              </w:rPr>
              <w:t>43</w:t>
            </w:r>
          </w:p>
        </w:tc>
        <w:tc>
          <w:tcPr>
            <w:tcW w:w="1421" w:type="dxa"/>
            <w:vAlign w:val="center"/>
          </w:tcPr>
          <w:p w14:paraId="5F8BCA59">
            <w:pPr>
              <w:pStyle w:val="31"/>
              <w:bidi w:val="0"/>
              <w:jc w:val="center"/>
              <w:rPr>
                <w:rFonts w:hint="default"/>
                <w:lang w:val="en-US" w:eastAsia="zh-CN"/>
              </w:rPr>
            </w:pPr>
            <w:r>
              <w:rPr>
                <w:rFonts w:hint="eastAsia"/>
                <w:lang w:val="en-US" w:eastAsia="zh-CN"/>
              </w:rPr>
              <w:t>50</w:t>
            </w:r>
          </w:p>
        </w:tc>
        <w:tc>
          <w:tcPr>
            <w:tcW w:w="1421" w:type="dxa"/>
            <w:vAlign w:val="center"/>
          </w:tcPr>
          <w:p w14:paraId="180CE71D">
            <w:pPr>
              <w:pStyle w:val="31"/>
              <w:bidi w:val="0"/>
              <w:rPr>
                <w:rFonts w:hint="default"/>
                <w:lang w:val="en-US" w:eastAsia="zh-CN"/>
              </w:rPr>
            </w:pPr>
            <w:r>
              <w:rPr>
                <w:rFonts w:hint="eastAsia"/>
                <w:lang w:val="en-US" w:eastAsia="zh-CN"/>
              </w:rPr>
              <w:t>达标</w:t>
            </w:r>
          </w:p>
        </w:tc>
      </w:tr>
      <w:tr w14:paraId="527B4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2B5187D7">
            <w:pPr>
              <w:pStyle w:val="31"/>
              <w:bidi w:val="0"/>
              <w:jc w:val="center"/>
              <w:rPr>
                <w:rFonts w:hint="default"/>
                <w:lang w:val="en-US" w:eastAsia="zh-CN"/>
              </w:rPr>
            </w:pPr>
          </w:p>
        </w:tc>
        <w:tc>
          <w:tcPr>
            <w:tcW w:w="1420" w:type="dxa"/>
            <w:vMerge w:val="restart"/>
            <w:vAlign w:val="center"/>
          </w:tcPr>
          <w:p w14:paraId="4D23E40C">
            <w:pPr>
              <w:pStyle w:val="31"/>
              <w:bidi w:val="0"/>
              <w:jc w:val="center"/>
              <w:rPr>
                <w:rFonts w:hint="default"/>
                <w:lang w:val="en-US" w:eastAsia="zh-CN"/>
              </w:rPr>
            </w:pPr>
            <w:r>
              <w:rPr>
                <w:rFonts w:hint="eastAsia"/>
                <w:lang w:val="en-US" w:eastAsia="zh-CN"/>
              </w:rPr>
              <w:t>2025.05.22</w:t>
            </w:r>
          </w:p>
        </w:tc>
        <w:tc>
          <w:tcPr>
            <w:tcW w:w="1420" w:type="dxa"/>
            <w:vAlign w:val="center"/>
          </w:tcPr>
          <w:p w14:paraId="78C51CD0">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2B0060F2">
            <w:pPr>
              <w:pStyle w:val="31"/>
              <w:bidi w:val="0"/>
              <w:jc w:val="center"/>
              <w:rPr>
                <w:rFonts w:hint="default"/>
                <w:lang w:val="en-US" w:eastAsia="zh-CN"/>
              </w:rPr>
            </w:pPr>
            <w:r>
              <w:rPr>
                <w:rFonts w:hint="eastAsia"/>
                <w:lang w:val="en-US" w:eastAsia="zh-CN"/>
              </w:rPr>
              <w:t>57</w:t>
            </w:r>
          </w:p>
        </w:tc>
        <w:tc>
          <w:tcPr>
            <w:tcW w:w="1421" w:type="dxa"/>
            <w:vAlign w:val="center"/>
          </w:tcPr>
          <w:p w14:paraId="45795A59">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0C25848B">
            <w:pPr>
              <w:pStyle w:val="31"/>
              <w:bidi w:val="0"/>
              <w:rPr>
                <w:rFonts w:hint="default"/>
                <w:lang w:val="en-US" w:eastAsia="zh-CN"/>
              </w:rPr>
            </w:pPr>
            <w:r>
              <w:rPr>
                <w:rFonts w:hint="eastAsia"/>
                <w:lang w:val="en-US" w:eastAsia="zh-CN"/>
              </w:rPr>
              <w:t>达标</w:t>
            </w:r>
          </w:p>
        </w:tc>
      </w:tr>
      <w:tr w14:paraId="1C11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1C3B7F85">
            <w:pPr>
              <w:pStyle w:val="31"/>
              <w:bidi w:val="0"/>
              <w:jc w:val="center"/>
              <w:rPr>
                <w:rFonts w:hint="default"/>
                <w:lang w:val="en-US" w:eastAsia="zh-CN"/>
              </w:rPr>
            </w:pPr>
          </w:p>
        </w:tc>
        <w:tc>
          <w:tcPr>
            <w:tcW w:w="1420" w:type="dxa"/>
            <w:vMerge w:val="continue"/>
            <w:vAlign w:val="center"/>
          </w:tcPr>
          <w:p w14:paraId="69ADA017">
            <w:pPr>
              <w:pStyle w:val="31"/>
              <w:bidi w:val="0"/>
              <w:jc w:val="center"/>
              <w:rPr>
                <w:rFonts w:hint="default"/>
                <w:lang w:val="en-US" w:eastAsia="zh-CN"/>
              </w:rPr>
            </w:pPr>
          </w:p>
        </w:tc>
        <w:tc>
          <w:tcPr>
            <w:tcW w:w="1420" w:type="dxa"/>
            <w:vAlign w:val="center"/>
          </w:tcPr>
          <w:p w14:paraId="2BC2F1F2">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60E85806">
            <w:pPr>
              <w:pStyle w:val="31"/>
              <w:bidi w:val="0"/>
              <w:jc w:val="center"/>
              <w:rPr>
                <w:rFonts w:hint="default"/>
                <w:lang w:val="en-US" w:eastAsia="zh-CN"/>
              </w:rPr>
            </w:pPr>
            <w:r>
              <w:rPr>
                <w:rFonts w:hint="eastAsia"/>
                <w:lang w:val="en-US" w:eastAsia="zh-CN"/>
              </w:rPr>
              <w:t>44</w:t>
            </w:r>
          </w:p>
        </w:tc>
        <w:tc>
          <w:tcPr>
            <w:tcW w:w="1421" w:type="dxa"/>
            <w:vAlign w:val="center"/>
          </w:tcPr>
          <w:p w14:paraId="034B4C6E">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0982B337">
            <w:pPr>
              <w:pStyle w:val="31"/>
              <w:bidi w:val="0"/>
              <w:rPr>
                <w:rFonts w:hint="default"/>
                <w:lang w:val="en-US" w:eastAsia="zh-CN"/>
              </w:rPr>
            </w:pPr>
            <w:r>
              <w:rPr>
                <w:rFonts w:hint="eastAsia"/>
                <w:lang w:val="en-US" w:eastAsia="zh-CN"/>
              </w:rPr>
              <w:t>达标</w:t>
            </w:r>
          </w:p>
        </w:tc>
      </w:tr>
      <w:tr w14:paraId="6AAF0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restart"/>
            <w:vAlign w:val="center"/>
          </w:tcPr>
          <w:p w14:paraId="63B64311">
            <w:pPr>
              <w:pStyle w:val="31"/>
              <w:bidi w:val="0"/>
              <w:jc w:val="center"/>
              <w:rPr>
                <w:rFonts w:hint="default"/>
                <w:lang w:val="en-US" w:eastAsia="zh-CN"/>
              </w:rPr>
            </w:pPr>
            <w:r>
              <w:rPr>
                <w:rFonts w:hint="eastAsia"/>
                <w:lang w:val="en-US" w:eastAsia="zh-CN"/>
              </w:rPr>
              <w:t>N2：项目厂界南侧</w:t>
            </w:r>
          </w:p>
        </w:tc>
        <w:tc>
          <w:tcPr>
            <w:tcW w:w="1420" w:type="dxa"/>
            <w:vMerge w:val="restart"/>
            <w:vAlign w:val="center"/>
          </w:tcPr>
          <w:p w14:paraId="2508FF36">
            <w:pPr>
              <w:pStyle w:val="31"/>
              <w:bidi w:val="0"/>
              <w:ind w:firstLine="0" w:firstLineChars="0"/>
              <w:jc w:val="center"/>
              <w:rPr>
                <w:rFonts w:hint="default"/>
                <w:lang w:val="en-US" w:eastAsia="zh-CN"/>
              </w:rPr>
            </w:pPr>
            <w:r>
              <w:rPr>
                <w:rFonts w:hint="eastAsia"/>
                <w:lang w:val="en-US" w:eastAsia="zh-CN"/>
              </w:rPr>
              <w:t>2025.05.21</w:t>
            </w:r>
          </w:p>
        </w:tc>
        <w:tc>
          <w:tcPr>
            <w:tcW w:w="1420" w:type="dxa"/>
            <w:vAlign w:val="center"/>
          </w:tcPr>
          <w:p w14:paraId="4FC9BDBA">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79EB1697">
            <w:pPr>
              <w:pStyle w:val="31"/>
              <w:bidi w:val="0"/>
              <w:jc w:val="center"/>
              <w:rPr>
                <w:rFonts w:hint="default"/>
                <w:lang w:val="en-US" w:eastAsia="zh-CN"/>
              </w:rPr>
            </w:pPr>
            <w:r>
              <w:rPr>
                <w:rFonts w:hint="eastAsia"/>
                <w:lang w:val="en-US" w:eastAsia="zh-CN"/>
              </w:rPr>
              <w:t>53</w:t>
            </w:r>
          </w:p>
        </w:tc>
        <w:tc>
          <w:tcPr>
            <w:tcW w:w="1421" w:type="dxa"/>
            <w:vAlign w:val="center"/>
          </w:tcPr>
          <w:p w14:paraId="7CA57354">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423D0692">
            <w:pPr>
              <w:pStyle w:val="31"/>
              <w:bidi w:val="0"/>
              <w:rPr>
                <w:rFonts w:hint="default"/>
                <w:lang w:val="en-US" w:eastAsia="zh-CN"/>
              </w:rPr>
            </w:pPr>
            <w:r>
              <w:rPr>
                <w:rFonts w:hint="eastAsia"/>
                <w:lang w:val="en-US" w:eastAsia="zh-CN"/>
              </w:rPr>
              <w:t>达标</w:t>
            </w:r>
          </w:p>
        </w:tc>
      </w:tr>
      <w:tr w14:paraId="5FA2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4F4B8CA7">
            <w:pPr>
              <w:pStyle w:val="31"/>
              <w:bidi w:val="0"/>
              <w:jc w:val="center"/>
              <w:rPr>
                <w:rFonts w:hint="default"/>
                <w:lang w:val="en-US" w:eastAsia="zh-CN"/>
              </w:rPr>
            </w:pPr>
          </w:p>
        </w:tc>
        <w:tc>
          <w:tcPr>
            <w:tcW w:w="1420" w:type="dxa"/>
            <w:vMerge w:val="continue"/>
            <w:vAlign w:val="center"/>
          </w:tcPr>
          <w:p w14:paraId="7A9F40A5">
            <w:pPr>
              <w:pStyle w:val="31"/>
              <w:bidi w:val="0"/>
              <w:jc w:val="center"/>
              <w:rPr>
                <w:rFonts w:hint="default"/>
                <w:lang w:val="en-US" w:eastAsia="zh-CN"/>
              </w:rPr>
            </w:pPr>
          </w:p>
        </w:tc>
        <w:tc>
          <w:tcPr>
            <w:tcW w:w="1420" w:type="dxa"/>
            <w:vAlign w:val="center"/>
          </w:tcPr>
          <w:p w14:paraId="67B03C2F">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60E37763">
            <w:pPr>
              <w:pStyle w:val="31"/>
              <w:bidi w:val="0"/>
              <w:jc w:val="center"/>
              <w:rPr>
                <w:rFonts w:hint="default"/>
                <w:lang w:val="en-US" w:eastAsia="zh-CN"/>
              </w:rPr>
            </w:pPr>
            <w:r>
              <w:rPr>
                <w:rFonts w:hint="eastAsia"/>
                <w:lang w:val="en-US" w:eastAsia="zh-CN"/>
              </w:rPr>
              <w:t>43</w:t>
            </w:r>
          </w:p>
        </w:tc>
        <w:tc>
          <w:tcPr>
            <w:tcW w:w="1421" w:type="dxa"/>
            <w:vAlign w:val="center"/>
          </w:tcPr>
          <w:p w14:paraId="0430C801">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56E7BCD8">
            <w:pPr>
              <w:pStyle w:val="31"/>
              <w:bidi w:val="0"/>
              <w:rPr>
                <w:rFonts w:hint="default"/>
                <w:lang w:val="en-US" w:eastAsia="zh-CN"/>
              </w:rPr>
            </w:pPr>
            <w:r>
              <w:rPr>
                <w:rFonts w:hint="eastAsia"/>
                <w:lang w:val="en-US" w:eastAsia="zh-CN"/>
              </w:rPr>
              <w:t>达标</w:t>
            </w:r>
          </w:p>
        </w:tc>
      </w:tr>
      <w:tr w14:paraId="21E8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5A3E0371">
            <w:pPr>
              <w:pStyle w:val="31"/>
              <w:bidi w:val="0"/>
              <w:jc w:val="center"/>
              <w:rPr>
                <w:rFonts w:hint="default"/>
                <w:lang w:val="en-US" w:eastAsia="zh-CN"/>
              </w:rPr>
            </w:pPr>
          </w:p>
        </w:tc>
        <w:tc>
          <w:tcPr>
            <w:tcW w:w="1420" w:type="dxa"/>
            <w:vMerge w:val="restart"/>
            <w:vAlign w:val="center"/>
          </w:tcPr>
          <w:p w14:paraId="3FECCE11">
            <w:pPr>
              <w:pStyle w:val="31"/>
              <w:bidi w:val="0"/>
              <w:ind w:firstLine="0" w:firstLineChars="0"/>
              <w:jc w:val="center"/>
              <w:rPr>
                <w:rFonts w:hint="default"/>
                <w:lang w:val="en-US" w:eastAsia="zh-CN"/>
              </w:rPr>
            </w:pPr>
            <w:r>
              <w:rPr>
                <w:rFonts w:hint="eastAsia"/>
                <w:lang w:val="en-US" w:eastAsia="zh-CN"/>
              </w:rPr>
              <w:t>2025.05.22</w:t>
            </w:r>
          </w:p>
        </w:tc>
        <w:tc>
          <w:tcPr>
            <w:tcW w:w="1420" w:type="dxa"/>
            <w:vAlign w:val="center"/>
          </w:tcPr>
          <w:p w14:paraId="4F9239C5">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33EAB7DC">
            <w:pPr>
              <w:pStyle w:val="31"/>
              <w:bidi w:val="0"/>
              <w:jc w:val="center"/>
              <w:rPr>
                <w:rFonts w:hint="default"/>
                <w:lang w:val="en-US" w:eastAsia="zh-CN"/>
              </w:rPr>
            </w:pPr>
            <w:r>
              <w:rPr>
                <w:rFonts w:hint="eastAsia"/>
                <w:lang w:val="en-US" w:eastAsia="zh-CN"/>
              </w:rPr>
              <w:t>54</w:t>
            </w:r>
          </w:p>
        </w:tc>
        <w:tc>
          <w:tcPr>
            <w:tcW w:w="1421" w:type="dxa"/>
            <w:vAlign w:val="center"/>
          </w:tcPr>
          <w:p w14:paraId="35911C16">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7537D461">
            <w:pPr>
              <w:pStyle w:val="31"/>
              <w:bidi w:val="0"/>
              <w:rPr>
                <w:rFonts w:hint="default"/>
                <w:lang w:val="en-US" w:eastAsia="zh-CN"/>
              </w:rPr>
            </w:pPr>
            <w:r>
              <w:rPr>
                <w:rFonts w:hint="eastAsia"/>
                <w:lang w:val="en-US" w:eastAsia="zh-CN"/>
              </w:rPr>
              <w:t>达标</w:t>
            </w:r>
          </w:p>
        </w:tc>
      </w:tr>
      <w:tr w14:paraId="65BFC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4B32A6BF">
            <w:pPr>
              <w:pStyle w:val="31"/>
              <w:bidi w:val="0"/>
              <w:jc w:val="center"/>
              <w:rPr>
                <w:rFonts w:hint="default"/>
                <w:lang w:val="en-US" w:eastAsia="zh-CN"/>
              </w:rPr>
            </w:pPr>
          </w:p>
        </w:tc>
        <w:tc>
          <w:tcPr>
            <w:tcW w:w="1420" w:type="dxa"/>
            <w:vMerge w:val="continue"/>
            <w:vAlign w:val="center"/>
          </w:tcPr>
          <w:p w14:paraId="707DC487">
            <w:pPr>
              <w:pStyle w:val="31"/>
              <w:bidi w:val="0"/>
              <w:jc w:val="center"/>
              <w:rPr>
                <w:rFonts w:hint="default"/>
                <w:lang w:val="en-US" w:eastAsia="zh-CN"/>
              </w:rPr>
            </w:pPr>
          </w:p>
        </w:tc>
        <w:tc>
          <w:tcPr>
            <w:tcW w:w="1420" w:type="dxa"/>
            <w:vAlign w:val="center"/>
          </w:tcPr>
          <w:p w14:paraId="27A98954">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3A88201E">
            <w:pPr>
              <w:pStyle w:val="31"/>
              <w:bidi w:val="0"/>
              <w:jc w:val="center"/>
              <w:rPr>
                <w:rFonts w:hint="default"/>
                <w:lang w:val="en-US" w:eastAsia="zh-CN"/>
              </w:rPr>
            </w:pPr>
            <w:r>
              <w:rPr>
                <w:rFonts w:hint="eastAsia"/>
                <w:lang w:val="en-US" w:eastAsia="zh-CN"/>
              </w:rPr>
              <w:t>44</w:t>
            </w:r>
          </w:p>
        </w:tc>
        <w:tc>
          <w:tcPr>
            <w:tcW w:w="1421" w:type="dxa"/>
            <w:vAlign w:val="center"/>
          </w:tcPr>
          <w:p w14:paraId="26F9192F">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5D188AFA">
            <w:pPr>
              <w:pStyle w:val="31"/>
              <w:bidi w:val="0"/>
              <w:rPr>
                <w:rFonts w:hint="default"/>
                <w:lang w:val="en-US" w:eastAsia="zh-CN"/>
              </w:rPr>
            </w:pPr>
            <w:r>
              <w:rPr>
                <w:rFonts w:hint="eastAsia"/>
                <w:lang w:val="en-US" w:eastAsia="zh-CN"/>
              </w:rPr>
              <w:t>达标</w:t>
            </w:r>
          </w:p>
        </w:tc>
      </w:tr>
      <w:tr w14:paraId="5CA6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restart"/>
            <w:vAlign w:val="center"/>
          </w:tcPr>
          <w:p w14:paraId="32E7210D">
            <w:pPr>
              <w:pStyle w:val="31"/>
              <w:bidi w:val="0"/>
              <w:jc w:val="center"/>
              <w:rPr>
                <w:rFonts w:hint="default"/>
                <w:lang w:val="en-US" w:eastAsia="zh-CN"/>
              </w:rPr>
            </w:pPr>
            <w:r>
              <w:rPr>
                <w:rFonts w:hint="eastAsia"/>
                <w:lang w:val="en-US" w:eastAsia="zh-CN"/>
              </w:rPr>
              <w:t>N3：项目厂界西侧</w:t>
            </w:r>
          </w:p>
        </w:tc>
        <w:tc>
          <w:tcPr>
            <w:tcW w:w="1420" w:type="dxa"/>
            <w:vMerge w:val="restart"/>
            <w:vAlign w:val="center"/>
          </w:tcPr>
          <w:p w14:paraId="2332A27B">
            <w:pPr>
              <w:pStyle w:val="31"/>
              <w:bidi w:val="0"/>
              <w:ind w:firstLine="0" w:firstLineChars="0"/>
              <w:jc w:val="center"/>
              <w:rPr>
                <w:rFonts w:hint="default"/>
                <w:lang w:val="en-US" w:eastAsia="zh-CN"/>
              </w:rPr>
            </w:pPr>
            <w:r>
              <w:rPr>
                <w:rFonts w:hint="eastAsia"/>
                <w:lang w:val="en-US" w:eastAsia="zh-CN"/>
              </w:rPr>
              <w:t>2025.05.21</w:t>
            </w:r>
          </w:p>
        </w:tc>
        <w:tc>
          <w:tcPr>
            <w:tcW w:w="1420" w:type="dxa"/>
            <w:vAlign w:val="center"/>
          </w:tcPr>
          <w:p w14:paraId="7EBB1BA8">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6B19C64B">
            <w:pPr>
              <w:pStyle w:val="31"/>
              <w:bidi w:val="0"/>
              <w:jc w:val="center"/>
              <w:rPr>
                <w:rFonts w:hint="default"/>
                <w:lang w:val="en-US" w:eastAsia="zh-CN"/>
              </w:rPr>
            </w:pPr>
            <w:r>
              <w:rPr>
                <w:rFonts w:hint="eastAsia"/>
                <w:lang w:val="en-US" w:eastAsia="zh-CN"/>
              </w:rPr>
              <w:t>54</w:t>
            </w:r>
          </w:p>
        </w:tc>
        <w:tc>
          <w:tcPr>
            <w:tcW w:w="1421" w:type="dxa"/>
            <w:vAlign w:val="center"/>
          </w:tcPr>
          <w:p w14:paraId="3D226AE4">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0A5F8994">
            <w:pPr>
              <w:pStyle w:val="31"/>
              <w:bidi w:val="0"/>
              <w:rPr>
                <w:rFonts w:hint="default"/>
                <w:lang w:val="en-US" w:eastAsia="zh-CN"/>
              </w:rPr>
            </w:pPr>
            <w:r>
              <w:rPr>
                <w:rFonts w:hint="eastAsia"/>
                <w:lang w:val="en-US" w:eastAsia="zh-CN"/>
              </w:rPr>
              <w:t>达标</w:t>
            </w:r>
          </w:p>
        </w:tc>
      </w:tr>
      <w:tr w14:paraId="0CE16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6885FA12">
            <w:pPr>
              <w:pStyle w:val="31"/>
              <w:bidi w:val="0"/>
              <w:jc w:val="center"/>
              <w:rPr>
                <w:rFonts w:hint="default"/>
                <w:lang w:val="en-US" w:eastAsia="zh-CN"/>
              </w:rPr>
            </w:pPr>
          </w:p>
        </w:tc>
        <w:tc>
          <w:tcPr>
            <w:tcW w:w="1420" w:type="dxa"/>
            <w:vMerge w:val="continue"/>
            <w:vAlign w:val="center"/>
          </w:tcPr>
          <w:p w14:paraId="25CC0950">
            <w:pPr>
              <w:pStyle w:val="31"/>
              <w:bidi w:val="0"/>
              <w:jc w:val="center"/>
              <w:rPr>
                <w:rFonts w:hint="default"/>
                <w:lang w:val="en-US" w:eastAsia="zh-CN"/>
              </w:rPr>
            </w:pPr>
          </w:p>
        </w:tc>
        <w:tc>
          <w:tcPr>
            <w:tcW w:w="1420" w:type="dxa"/>
            <w:vAlign w:val="center"/>
          </w:tcPr>
          <w:p w14:paraId="41FE46C2">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3102F8B4">
            <w:pPr>
              <w:pStyle w:val="31"/>
              <w:bidi w:val="0"/>
              <w:jc w:val="center"/>
              <w:rPr>
                <w:rFonts w:hint="default"/>
                <w:lang w:val="en-US" w:eastAsia="zh-CN"/>
              </w:rPr>
            </w:pPr>
            <w:r>
              <w:rPr>
                <w:rFonts w:hint="eastAsia"/>
                <w:lang w:val="en-US" w:eastAsia="zh-CN"/>
              </w:rPr>
              <w:t>44</w:t>
            </w:r>
          </w:p>
        </w:tc>
        <w:tc>
          <w:tcPr>
            <w:tcW w:w="1421" w:type="dxa"/>
            <w:vAlign w:val="center"/>
          </w:tcPr>
          <w:p w14:paraId="7027035B">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17D79097">
            <w:pPr>
              <w:pStyle w:val="31"/>
              <w:bidi w:val="0"/>
              <w:rPr>
                <w:rFonts w:hint="default"/>
                <w:lang w:val="en-US" w:eastAsia="zh-CN"/>
              </w:rPr>
            </w:pPr>
            <w:r>
              <w:rPr>
                <w:rFonts w:hint="eastAsia"/>
                <w:lang w:val="en-US" w:eastAsia="zh-CN"/>
              </w:rPr>
              <w:t>达标</w:t>
            </w:r>
          </w:p>
        </w:tc>
      </w:tr>
      <w:tr w14:paraId="49DD3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3B3B3ECA">
            <w:pPr>
              <w:pStyle w:val="31"/>
              <w:bidi w:val="0"/>
              <w:jc w:val="center"/>
              <w:rPr>
                <w:rFonts w:hint="default"/>
                <w:lang w:val="en-US" w:eastAsia="zh-CN"/>
              </w:rPr>
            </w:pPr>
          </w:p>
        </w:tc>
        <w:tc>
          <w:tcPr>
            <w:tcW w:w="1420" w:type="dxa"/>
            <w:vMerge w:val="restart"/>
            <w:vAlign w:val="center"/>
          </w:tcPr>
          <w:p w14:paraId="19A125B2">
            <w:pPr>
              <w:pStyle w:val="31"/>
              <w:bidi w:val="0"/>
              <w:ind w:firstLine="0" w:firstLineChars="0"/>
              <w:jc w:val="center"/>
              <w:rPr>
                <w:rFonts w:hint="default"/>
                <w:lang w:val="en-US" w:eastAsia="zh-CN"/>
              </w:rPr>
            </w:pPr>
            <w:r>
              <w:rPr>
                <w:rFonts w:hint="eastAsia"/>
                <w:lang w:val="en-US" w:eastAsia="zh-CN"/>
              </w:rPr>
              <w:t>2025.05.22</w:t>
            </w:r>
          </w:p>
        </w:tc>
        <w:tc>
          <w:tcPr>
            <w:tcW w:w="1420" w:type="dxa"/>
            <w:vAlign w:val="center"/>
          </w:tcPr>
          <w:p w14:paraId="185BD9FF">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0756483F">
            <w:pPr>
              <w:pStyle w:val="31"/>
              <w:bidi w:val="0"/>
              <w:jc w:val="center"/>
              <w:rPr>
                <w:rFonts w:hint="default"/>
                <w:lang w:val="en-US" w:eastAsia="zh-CN"/>
              </w:rPr>
            </w:pPr>
            <w:r>
              <w:rPr>
                <w:rFonts w:hint="eastAsia"/>
                <w:lang w:val="en-US" w:eastAsia="zh-CN"/>
              </w:rPr>
              <w:t>54</w:t>
            </w:r>
          </w:p>
        </w:tc>
        <w:tc>
          <w:tcPr>
            <w:tcW w:w="1421" w:type="dxa"/>
            <w:vAlign w:val="center"/>
          </w:tcPr>
          <w:p w14:paraId="1202D002">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2934FF4D">
            <w:pPr>
              <w:pStyle w:val="31"/>
              <w:bidi w:val="0"/>
              <w:rPr>
                <w:rFonts w:hint="default"/>
                <w:lang w:val="en-US" w:eastAsia="zh-CN"/>
              </w:rPr>
            </w:pPr>
            <w:r>
              <w:rPr>
                <w:rFonts w:hint="eastAsia"/>
                <w:lang w:val="en-US" w:eastAsia="zh-CN"/>
              </w:rPr>
              <w:t>达标</w:t>
            </w:r>
          </w:p>
        </w:tc>
      </w:tr>
      <w:tr w14:paraId="4CD4F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268294F7">
            <w:pPr>
              <w:pStyle w:val="31"/>
              <w:bidi w:val="0"/>
              <w:jc w:val="center"/>
              <w:rPr>
                <w:rFonts w:hint="default"/>
                <w:lang w:val="en-US" w:eastAsia="zh-CN"/>
              </w:rPr>
            </w:pPr>
          </w:p>
        </w:tc>
        <w:tc>
          <w:tcPr>
            <w:tcW w:w="1420" w:type="dxa"/>
            <w:vMerge w:val="continue"/>
            <w:vAlign w:val="center"/>
          </w:tcPr>
          <w:p w14:paraId="441A492A">
            <w:pPr>
              <w:pStyle w:val="31"/>
              <w:bidi w:val="0"/>
              <w:jc w:val="center"/>
              <w:rPr>
                <w:rFonts w:hint="default"/>
                <w:lang w:val="en-US" w:eastAsia="zh-CN"/>
              </w:rPr>
            </w:pPr>
          </w:p>
        </w:tc>
        <w:tc>
          <w:tcPr>
            <w:tcW w:w="1420" w:type="dxa"/>
            <w:vAlign w:val="center"/>
          </w:tcPr>
          <w:p w14:paraId="27E6D561">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195BE83F">
            <w:pPr>
              <w:pStyle w:val="31"/>
              <w:bidi w:val="0"/>
              <w:jc w:val="center"/>
              <w:rPr>
                <w:rFonts w:hint="default"/>
                <w:lang w:val="en-US" w:eastAsia="zh-CN"/>
              </w:rPr>
            </w:pPr>
            <w:r>
              <w:rPr>
                <w:rFonts w:hint="eastAsia"/>
                <w:lang w:val="en-US" w:eastAsia="zh-CN"/>
              </w:rPr>
              <w:t>43</w:t>
            </w:r>
          </w:p>
        </w:tc>
        <w:tc>
          <w:tcPr>
            <w:tcW w:w="1421" w:type="dxa"/>
            <w:vAlign w:val="center"/>
          </w:tcPr>
          <w:p w14:paraId="22D897BB">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19321D99">
            <w:pPr>
              <w:pStyle w:val="31"/>
              <w:bidi w:val="0"/>
              <w:rPr>
                <w:rFonts w:hint="default"/>
                <w:lang w:val="en-US" w:eastAsia="zh-CN"/>
              </w:rPr>
            </w:pPr>
            <w:r>
              <w:rPr>
                <w:rFonts w:hint="eastAsia"/>
                <w:lang w:val="en-US" w:eastAsia="zh-CN"/>
              </w:rPr>
              <w:t>达标</w:t>
            </w:r>
          </w:p>
        </w:tc>
      </w:tr>
      <w:tr w14:paraId="6125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restart"/>
            <w:vAlign w:val="center"/>
          </w:tcPr>
          <w:p w14:paraId="65832C70">
            <w:pPr>
              <w:pStyle w:val="31"/>
              <w:bidi w:val="0"/>
              <w:jc w:val="center"/>
              <w:rPr>
                <w:rFonts w:hint="default"/>
                <w:lang w:val="en-US" w:eastAsia="zh-CN"/>
              </w:rPr>
            </w:pPr>
            <w:r>
              <w:rPr>
                <w:rFonts w:hint="eastAsia"/>
                <w:lang w:val="en-US" w:eastAsia="zh-CN"/>
              </w:rPr>
              <w:t>N4：项目厂界北侧</w:t>
            </w:r>
          </w:p>
        </w:tc>
        <w:tc>
          <w:tcPr>
            <w:tcW w:w="1420" w:type="dxa"/>
            <w:vMerge w:val="restart"/>
            <w:vAlign w:val="center"/>
          </w:tcPr>
          <w:p w14:paraId="0F2D7FD2">
            <w:pPr>
              <w:pStyle w:val="31"/>
              <w:bidi w:val="0"/>
              <w:ind w:firstLine="0" w:firstLineChars="0"/>
              <w:jc w:val="center"/>
              <w:rPr>
                <w:rFonts w:hint="default"/>
                <w:lang w:val="en-US" w:eastAsia="zh-CN"/>
              </w:rPr>
            </w:pPr>
            <w:r>
              <w:rPr>
                <w:rFonts w:hint="eastAsia"/>
                <w:lang w:val="en-US" w:eastAsia="zh-CN"/>
              </w:rPr>
              <w:t>2025.05.21</w:t>
            </w:r>
          </w:p>
        </w:tc>
        <w:tc>
          <w:tcPr>
            <w:tcW w:w="1420" w:type="dxa"/>
            <w:vAlign w:val="center"/>
          </w:tcPr>
          <w:p w14:paraId="74D293CA">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725619B4">
            <w:pPr>
              <w:pStyle w:val="31"/>
              <w:bidi w:val="0"/>
              <w:jc w:val="center"/>
              <w:rPr>
                <w:rFonts w:hint="default"/>
                <w:lang w:val="en-US" w:eastAsia="zh-CN"/>
              </w:rPr>
            </w:pPr>
            <w:r>
              <w:rPr>
                <w:rFonts w:hint="eastAsia"/>
                <w:lang w:val="en-US" w:eastAsia="zh-CN"/>
              </w:rPr>
              <w:t>52</w:t>
            </w:r>
          </w:p>
        </w:tc>
        <w:tc>
          <w:tcPr>
            <w:tcW w:w="1421" w:type="dxa"/>
            <w:vAlign w:val="center"/>
          </w:tcPr>
          <w:p w14:paraId="563F1634">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7FC3E9FA">
            <w:pPr>
              <w:pStyle w:val="31"/>
              <w:bidi w:val="0"/>
              <w:rPr>
                <w:rFonts w:hint="default"/>
                <w:lang w:val="en-US" w:eastAsia="zh-CN"/>
              </w:rPr>
            </w:pPr>
            <w:r>
              <w:rPr>
                <w:rFonts w:hint="eastAsia"/>
                <w:lang w:val="en-US" w:eastAsia="zh-CN"/>
              </w:rPr>
              <w:t>达标</w:t>
            </w:r>
          </w:p>
        </w:tc>
      </w:tr>
      <w:tr w14:paraId="209CE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4B661CC3">
            <w:pPr>
              <w:pStyle w:val="31"/>
              <w:bidi w:val="0"/>
              <w:jc w:val="center"/>
              <w:rPr>
                <w:rFonts w:hint="default"/>
                <w:lang w:val="en-US" w:eastAsia="zh-CN"/>
              </w:rPr>
            </w:pPr>
          </w:p>
        </w:tc>
        <w:tc>
          <w:tcPr>
            <w:tcW w:w="1420" w:type="dxa"/>
            <w:vMerge w:val="continue"/>
            <w:vAlign w:val="center"/>
          </w:tcPr>
          <w:p w14:paraId="29CBA9E0">
            <w:pPr>
              <w:pStyle w:val="31"/>
              <w:bidi w:val="0"/>
              <w:jc w:val="center"/>
              <w:rPr>
                <w:rFonts w:hint="default"/>
                <w:lang w:val="en-US" w:eastAsia="zh-CN"/>
              </w:rPr>
            </w:pPr>
          </w:p>
        </w:tc>
        <w:tc>
          <w:tcPr>
            <w:tcW w:w="1420" w:type="dxa"/>
            <w:vAlign w:val="center"/>
          </w:tcPr>
          <w:p w14:paraId="00A0ACD4">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24437B33">
            <w:pPr>
              <w:pStyle w:val="31"/>
              <w:bidi w:val="0"/>
              <w:jc w:val="center"/>
              <w:rPr>
                <w:rFonts w:hint="default"/>
                <w:lang w:val="en-US" w:eastAsia="zh-CN"/>
              </w:rPr>
            </w:pPr>
            <w:r>
              <w:rPr>
                <w:rFonts w:hint="eastAsia"/>
                <w:lang w:val="en-US" w:eastAsia="zh-CN"/>
              </w:rPr>
              <w:t>43</w:t>
            </w:r>
          </w:p>
        </w:tc>
        <w:tc>
          <w:tcPr>
            <w:tcW w:w="1421" w:type="dxa"/>
            <w:vAlign w:val="center"/>
          </w:tcPr>
          <w:p w14:paraId="28049E94">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1DB84A61">
            <w:pPr>
              <w:pStyle w:val="31"/>
              <w:bidi w:val="0"/>
              <w:rPr>
                <w:rFonts w:hint="default"/>
                <w:lang w:val="en-US" w:eastAsia="zh-CN"/>
              </w:rPr>
            </w:pPr>
            <w:r>
              <w:rPr>
                <w:rFonts w:hint="eastAsia"/>
                <w:lang w:val="en-US" w:eastAsia="zh-CN"/>
              </w:rPr>
              <w:t>达标</w:t>
            </w:r>
          </w:p>
        </w:tc>
      </w:tr>
      <w:tr w14:paraId="12577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1CEFD581">
            <w:pPr>
              <w:pStyle w:val="31"/>
              <w:bidi w:val="0"/>
              <w:jc w:val="center"/>
              <w:rPr>
                <w:rFonts w:hint="default"/>
                <w:lang w:val="en-US" w:eastAsia="zh-CN"/>
              </w:rPr>
            </w:pPr>
          </w:p>
        </w:tc>
        <w:tc>
          <w:tcPr>
            <w:tcW w:w="1420" w:type="dxa"/>
            <w:vMerge w:val="restart"/>
            <w:vAlign w:val="center"/>
          </w:tcPr>
          <w:p w14:paraId="40BCE13B">
            <w:pPr>
              <w:pStyle w:val="31"/>
              <w:bidi w:val="0"/>
              <w:ind w:firstLine="0" w:firstLineChars="0"/>
              <w:jc w:val="center"/>
              <w:rPr>
                <w:rFonts w:hint="default"/>
                <w:lang w:val="en-US" w:eastAsia="zh-CN"/>
              </w:rPr>
            </w:pPr>
            <w:r>
              <w:rPr>
                <w:rFonts w:hint="eastAsia"/>
                <w:lang w:val="en-US" w:eastAsia="zh-CN"/>
              </w:rPr>
              <w:t>2025.05.22</w:t>
            </w:r>
          </w:p>
        </w:tc>
        <w:tc>
          <w:tcPr>
            <w:tcW w:w="1420" w:type="dxa"/>
            <w:vAlign w:val="center"/>
          </w:tcPr>
          <w:p w14:paraId="50CCAC18">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17916A6E">
            <w:pPr>
              <w:pStyle w:val="31"/>
              <w:bidi w:val="0"/>
              <w:jc w:val="center"/>
              <w:rPr>
                <w:rFonts w:hint="default"/>
                <w:lang w:val="en-US" w:eastAsia="zh-CN"/>
              </w:rPr>
            </w:pPr>
            <w:r>
              <w:rPr>
                <w:rFonts w:hint="eastAsia"/>
                <w:lang w:val="en-US" w:eastAsia="zh-CN"/>
              </w:rPr>
              <w:t>51</w:t>
            </w:r>
          </w:p>
        </w:tc>
        <w:tc>
          <w:tcPr>
            <w:tcW w:w="1421" w:type="dxa"/>
            <w:vAlign w:val="center"/>
          </w:tcPr>
          <w:p w14:paraId="09528983">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6CA57B2A">
            <w:pPr>
              <w:pStyle w:val="31"/>
              <w:bidi w:val="0"/>
              <w:rPr>
                <w:rFonts w:hint="default"/>
                <w:lang w:val="en-US" w:eastAsia="zh-CN"/>
              </w:rPr>
            </w:pPr>
            <w:r>
              <w:rPr>
                <w:rFonts w:hint="eastAsia"/>
                <w:lang w:val="en-US" w:eastAsia="zh-CN"/>
              </w:rPr>
              <w:t>达标</w:t>
            </w:r>
          </w:p>
        </w:tc>
      </w:tr>
      <w:tr w14:paraId="4D0F5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52FE4E60">
            <w:pPr>
              <w:pStyle w:val="31"/>
              <w:bidi w:val="0"/>
              <w:jc w:val="center"/>
              <w:rPr>
                <w:rFonts w:hint="default"/>
                <w:lang w:val="en-US" w:eastAsia="zh-CN"/>
              </w:rPr>
            </w:pPr>
          </w:p>
        </w:tc>
        <w:tc>
          <w:tcPr>
            <w:tcW w:w="1420" w:type="dxa"/>
            <w:vMerge w:val="continue"/>
            <w:vAlign w:val="center"/>
          </w:tcPr>
          <w:p w14:paraId="44541EEA">
            <w:pPr>
              <w:pStyle w:val="31"/>
              <w:bidi w:val="0"/>
              <w:jc w:val="center"/>
              <w:rPr>
                <w:rFonts w:hint="default"/>
                <w:lang w:val="en-US" w:eastAsia="zh-CN"/>
              </w:rPr>
            </w:pPr>
          </w:p>
        </w:tc>
        <w:tc>
          <w:tcPr>
            <w:tcW w:w="1420" w:type="dxa"/>
            <w:vAlign w:val="center"/>
          </w:tcPr>
          <w:p w14:paraId="1D50086B">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233E80B1">
            <w:pPr>
              <w:pStyle w:val="31"/>
              <w:bidi w:val="0"/>
              <w:jc w:val="center"/>
              <w:rPr>
                <w:rFonts w:hint="default"/>
                <w:lang w:val="en-US" w:eastAsia="zh-CN"/>
              </w:rPr>
            </w:pPr>
            <w:r>
              <w:rPr>
                <w:rFonts w:hint="eastAsia"/>
                <w:lang w:val="en-US" w:eastAsia="zh-CN"/>
              </w:rPr>
              <w:t>41</w:t>
            </w:r>
          </w:p>
        </w:tc>
        <w:tc>
          <w:tcPr>
            <w:tcW w:w="1421" w:type="dxa"/>
            <w:vAlign w:val="center"/>
          </w:tcPr>
          <w:p w14:paraId="05F500AA">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7EA22997">
            <w:pPr>
              <w:pStyle w:val="31"/>
              <w:bidi w:val="0"/>
              <w:rPr>
                <w:rFonts w:hint="default"/>
                <w:lang w:val="en-US" w:eastAsia="zh-CN"/>
              </w:rPr>
            </w:pPr>
            <w:r>
              <w:rPr>
                <w:rFonts w:hint="eastAsia"/>
                <w:lang w:val="en-US" w:eastAsia="zh-CN"/>
              </w:rPr>
              <w:t>达标</w:t>
            </w:r>
          </w:p>
        </w:tc>
      </w:tr>
      <w:tr w14:paraId="3FF72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restart"/>
            <w:vAlign w:val="center"/>
          </w:tcPr>
          <w:p w14:paraId="0B72C0AC">
            <w:pPr>
              <w:pStyle w:val="31"/>
              <w:bidi w:val="0"/>
              <w:jc w:val="center"/>
              <w:rPr>
                <w:rFonts w:hint="default"/>
                <w:lang w:val="en-US" w:eastAsia="zh-CN"/>
              </w:rPr>
            </w:pPr>
            <w:r>
              <w:rPr>
                <w:rFonts w:hint="eastAsia"/>
                <w:lang w:val="en-US" w:eastAsia="zh-CN"/>
              </w:rPr>
              <w:t>N5：项目东侧40m处居民</w:t>
            </w:r>
          </w:p>
        </w:tc>
        <w:tc>
          <w:tcPr>
            <w:tcW w:w="1420" w:type="dxa"/>
            <w:vMerge w:val="restart"/>
            <w:vAlign w:val="center"/>
          </w:tcPr>
          <w:p w14:paraId="25D1F292">
            <w:pPr>
              <w:pStyle w:val="31"/>
              <w:bidi w:val="0"/>
              <w:ind w:firstLine="0" w:firstLineChars="0"/>
              <w:jc w:val="center"/>
              <w:rPr>
                <w:rFonts w:hint="default"/>
                <w:lang w:val="en-US" w:eastAsia="zh-CN"/>
              </w:rPr>
            </w:pPr>
            <w:r>
              <w:rPr>
                <w:rFonts w:hint="eastAsia"/>
                <w:lang w:val="en-US" w:eastAsia="zh-CN"/>
              </w:rPr>
              <w:t>2025.05.21</w:t>
            </w:r>
          </w:p>
        </w:tc>
        <w:tc>
          <w:tcPr>
            <w:tcW w:w="1420" w:type="dxa"/>
            <w:vAlign w:val="center"/>
          </w:tcPr>
          <w:p w14:paraId="57B69E0A">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1C1AECF1">
            <w:pPr>
              <w:pStyle w:val="31"/>
              <w:bidi w:val="0"/>
              <w:jc w:val="center"/>
              <w:rPr>
                <w:rFonts w:hint="default"/>
                <w:lang w:val="en-US" w:eastAsia="zh-CN"/>
              </w:rPr>
            </w:pPr>
            <w:r>
              <w:rPr>
                <w:rFonts w:hint="eastAsia"/>
                <w:lang w:val="en-US" w:eastAsia="zh-CN"/>
              </w:rPr>
              <w:t>51</w:t>
            </w:r>
          </w:p>
        </w:tc>
        <w:tc>
          <w:tcPr>
            <w:tcW w:w="1421" w:type="dxa"/>
            <w:vAlign w:val="center"/>
          </w:tcPr>
          <w:p w14:paraId="48AC6F59">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71A0F609">
            <w:pPr>
              <w:pStyle w:val="31"/>
              <w:bidi w:val="0"/>
              <w:rPr>
                <w:rFonts w:hint="default"/>
                <w:lang w:val="en-US" w:eastAsia="zh-CN"/>
              </w:rPr>
            </w:pPr>
            <w:r>
              <w:rPr>
                <w:rFonts w:hint="eastAsia"/>
                <w:lang w:val="en-US" w:eastAsia="zh-CN"/>
              </w:rPr>
              <w:t>达标</w:t>
            </w:r>
          </w:p>
        </w:tc>
      </w:tr>
      <w:tr w14:paraId="63C7E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149E1C5B">
            <w:pPr>
              <w:pStyle w:val="31"/>
              <w:bidi w:val="0"/>
              <w:jc w:val="center"/>
              <w:rPr>
                <w:rFonts w:hint="default"/>
                <w:lang w:val="en-US" w:eastAsia="zh-CN"/>
              </w:rPr>
            </w:pPr>
          </w:p>
        </w:tc>
        <w:tc>
          <w:tcPr>
            <w:tcW w:w="1420" w:type="dxa"/>
            <w:vMerge w:val="continue"/>
            <w:vAlign w:val="center"/>
          </w:tcPr>
          <w:p w14:paraId="727AF6C5">
            <w:pPr>
              <w:pStyle w:val="31"/>
              <w:bidi w:val="0"/>
              <w:jc w:val="center"/>
              <w:rPr>
                <w:rFonts w:hint="default"/>
                <w:lang w:val="en-US" w:eastAsia="zh-CN"/>
              </w:rPr>
            </w:pPr>
          </w:p>
        </w:tc>
        <w:tc>
          <w:tcPr>
            <w:tcW w:w="1420" w:type="dxa"/>
            <w:vAlign w:val="center"/>
          </w:tcPr>
          <w:p w14:paraId="68CD6031">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1EA5B816">
            <w:pPr>
              <w:pStyle w:val="31"/>
              <w:bidi w:val="0"/>
              <w:jc w:val="center"/>
              <w:rPr>
                <w:rFonts w:hint="default"/>
                <w:lang w:val="en-US" w:eastAsia="zh-CN"/>
              </w:rPr>
            </w:pPr>
            <w:r>
              <w:rPr>
                <w:rFonts w:hint="eastAsia"/>
                <w:lang w:val="en-US" w:eastAsia="zh-CN"/>
              </w:rPr>
              <w:t>42</w:t>
            </w:r>
          </w:p>
        </w:tc>
        <w:tc>
          <w:tcPr>
            <w:tcW w:w="1421" w:type="dxa"/>
            <w:vAlign w:val="center"/>
          </w:tcPr>
          <w:p w14:paraId="5FBF6836">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21BBA4FF">
            <w:pPr>
              <w:pStyle w:val="31"/>
              <w:bidi w:val="0"/>
              <w:rPr>
                <w:rFonts w:hint="default"/>
                <w:lang w:val="en-US" w:eastAsia="zh-CN"/>
              </w:rPr>
            </w:pPr>
            <w:r>
              <w:rPr>
                <w:rFonts w:hint="eastAsia"/>
                <w:lang w:val="en-US" w:eastAsia="zh-CN"/>
              </w:rPr>
              <w:t>达标</w:t>
            </w:r>
          </w:p>
        </w:tc>
      </w:tr>
      <w:tr w14:paraId="5168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01F4A413">
            <w:pPr>
              <w:pStyle w:val="31"/>
              <w:bidi w:val="0"/>
              <w:jc w:val="center"/>
              <w:rPr>
                <w:rFonts w:hint="default"/>
                <w:lang w:val="en-US" w:eastAsia="zh-CN"/>
              </w:rPr>
            </w:pPr>
          </w:p>
        </w:tc>
        <w:tc>
          <w:tcPr>
            <w:tcW w:w="1420" w:type="dxa"/>
            <w:vMerge w:val="restart"/>
            <w:vAlign w:val="center"/>
          </w:tcPr>
          <w:p w14:paraId="370214F4">
            <w:pPr>
              <w:pStyle w:val="31"/>
              <w:bidi w:val="0"/>
              <w:ind w:firstLine="0" w:firstLineChars="0"/>
              <w:jc w:val="center"/>
              <w:rPr>
                <w:rFonts w:hint="default"/>
                <w:lang w:val="en-US" w:eastAsia="zh-CN"/>
              </w:rPr>
            </w:pPr>
            <w:r>
              <w:rPr>
                <w:rFonts w:hint="eastAsia"/>
                <w:lang w:val="en-US" w:eastAsia="zh-CN"/>
              </w:rPr>
              <w:t>2025.05.22</w:t>
            </w:r>
          </w:p>
        </w:tc>
        <w:tc>
          <w:tcPr>
            <w:tcW w:w="1420" w:type="dxa"/>
            <w:vAlign w:val="center"/>
          </w:tcPr>
          <w:p w14:paraId="416C3691">
            <w:pPr>
              <w:pStyle w:val="31"/>
              <w:bidi w:val="0"/>
              <w:ind w:firstLine="0" w:firstLineChars="0"/>
              <w:jc w:val="center"/>
              <w:rPr>
                <w:rFonts w:hint="default"/>
                <w:lang w:val="en-US" w:eastAsia="zh-CN"/>
              </w:rPr>
            </w:pPr>
            <w:r>
              <w:rPr>
                <w:rFonts w:hint="eastAsia"/>
                <w:lang w:val="en-US" w:eastAsia="zh-CN"/>
              </w:rPr>
              <w:t>昼间</w:t>
            </w:r>
          </w:p>
        </w:tc>
        <w:tc>
          <w:tcPr>
            <w:tcW w:w="1420" w:type="dxa"/>
            <w:vAlign w:val="center"/>
          </w:tcPr>
          <w:p w14:paraId="62D8DE24">
            <w:pPr>
              <w:pStyle w:val="31"/>
              <w:bidi w:val="0"/>
              <w:jc w:val="center"/>
              <w:rPr>
                <w:rFonts w:hint="default"/>
                <w:lang w:val="en-US" w:eastAsia="zh-CN"/>
              </w:rPr>
            </w:pPr>
            <w:r>
              <w:rPr>
                <w:rFonts w:hint="eastAsia"/>
                <w:lang w:val="en-US" w:eastAsia="zh-CN"/>
              </w:rPr>
              <w:t>52</w:t>
            </w:r>
          </w:p>
        </w:tc>
        <w:tc>
          <w:tcPr>
            <w:tcW w:w="1421" w:type="dxa"/>
            <w:vAlign w:val="center"/>
          </w:tcPr>
          <w:p w14:paraId="094B011F">
            <w:pPr>
              <w:pStyle w:val="31"/>
              <w:bidi w:val="0"/>
              <w:ind w:firstLine="0" w:firstLineChars="0"/>
              <w:jc w:val="center"/>
              <w:rPr>
                <w:rFonts w:hint="default"/>
                <w:lang w:val="en-US" w:eastAsia="zh-CN"/>
              </w:rPr>
            </w:pPr>
            <w:r>
              <w:rPr>
                <w:rFonts w:hint="eastAsia"/>
                <w:lang w:val="en-US" w:eastAsia="zh-CN"/>
              </w:rPr>
              <w:t>60</w:t>
            </w:r>
          </w:p>
        </w:tc>
        <w:tc>
          <w:tcPr>
            <w:tcW w:w="1421" w:type="dxa"/>
            <w:vAlign w:val="center"/>
          </w:tcPr>
          <w:p w14:paraId="039ECBA5">
            <w:pPr>
              <w:pStyle w:val="31"/>
              <w:bidi w:val="0"/>
              <w:rPr>
                <w:rFonts w:hint="default"/>
                <w:lang w:val="en-US" w:eastAsia="zh-CN"/>
              </w:rPr>
            </w:pPr>
            <w:r>
              <w:rPr>
                <w:rFonts w:hint="eastAsia"/>
                <w:lang w:val="en-US" w:eastAsia="zh-CN"/>
              </w:rPr>
              <w:t>达标</w:t>
            </w:r>
          </w:p>
        </w:tc>
      </w:tr>
      <w:tr w14:paraId="2F3B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20" w:type="dxa"/>
            <w:vMerge w:val="continue"/>
            <w:vAlign w:val="center"/>
          </w:tcPr>
          <w:p w14:paraId="5DF1BDB4">
            <w:pPr>
              <w:pStyle w:val="31"/>
              <w:bidi w:val="0"/>
              <w:jc w:val="center"/>
              <w:rPr>
                <w:rFonts w:hint="default"/>
                <w:lang w:val="en-US" w:eastAsia="zh-CN"/>
              </w:rPr>
            </w:pPr>
          </w:p>
        </w:tc>
        <w:tc>
          <w:tcPr>
            <w:tcW w:w="1420" w:type="dxa"/>
            <w:vMerge w:val="continue"/>
            <w:vAlign w:val="center"/>
          </w:tcPr>
          <w:p w14:paraId="21A5FEFA">
            <w:pPr>
              <w:pStyle w:val="31"/>
              <w:bidi w:val="0"/>
              <w:jc w:val="center"/>
              <w:rPr>
                <w:rFonts w:hint="default"/>
                <w:lang w:val="en-US" w:eastAsia="zh-CN"/>
              </w:rPr>
            </w:pPr>
          </w:p>
        </w:tc>
        <w:tc>
          <w:tcPr>
            <w:tcW w:w="1420" w:type="dxa"/>
            <w:vAlign w:val="center"/>
          </w:tcPr>
          <w:p w14:paraId="697874A2">
            <w:pPr>
              <w:pStyle w:val="31"/>
              <w:bidi w:val="0"/>
              <w:ind w:firstLine="0" w:firstLineChars="0"/>
              <w:jc w:val="center"/>
              <w:rPr>
                <w:rFonts w:hint="default"/>
                <w:lang w:val="en-US" w:eastAsia="zh-CN"/>
              </w:rPr>
            </w:pPr>
            <w:r>
              <w:rPr>
                <w:rFonts w:hint="eastAsia"/>
                <w:lang w:val="en-US" w:eastAsia="zh-CN"/>
              </w:rPr>
              <w:t>夜间</w:t>
            </w:r>
          </w:p>
        </w:tc>
        <w:tc>
          <w:tcPr>
            <w:tcW w:w="1420" w:type="dxa"/>
            <w:vAlign w:val="center"/>
          </w:tcPr>
          <w:p w14:paraId="2649EC32">
            <w:pPr>
              <w:pStyle w:val="31"/>
              <w:bidi w:val="0"/>
              <w:jc w:val="center"/>
              <w:rPr>
                <w:rFonts w:hint="default"/>
                <w:lang w:val="en-US" w:eastAsia="zh-CN"/>
              </w:rPr>
            </w:pPr>
            <w:r>
              <w:rPr>
                <w:rFonts w:hint="eastAsia"/>
                <w:lang w:val="en-US" w:eastAsia="zh-CN"/>
              </w:rPr>
              <w:t>42</w:t>
            </w:r>
          </w:p>
        </w:tc>
        <w:tc>
          <w:tcPr>
            <w:tcW w:w="1421" w:type="dxa"/>
            <w:vAlign w:val="center"/>
          </w:tcPr>
          <w:p w14:paraId="5C319EC2">
            <w:pPr>
              <w:pStyle w:val="31"/>
              <w:bidi w:val="0"/>
              <w:ind w:firstLine="0" w:firstLineChars="0"/>
              <w:jc w:val="center"/>
              <w:rPr>
                <w:rFonts w:hint="default"/>
                <w:lang w:val="en-US" w:eastAsia="zh-CN"/>
              </w:rPr>
            </w:pPr>
            <w:r>
              <w:rPr>
                <w:rFonts w:hint="eastAsia"/>
                <w:lang w:val="en-US" w:eastAsia="zh-CN"/>
              </w:rPr>
              <w:t>50</w:t>
            </w:r>
          </w:p>
        </w:tc>
        <w:tc>
          <w:tcPr>
            <w:tcW w:w="1421" w:type="dxa"/>
            <w:vAlign w:val="center"/>
          </w:tcPr>
          <w:p w14:paraId="2CBC88C8">
            <w:pPr>
              <w:pStyle w:val="31"/>
              <w:bidi w:val="0"/>
              <w:rPr>
                <w:rFonts w:hint="default"/>
                <w:lang w:val="en-US" w:eastAsia="zh-CN"/>
              </w:rPr>
            </w:pPr>
            <w:r>
              <w:rPr>
                <w:rFonts w:hint="eastAsia"/>
                <w:lang w:val="en-US" w:eastAsia="zh-CN"/>
              </w:rPr>
              <w:t>达标</w:t>
            </w:r>
          </w:p>
        </w:tc>
      </w:tr>
    </w:tbl>
    <w:p w14:paraId="21E9A7B6">
      <w:pPr>
        <w:pStyle w:val="21"/>
        <w:rPr>
          <w:rFonts w:hint="default" w:eastAsia="宋体"/>
          <w:lang w:val="en-US" w:eastAsia="zh-CN"/>
        </w:rPr>
      </w:pPr>
      <w:r>
        <w:rPr>
          <w:rFonts w:hint="eastAsia"/>
          <w:lang w:val="en-US" w:eastAsia="zh-CN"/>
        </w:rPr>
        <w:t>根据监测结果可知，项目四侧厂界昼间噪声监测结果均能满足</w:t>
      </w:r>
      <w:r>
        <w:rPr>
          <w:rFonts w:hint="default"/>
        </w:rPr>
        <w:t>《工业企业厂界环境噪声排放标准》（GB12348-2008）中</w:t>
      </w:r>
      <w:r>
        <w:rPr>
          <w:rFonts w:hint="eastAsia"/>
          <w:lang w:val="en-US" w:eastAsia="zh-CN"/>
        </w:rPr>
        <w:t>2</w:t>
      </w:r>
      <w:r>
        <w:rPr>
          <w:rFonts w:hint="default"/>
        </w:rPr>
        <w:t>类标准限值</w:t>
      </w:r>
      <w:r>
        <w:rPr>
          <w:rFonts w:hint="eastAsia"/>
          <w:lang w:eastAsia="zh-CN"/>
        </w:rPr>
        <w:t>（</w:t>
      </w:r>
      <w:r>
        <w:rPr>
          <w:rFonts w:hint="eastAsia"/>
          <w:lang w:val="en-US" w:eastAsia="zh-CN"/>
        </w:rPr>
        <w:t>监测期间，现有项目昼间正常运行，因此厂界噪声执行排放标准</w:t>
      </w:r>
      <w:r>
        <w:rPr>
          <w:rFonts w:hint="eastAsia"/>
          <w:lang w:eastAsia="zh-CN"/>
        </w:rPr>
        <w:t>）；</w:t>
      </w:r>
      <w:r>
        <w:rPr>
          <w:rFonts w:hint="eastAsia"/>
          <w:lang w:val="en-US" w:eastAsia="zh-CN"/>
        </w:rPr>
        <w:t>项目四侧厂界夜间噪声监测结果均能满足</w:t>
      </w:r>
      <w:r>
        <w:t>《声环境质量标准》（GB3096-2008）中的2类标准</w:t>
      </w:r>
      <w:r>
        <w:rPr>
          <w:rFonts w:hint="eastAsia"/>
          <w:lang w:val="en-US" w:eastAsia="zh-CN"/>
        </w:rPr>
        <w:t>限值</w:t>
      </w:r>
      <w:r>
        <w:rPr>
          <w:rFonts w:hint="eastAsia"/>
          <w:lang w:eastAsia="zh-CN"/>
        </w:rPr>
        <w:t>（</w:t>
      </w:r>
      <w:r>
        <w:rPr>
          <w:rFonts w:hint="eastAsia"/>
          <w:lang w:val="en-US" w:eastAsia="zh-CN"/>
        </w:rPr>
        <w:t>监测期间，现有项目夜间不运行，因此厂界噪声执行排放标准</w:t>
      </w:r>
      <w:r>
        <w:rPr>
          <w:rFonts w:hint="eastAsia"/>
          <w:lang w:eastAsia="zh-CN"/>
        </w:rPr>
        <w:t>）</w:t>
      </w:r>
      <w:r>
        <w:rPr>
          <w:rFonts w:hint="eastAsia"/>
          <w:lang w:val="en-US" w:eastAsia="zh-CN"/>
        </w:rPr>
        <w:t>；项目东侧40m处居民昼夜间噪声监测结果均能满足</w:t>
      </w:r>
      <w:r>
        <w:t>《声环境质量标准》（GB3096-2008）中的2类标准</w:t>
      </w:r>
      <w:r>
        <w:rPr>
          <w:rFonts w:hint="eastAsia"/>
          <w:lang w:val="en-US" w:eastAsia="zh-CN"/>
        </w:rPr>
        <w:t>限值。</w:t>
      </w:r>
    </w:p>
    <w:p w14:paraId="04391874">
      <w:pPr>
        <w:pStyle w:val="28"/>
      </w:pPr>
      <w:bookmarkStart w:id="141" w:name="_Toc28313"/>
      <w:r>
        <w:rPr>
          <w:rFonts w:hint="eastAsia"/>
        </w:rPr>
        <w:t>4.6土壤环境质量现状</w:t>
      </w:r>
      <w:bookmarkEnd w:id="141"/>
    </w:p>
    <w:p w14:paraId="5FA201C2">
      <w:pPr>
        <w:pStyle w:val="21"/>
        <w:ind w:firstLine="480"/>
      </w:pPr>
      <w:r>
        <w:rPr>
          <w:rFonts w:hint="eastAsia"/>
        </w:rPr>
        <w:t>为了解区域土壤环境质量现状，本次委托国检测试控股集团你华科科技有限公司对项目区域土壤质量进行监测：</w:t>
      </w:r>
    </w:p>
    <w:p w14:paraId="652A64E3">
      <w:pPr>
        <w:pStyle w:val="21"/>
        <w:ind w:firstLine="480"/>
      </w:pPr>
      <w:r>
        <w:rPr>
          <w:rFonts w:hint="eastAsia"/>
        </w:rPr>
        <w:t>（1）监测点位</w:t>
      </w:r>
    </w:p>
    <w:p w14:paraId="266D4A82">
      <w:pPr>
        <w:pStyle w:val="21"/>
        <w:ind w:firstLine="480"/>
      </w:pPr>
      <w:r>
        <w:rPr>
          <w:rFonts w:hint="eastAsia"/>
        </w:rPr>
        <w:t>共设置3个土壤监测点位，均监测表层样：</w:t>
      </w:r>
    </w:p>
    <w:p w14:paraId="49D0223C">
      <w:pPr>
        <w:pStyle w:val="21"/>
        <w:ind w:firstLine="480"/>
        <w:rPr>
          <w:rFonts w:hint="eastAsia" w:eastAsia="宋体"/>
          <w:lang w:eastAsia="zh-CN"/>
        </w:rPr>
      </w:pPr>
      <w:r>
        <w:rPr>
          <w:rFonts w:hint="eastAsia"/>
        </w:rPr>
        <w:t>T1：厂界范围内</w:t>
      </w:r>
      <w:r>
        <w:rPr>
          <w:rFonts w:hint="eastAsia"/>
          <w:lang w:val="en-US" w:eastAsia="zh-CN"/>
        </w:rPr>
        <w:t>北侧</w:t>
      </w:r>
    </w:p>
    <w:p w14:paraId="50BE3CCD">
      <w:pPr>
        <w:pStyle w:val="21"/>
        <w:ind w:firstLine="480"/>
      </w:pPr>
      <w:r>
        <w:rPr>
          <w:rFonts w:hint="eastAsia"/>
        </w:rPr>
        <w:t>T2：厂界范围内东侧</w:t>
      </w:r>
    </w:p>
    <w:p w14:paraId="2D2F589E">
      <w:pPr>
        <w:pStyle w:val="21"/>
        <w:ind w:firstLine="480"/>
      </w:pPr>
      <w:r>
        <w:rPr>
          <w:rFonts w:hint="eastAsia"/>
        </w:rPr>
        <w:t>T3：厂界范围内南侧</w:t>
      </w:r>
    </w:p>
    <w:p w14:paraId="0C677E91">
      <w:pPr>
        <w:pStyle w:val="21"/>
        <w:ind w:firstLine="480"/>
      </w:pPr>
      <w:r>
        <w:rPr>
          <w:rFonts w:hint="eastAsia"/>
        </w:rPr>
        <w:t>（2）监测因子</w:t>
      </w:r>
    </w:p>
    <w:p w14:paraId="796F39FE">
      <w:pPr>
        <w:pStyle w:val="21"/>
        <w:ind w:firstLine="480"/>
      </w:pPr>
      <w:r>
        <w:rPr>
          <w:rFonts w:hint="eastAsia"/>
        </w:rPr>
        <w:t>T2：监测GB36600-2018中45项基本因子+石油烃+pH值</w:t>
      </w:r>
    </w:p>
    <w:p w14:paraId="3B10C3C1">
      <w:pPr>
        <w:pStyle w:val="21"/>
        <w:ind w:firstLine="480"/>
      </w:pPr>
      <w:r>
        <w:rPr>
          <w:rFonts w:hint="eastAsia"/>
        </w:rPr>
        <w:t>T1、T3：监测pH值、石油烃（C</w:t>
      </w:r>
      <w:r>
        <w:rPr>
          <w:rFonts w:hint="eastAsia"/>
          <w:vertAlign w:val="subscript"/>
        </w:rPr>
        <w:t>10</w:t>
      </w:r>
      <w:r>
        <w:rPr>
          <w:rFonts w:hint="eastAsia"/>
        </w:rPr>
        <w:t>-C</w:t>
      </w:r>
      <w:r>
        <w:rPr>
          <w:rFonts w:hint="eastAsia"/>
          <w:vertAlign w:val="subscript"/>
        </w:rPr>
        <w:t>40</w:t>
      </w:r>
      <w:r>
        <w:rPr>
          <w:rFonts w:hint="eastAsia"/>
        </w:rPr>
        <w:t>）、砷、镉、六价铬、铜、铅、镍、苯、间，对二甲苯、邻二甲苯、甲苯、乙苯</w:t>
      </w:r>
    </w:p>
    <w:p w14:paraId="0D328DF8">
      <w:pPr>
        <w:pStyle w:val="21"/>
        <w:ind w:firstLine="480"/>
      </w:pPr>
      <w:r>
        <w:rPr>
          <w:rFonts w:hint="eastAsia"/>
        </w:rPr>
        <w:t>（3）监测频次</w:t>
      </w:r>
    </w:p>
    <w:p w14:paraId="677D282D">
      <w:pPr>
        <w:pStyle w:val="21"/>
        <w:ind w:firstLine="480"/>
      </w:pPr>
      <w:r>
        <w:rPr>
          <w:rFonts w:hint="eastAsia"/>
        </w:rPr>
        <w:t>监测1次</w:t>
      </w:r>
    </w:p>
    <w:p w14:paraId="477B3252">
      <w:pPr>
        <w:pStyle w:val="21"/>
        <w:ind w:firstLine="480"/>
      </w:pPr>
      <w:r>
        <w:rPr>
          <w:rFonts w:hint="eastAsia"/>
        </w:rPr>
        <w:t>（4）执行标准</w:t>
      </w:r>
    </w:p>
    <w:p w14:paraId="5C4643D0">
      <w:pPr>
        <w:pStyle w:val="21"/>
        <w:ind w:firstLine="480"/>
      </w:pPr>
      <w:r>
        <w:rPr>
          <w:rFonts w:hint="eastAsia"/>
        </w:rPr>
        <w:t>《土壤质量标准 建设用地土壤污染风险管控标准（试行）》（GB36600-2018）第二类用地筛选值</w:t>
      </w:r>
    </w:p>
    <w:p w14:paraId="0EA45C1B">
      <w:pPr>
        <w:pStyle w:val="21"/>
        <w:ind w:firstLine="480"/>
      </w:pPr>
      <w:r>
        <w:rPr>
          <w:rFonts w:hint="eastAsia"/>
        </w:rPr>
        <w:t>（5）监测结果</w:t>
      </w:r>
    </w:p>
    <w:p w14:paraId="526E2D9B">
      <w:pPr>
        <w:pStyle w:val="21"/>
        <w:ind w:firstLine="480"/>
      </w:pPr>
      <w:r>
        <w:rPr>
          <w:rFonts w:hint="eastAsia"/>
        </w:rPr>
        <w:t>监测结果详见表4.6-1和表4.6-2。</w:t>
      </w:r>
    </w:p>
    <w:p w14:paraId="67D87D2E">
      <w:pPr>
        <w:pStyle w:val="23"/>
      </w:pPr>
      <w:r>
        <w:rPr>
          <w:rFonts w:hint="eastAsia"/>
        </w:rPr>
        <w:t>表4.6-1  T1和T3监测结果一览表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4"/>
        <w:gridCol w:w="934"/>
        <w:gridCol w:w="1307"/>
        <w:gridCol w:w="1307"/>
        <w:gridCol w:w="1311"/>
        <w:gridCol w:w="1309"/>
      </w:tblGrid>
      <w:tr w14:paraId="0C0D4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1" w:type="pct"/>
            <w:vMerge w:val="restart"/>
            <w:vAlign w:val="center"/>
          </w:tcPr>
          <w:p w14:paraId="774740CC">
            <w:pPr>
              <w:pStyle w:val="31"/>
              <w:rPr>
                <w:rFonts w:cs="Times New Roman"/>
                <w:kern w:val="0"/>
              </w:rPr>
            </w:pPr>
            <w:r>
              <w:rPr>
                <w:rFonts w:hint="eastAsia" w:cs="Times New Roman"/>
                <w:kern w:val="0"/>
              </w:rPr>
              <w:t>监测因子</w:t>
            </w:r>
          </w:p>
        </w:tc>
        <w:tc>
          <w:tcPr>
            <w:tcW w:w="548" w:type="pct"/>
            <w:vMerge w:val="restart"/>
            <w:vAlign w:val="center"/>
          </w:tcPr>
          <w:p w14:paraId="038DD251">
            <w:pPr>
              <w:pStyle w:val="31"/>
              <w:rPr>
                <w:rFonts w:cs="Times New Roman"/>
                <w:kern w:val="0"/>
              </w:rPr>
            </w:pPr>
            <w:r>
              <w:rPr>
                <w:rFonts w:hint="eastAsia" w:cs="Times New Roman"/>
                <w:kern w:val="0"/>
              </w:rPr>
              <w:t>单位</w:t>
            </w:r>
          </w:p>
        </w:tc>
        <w:tc>
          <w:tcPr>
            <w:tcW w:w="1534" w:type="pct"/>
            <w:gridSpan w:val="2"/>
            <w:vAlign w:val="center"/>
          </w:tcPr>
          <w:p w14:paraId="72CA18CE">
            <w:pPr>
              <w:pStyle w:val="31"/>
              <w:rPr>
                <w:rFonts w:cs="Times New Roman"/>
                <w:kern w:val="0"/>
              </w:rPr>
            </w:pPr>
            <w:r>
              <w:rPr>
                <w:rFonts w:hint="eastAsia" w:cs="Times New Roman"/>
                <w:kern w:val="0"/>
              </w:rPr>
              <w:t>监测结果及采样点位</w:t>
            </w:r>
          </w:p>
        </w:tc>
        <w:tc>
          <w:tcPr>
            <w:tcW w:w="769" w:type="pct"/>
            <w:vMerge w:val="restart"/>
            <w:vAlign w:val="center"/>
          </w:tcPr>
          <w:p w14:paraId="4E269D8E">
            <w:pPr>
              <w:pStyle w:val="31"/>
              <w:rPr>
                <w:rFonts w:cs="Times New Roman"/>
                <w:kern w:val="0"/>
              </w:rPr>
            </w:pPr>
            <w:r>
              <w:rPr>
                <w:rFonts w:hint="eastAsia" w:cs="Times New Roman"/>
                <w:kern w:val="0"/>
              </w:rPr>
              <w:t>标准限值</w:t>
            </w:r>
          </w:p>
        </w:tc>
        <w:tc>
          <w:tcPr>
            <w:tcW w:w="768" w:type="pct"/>
            <w:vMerge w:val="restart"/>
            <w:vAlign w:val="center"/>
          </w:tcPr>
          <w:p w14:paraId="3A774134">
            <w:pPr>
              <w:pStyle w:val="31"/>
              <w:rPr>
                <w:rFonts w:cs="Times New Roman"/>
                <w:kern w:val="0"/>
              </w:rPr>
            </w:pPr>
            <w:r>
              <w:rPr>
                <w:rFonts w:hint="eastAsia" w:cs="Times New Roman"/>
                <w:kern w:val="0"/>
              </w:rPr>
              <w:t>达标情况</w:t>
            </w:r>
          </w:p>
        </w:tc>
      </w:tr>
      <w:tr w14:paraId="2001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Merge w:val="continue"/>
            <w:vAlign w:val="center"/>
          </w:tcPr>
          <w:p w14:paraId="73A81437">
            <w:pPr>
              <w:pStyle w:val="31"/>
              <w:rPr>
                <w:rFonts w:cs="Times New Roman"/>
                <w:kern w:val="0"/>
              </w:rPr>
            </w:pPr>
          </w:p>
        </w:tc>
        <w:tc>
          <w:tcPr>
            <w:tcW w:w="548" w:type="pct"/>
            <w:vMerge w:val="continue"/>
            <w:vAlign w:val="center"/>
          </w:tcPr>
          <w:p w14:paraId="121C7560">
            <w:pPr>
              <w:pStyle w:val="31"/>
              <w:rPr>
                <w:rFonts w:cs="Times New Roman"/>
                <w:kern w:val="0"/>
              </w:rPr>
            </w:pPr>
          </w:p>
        </w:tc>
        <w:tc>
          <w:tcPr>
            <w:tcW w:w="767" w:type="pct"/>
            <w:vAlign w:val="center"/>
          </w:tcPr>
          <w:p w14:paraId="68CF8CDC">
            <w:pPr>
              <w:pStyle w:val="31"/>
              <w:rPr>
                <w:rFonts w:hint="eastAsia" w:eastAsia="宋体" w:cs="Times New Roman"/>
                <w:kern w:val="0"/>
                <w:lang w:eastAsia="zh-CN"/>
              </w:rPr>
            </w:pPr>
            <w:r>
              <w:rPr>
                <w:rFonts w:hint="eastAsia" w:cs="Times New Roman"/>
                <w:kern w:val="0"/>
              </w:rPr>
              <w:t>T</w:t>
            </w:r>
            <w:r>
              <w:rPr>
                <w:rFonts w:hint="eastAsia" w:cs="Times New Roman"/>
                <w:kern w:val="0"/>
                <w:lang w:val="en-US" w:eastAsia="zh-CN"/>
              </w:rPr>
              <w:t>1</w:t>
            </w:r>
          </w:p>
        </w:tc>
        <w:tc>
          <w:tcPr>
            <w:tcW w:w="767" w:type="pct"/>
            <w:vAlign w:val="center"/>
          </w:tcPr>
          <w:p w14:paraId="7D5BBB78">
            <w:pPr>
              <w:pStyle w:val="31"/>
              <w:rPr>
                <w:rFonts w:cs="Times New Roman"/>
                <w:kern w:val="0"/>
              </w:rPr>
            </w:pPr>
            <w:r>
              <w:rPr>
                <w:rFonts w:hint="eastAsia" w:cs="Times New Roman"/>
                <w:kern w:val="0"/>
              </w:rPr>
              <w:t>T3</w:t>
            </w:r>
          </w:p>
        </w:tc>
        <w:tc>
          <w:tcPr>
            <w:tcW w:w="769" w:type="pct"/>
            <w:vMerge w:val="continue"/>
            <w:vAlign w:val="center"/>
          </w:tcPr>
          <w:p w14:paraId="4333EBD8">
            <w:pPr>
              <w:pStyle w:val="31"/>
              <w:rPr>
                <w:rFonts w:cs="Times New Roman"/>
                <w:kern w:val="0"/>
              </w:rPr>
            </w:pPr>
          </w:p>
        </w:tc>
        <w:tc>
          <w:tcPr>
            <w:tcW w:w="768" w:type="pct"/>
            <w:vMerge w:val="continue"/>
            <w:vAlign w:val="center"/>
          </w:tcPr>
          <w:p w14:paraId="39EBA40C">
            <w:pPr>
              <w:pStyle w:val="31"/>
              <w:rPr>
                <w:rFonts w:cs="Times New Roman"/>
                <w:kern w:val="0"/>
              </w:rPr>
            </w:pPr>
          </w:p>
        </w:tc>
      </w:tr>
      <w:tr w14:paraId="74279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28DF511D">
            <w:pPr>
              <w:pStyle w:val="31"/>
              <w:rPr>
                <w:rFonts w:cs="Times New Roman"/>
                <w:kern w:val="0"/>
              </w:rPr>
            </w:pPr>
            <w:r>
              <w:rPr>
                <w:rFonts w:hint="eastAsia" w:cs="Times New Roman"/>
                <w:kern w:val="0"/>
              </w:rPr>
              <w:t>pH值</w:t>
            </w:r>
          </w:p>
        </w:tc>
        <w:tc>
          <w:tcPr>
            <w:tcW w:w="548" w:type="pct"/>
            <w:vAlign w:val="center"/>
          </w:tcPr>
          <w:p w14:paraId="1A37824E">
            <w:pPr>
              <w:pStyle w:val="31"/>
              <w:rPr>
                <w:rFonts w:cs="Times New Roman"/>
                <w:kern w:val="0"/>
              </w:rPr>
            </w:pPr>
            <w:r>
              <w:rPr>
                <w:rFonts w:hint="eastAsia" w:cs="Times New Roman"/>
                <w:kern w:val="0"/>
              </w:rPr>
              <w:t>无量纲</w:t>
            </w:r>
          </w:p>
        </w:tc>
        <w:tc>
          <w:tcPr>
            <w:tcW w:w="767" w:type="pct"/>
            <w:vAlign w:val="center"/>
          </w:tcPr>
          <w:p w14:paraId="5E8EA9B9">
            <w:pPr>
              <w:pStyle w:val="31"/>
              <w:rPr>
                <w:rFonts w:hint="default" w:eastAsia="宋体" w:cs="Times New Roman"/>
                <w:kern w:val="0"/>
                <w:lang w:val="en-US" w:eastAsia="zh-CN"/>
              </w:rPr>
            </w:pPr>
            <w:r>
              <w:rPr>
                <w:rFonts w:hint="eastAsia" w:cs="Times New Roman"/>
                <w:kern w:val="0"/>
                <w:lang w:val="en-US" w:eastAsia="zh-CN"/>
              </w:rPr>
              <w:t>7.78</w:t>
            </w:r>
          </w:p>
        </w:tc>
        <w:tc>
          <w:tcPr>
            <w:tcW w:w="767" w:type="pct"/>
            <w:vAlign w:val="center"/>
          </w:tcPr>
          <w:p w14:paraId="221211AC">
            <w:pPr>
              <w:pStyle w:val="31"/>
              <w:rPr>
                <w:rFonts w:hint="default" w:eastAsia="宋体" w:cs="Times New Roman"/>
                <w:kern w:val="0"/>
                <w:lang w:val="en-US" w:eastAsia="zh-CN"/>
              </w:rPr>
            </w:pPr>
            <w:r>
              <w:rPr>
                <w:rFonts w:hint="eastAsia" w:cs="Times New Roman"/>
                <w:kern w:val="0"/>
                <w:lang w:val="en-US" w:eastAsia="zh-CN"/>
              </w:rPr>
              <w:t>7.84</w:t>
            </w:r>
          </w:p>
        </w:tc>
        <w:tc>
          <w:tcPr>
            <w:tcW w:w="769" w:type="pct"/>
            <w:vAlign w:val="center"/>
          </w:tcPr>
          <w:p w14:paraId="2A3CC9CE">
            <w:pPr>
              <w:pStyle w:val="31"/>
              <w:rPr>
                <w:rFonts w:cs="Times New Roman"/>
                <w:kern w:val="0"/>
              </w:rPr>
            </w:pPr>
            <w:r>
              <w:rPr>
                <w:rFonts w:hint="eastAsia" w:cs="Times New Roman"/>
                <w:kern w:val="0"/>
              </w:rPr>
              <w:t>/</w:t>
            </w:r>
          </w:p>
        </w:tc>
        <w:tc>
          <w:tcPr>
            <w:tcW w:w="768" w:type="pct"/>
            <w:vAlign w:val="center"/>
          </w:tcPr>
          <w:p w14:paraId="7916A0E6">
            <w:pPr>
              <w:pStyle w:val="31"/>
              <w:rPr>
                <w:rFonts w:cs="Times New Roman"/>
                <w:kern w:val="0"/>
              </w:rPr>
            </w:pPr>
            <w:r>
              <w:rPr>
                <w:rFonts w:hint="eastAsia" w:cs="Times New Roman"/>
                <w:kern w:val="0"/>
              </w:rPr>
              <w:t>/</w:t>
            </w:r>
          </w:p>
        </w:tc>
      </w:tr>
      <w:tr w14:paraId="6356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2E2C5CD8">
            <w:pPr>
              <w:pStyle w:val="31"/>
              <w:rPr>
                <w:rFonts w:cs="Times New Roman"/>
                <w:kern w:val="0"/>
              </w:rPr>
            </w:pPr>
            <w:r>
              <w:rPr>
                <w:rFonts w:hint="eastAsia" w:cs="Times New Roman"/>
                <w:kern w:val="0"/>
              </w:rPr>
              <w:t>石油烃（C</w:t>
            </w:r>
            <w:r>
              <w:rPr>
                <w:rFonts w:hint="eastAsia" w:cs="Times New Roman"/>
                <w:kern w:val="0"/>
                <w:vertAlign w:val="subscript"/>
              </w:rPr>
              <w:t>10</w:t>
            </w:r>
            <w:r>
              <w:rPr>
                <w:rFonts w:hint="eastAsia" w:cs="Times New Roman"/>
                <w:kern w:val="0"/>
              </w:rPr>
              <w:t>-C</w:t>
            </w:r>
            <w:r>
              <w:rPr>
                <w:rFonts w:hint="eastAsia" w:cs="Times New Roman"/>
                <w:kern w:val="0"/>
                <w:vertAlign w:val="subscript"/>
              </w:rPr>
              <w:t>40</w:t>
            </w:r>
            <w:r>
              <w:rPr>
                <w:rFonts w:hint="eastAsia" w:cs="Times New Roman"/>
                <w:kern w:val="0"/>
              </w:rPr>
              <w:t>）</w:t>
            </w:r>
          </w:p>
        </w:tc>
        <w:tc>
          <w:tcPr>
            <w:tcW w:w="548" w:type="pct"/>
            <w:vAlign w:val="center"/>
          </w:tcPr>
          <w:p w14:paraId="76F289EE">
            <w:pPr>
              <w:pStyle w:val="31"/>
              <w:rPr>
                <w:rFonts w:cs="Times New Roman"/>
                <w:kern w:val="0"/>
              </w:rPr>
            </w:pPr>
            <w:r>
              <w:rPr>
                <w:rFonts w:hint="eastAsia" w:cs="Times New Roman"/>
                <w:kern w:val="0"/>
              </w:rPr>
              <w:t>mg/kg</w:t>
            </w:r>
          </w:p>
        </w:tc>
        <w:tc>
          <w:tcPr>
            <w:tcW w:w="767" w:type="pct"/>
            <w:vAlign w:val="center"/>
          </w:tcPr>
          <w:p w14:paraId="51A269E5">
            <w:pPr>
              <w:pStyle w:val="31"/>
              <w:rPr>
                <w:rFonts w:hint="default" w:eastAsia="宋体" w:cs="Times New Roman"/>
                <w:kern w:val="0"/>
                <w:lang w:val="en-US" w:eastAsia="zh-CN"/>
              </w:rPr>
            </w:pPr>
            <w:r>
              <w:rPr>
                <w:rFonts w:hint="eastAsia" w:cs="Times New Roman"/>
                <w:kern w:val="0"/>
                <w:lang w:val="en-US" w:eastAsia="zh-CN"/>
              </w:rPr>
              <w:t>337</w:t>
            </w:r>
          </w:p>
        </w:tc>
        <w:tc>
          <w:tcPr>
            <w:tcW w:w="767" w:type="pct"/>
            <w:vAlign w:val="center"/>
          </w:tcPr>
          <w:p w14:paraId="5EC54889">
            <w:pPr>
              <w:pStyle w:val="31"/>
              <w:rPr>
                <w:rFonts w:hint="default" w:eastAsia="宋体" w:cs="Times New Roman"/>
                <w:kern w:val="0"/>
                <w:lang w:val="en-US" w:eastAsia="zh-CN"/>
              </w:rPr>
            </w:pPr>
            <w:r>
              <w:rPr>
                <w:rFonts w:hint="eastAsia" w:cs="Times New Roman"/>
                <w:kern w:val="0"/>
                <w:lang w:val="en-US" w:eastAsia="zh-CN"/>
              </w:rPr>
              <w:t>84</w:t>
            </w:r>
          </w:p>
        </w:tc>
        <w:tc>
          <w:tcPr>
            <w:tcW w:w="769" w:type="pct"/>
            <w:vAlign w:val="center"/>
          </w:tcPr>
          <w:p w14:paraId="517CA183">
            <w:pPr>
              <w:pStyle w:val="31"/>
              <w:rPr>
                <w:rFonts w:cs="Times New Roman"/>
                <w:kern w:val="0"/>
              </w:rPr>
            </w:pPr>
            <w:r>
              <w:rPr>
                <w:rFonts w:hint="eastAsia" w:cs="Times New Roman"/>
                <w:kern w:val="0"/>
              </w:rPr>
              <w:t>4500</w:t>
            </w:r>
          </w:p>
        </w:tc>
        <w:tc>
          <w:tcPr>
            <w:tcW w:w="768" w:type="pct"/>
          </w:tcPr>
          <w:p w14:paraId="354CEE17">
            <w:pPr>
              <w:pStyle w:val="31"/>
              <w:rPr>
                <w:rFonts w:cs="Times New Roman"/>
                <w:kern w:val="0"/>
              </w:rPr>
            </w:pPr>
            <w:r>
              <w:rPr>
                <w:rFonts w:hint="eastAsia" w:cs="Times New Roman"/>
                <w:kern w:val="0"/>
              </w:rPr>
              <w:t>达标</w:t>
            </w:r>
          </w:p>
        </w:tc>
      </w:tr>
      <w:tr w14:paraId="733CD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10C9BC55">
            <w:pPr>
              <w:pStyle w:val="31"/>
              <w:rPr>
                <w:rFonts w:cs="Times New Roman"/>
                <w:kern w:val="0"/>
              </w:rPr>
            </w:pPr>
            <w:r>
              <w:rPr>
                <w:rFonts w:hint="eastAsia" w:cs="Times New Roman"/>
                <w:kern w:val="0"/>
              </w:rPr>
              <w:t>砷</w:t>
            </w:r>
          </w:p>
        </w:tc>
        <w:tc>
          <w:tcPr>
            <w:tcW w:w="548" w:type="pct"/>
            <w:vAlign w:val="center"/>
          </w:tcPr>
          <w:p w14:paraId="264AC9C5">
            <w:pPr>
              <w:pStyle w:val="31"/>
              <w:rPr>
                <w:rFonts w:cs="Times New Roman"/>
                <w:kern w:val="0"/>
              </w:rPr>
            </w:pPr>
            <w:r>
              <w:rPr>
                <w:rFonts w:hint="eastAsia" w:cs="Times New Roman"/>
                <w:kern w:val="0"/>
              </w:rPr>
              <w:t>mg/kg</w:t>
            </w:r>
          </w:p>
        </w:tc>
        <w:tc>
          <w:tcPr>
            <w:tcW w:w="767" w:type="pct"/>
            <w:vAlign w:val="center"/>
          </w:tcPr>
          <w:p w14:paraId="1E2B4995">
            <w:pPr>
              <w:pStyle w:val="31"/>
              <w:rPr>
                <w:rFonts w:hint="default" w:eastAsia="宋体" w:cs="Times New Roman"/>
                <w:kern w:val="0"/>
                <w:lang w:val="en-US" w:eastAsia="zh-CN"/>
              </w:rPr>
            </w:pPr>
            <w:r>
              <w:rPr>
                <w:rFonts w:hint="eastAsia" w:cs="Times New Roman"/>
                <w:kern w:val="0"/>
                <w:lang w:val="en-US" w:eastAsia="zh-CN"/>
              </w:rPr>
              <w:t>36.7</w:t>
            </w:r>
          </w:p>
        </w:tc>
        <w:tc>
          <w:tcPr>
            <w:tcW w:w="767" w:type="pct"/>
            <w:vAlign w:val="center"/>
          </w:tcPr>
          <w:p w14:paraId="7DB2A9C0">
            <w:pPr>
              <w:pStyle w:val="31"/>
              <w:rPr>
                <w:rFonts w:hint="default" w:eastAsia="宋体" w:cs="Times New Roman"/>
                <w:kern w:val="0"/>
                <w:lang w:val="en-US" w:eastAsia="zh-CN"/>
              </w:rPr>
            </w:pPr>
            <w:r>
              <w:rPr>
                <w:rFonts w:hint="eastAsia" w:cs="Times New Roman"/>
                <w:kern w:val="0"/>
                <w:lang w:val="en-US" w:eastAsia="zh-CN"/>
              </w:rPr>
              <w:t>23.2</w:t>
            </w:r>
          </w:p>
        </w:tc>
        <w:tc>
          <w:tcPr>
            <w:tcW w:w="769" w:type="pct"/>
            <w:vAlign w:val="center"/>
          </w:tcPr>
          <w:p w14:paraId="4A2715AC">
            <w:pPr>
              <w:pStyle w:val="31"/>
              <w:rPr>
                <w:rFonts w:cs="Times New Roman"/>
                <w:kern w:val="0"/>
              </w:rPr>
            </w:pPr>
            <w:r>
              <w:rPr>
                <w:rFonts w:hint="eastAsia" w:cs="Times New Roman"/>
                <w:kern w:val="0"/>
              </w:rPr>
              <w:t>60</w:t>
            </w:r>
          </w:p>
        </w:tc>
        <w:tc>
          <w:tcPr>
            <w:tcW w:w="768" w:type="pct"/>
          </w:tcPr>
          <w:p w14:paraId="5877491D">
            <w:pPr>
              <w:pStyle w:val="31"/>
              <w:rPr>
                <w:rFonts w:cs="Times New Roman"/>
                <w:kern w:val="0"/>
              </w:rPr>
            </w:pPr>
            <w:r>
              <w:rPr>
                <w:rFonts w:hint="eastAsia" w:cs="Times New Roman"/>
                <w:kern w:val="0"/>
              </w:rPr>
              <w:t>达标</w:t>
            </w:r>
          </w:p>
        </w:tc>
      </w:tr>
      <w:tr w14:paraId="27C85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7F3922AB">
            <w:pPr>
              <w:pStyle w:val="31"/>
              <w:rPr>
                <w:rFonts w:cs="Times New Roman"/>
                <w:kern w:val="0"/>
              </w:rPr>
            </w:pPr>
            <w:r>
              <w:rPr>
                <w:rFonts w:hint="eastAsia" w:cs="Times New Roman"/>
                <w:kern w:val="0"/>
              </w:rPr>
              <w:t>镉</w:t>
            </w:r>
          </w:p>
        </w:tc>
        <w:tc>
          <w:tcPr>
            <w:tcW w:w="548" w:type="pct"/>
            <w:vAlign w:val="center"/>
          </w:tcPr>
          <w:p w14:paraId="4DF3EF62">
            <w:pPr>
              <w:pStyle w:val="31"/>
              <w:rPr>
                <w:rFonts w:cs="Times New Roman"/>
                <w:kern w:val="0"/>
              </w:rPr>
            </w:pPr>
            <w:r>
              <w:rPr>
                <w:rFonts w:hint="eastAsia" w:cs="Times New Roman"/>
                <w:kern w:val="0"/>
              </w:rPr>
              <w:t>mg/kg</w:t>
            </w:r>
          </w:p>
        </w:tc>
        <w:tc>
          <w:tcPr>
            <w:tcW w:w="767" w:type="pct"/>
            <w:vAlign w:val="center"/>
          </w:tcPr>
          <w:p w14:paraId="223366C8">
            <w:pPr>
              <w:pStyle w:val="31"/>
              <w:rPr>
                <w:rFonts w:hint="default" w:eastAsia="宋体" w:cs="Times New Roman"/>
                <w:kern w:val="0"/>
                <w:lang w:val="en-US" w:eastAsia="zh-CN"/>
              </w:rPr>
            </w:pPr>
            <w:r>
              <w:rPr>
                <w:rFonts w:hint="eastAsia" w:cs="Times New Roman"/>
                <w:kern w:val="0"/>
                <w:lang w:val="en-US" w:eastAsia="zh-CN"/>
              </w:rPr>
              <w:t>2.10</w:t>
            </w:r>
          </w:p>
        </w:tc>
        <w:tc>
          <w:tcPr>
            <w:tcW w:w="767" w:type="pct"/>
            <w:vAlign w:val="center"/>
          </w:tcPr>
          <w:p w14:paraId="28FADAE1">
            <w:pPr>
              <w:pStyle w:val="31"/>
              <w:rPr>
                <w:rFonts w:hint="default" w:eastAsia="宋体" w:cs="Times New Roman"/>
                <w:kern w:val="0"/>
                <w:lang w:val="en-US" w:eastAsia="zh-CN"/>
              </w:rPr>
            </w:pPr>
            <w:r>
              <w:rPr>
                <w:rFonts w:hint="eastAsia" w:cs="Times New Roman"/>
                <w:kern w:val="0"/>
                <w:lang w:val="en-US" w:eastAsia="zh-CN"/>
              </w:rPr>
              <w:t>0.55</w:t>
            </w:r>
          </w:p>
        </w:tc>
        <w:tc>
          <w:tcPr>
            <w:tcW w:w="769" w:type="pct"/>
            <w:vAlign w:val="center"/>
          </w:tcPr>
          <w:p w14:paraId="3AABA382">
            <w:pPr>
              <w:pStyle w:val="31"/>
              <w:rPr>
                <w:rFonts w:cs="Times New Roman"/>
                <w:kern w:val="0"/>
              </w:rPr>
            </w:pPr>
            <w:r>
              <w:rPr>
                <w:rFonts w:hint="eastAsia" w:cs="Times New Roman"/>
                <w:kern w:val="0"/>
              </w:rPr>
              <w:t>65</w:t>
            </w:r>
          </w:p>
        </w:tc>
        <w:tc>
          <w:tcPr>
            <w:tcW w:w="768" w:type="pct"/>
          </w:tcPr>
          <w:p w14:paraId="65AC8DC9">
            <w:pPr>
              <w:pStyle w:val="31"/>
              <w:rPr>
                <w:rFonts w:cs="Times New Roman"/>
                <w:kern w:val="0"/>
              </w:rPr>
            </w:pPr>
            <w:r>
              <w:rPr>
                <w:rFonts w:hint="eastAsia" w:cs="Times New Roman"/>
                <w:kern w:val="0"/>
              </w:rPr>
              <w:t>达标</w:t>
            </w:r>
          </w:p>
        </w:tc>
      </w:tr>
      <w:tr w14:paraId="66FED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4BB996B5">
            <w:pPr>
              <w:pStyle w:val="31"/>
              <w:rPr>
                <w:rFonts w:cs="Times New Roman"/>
                <w:kern w:val="0"/>
              </w:rPr>
            </w:pPr>
            <w:r>
              <w:rPr>
                <w:rFonts w:hint="eastAsia" w:cs="Times New Roman"/>
                <w:kern w:val="0"/>
              </w:rPr>
              <w:t>六价铬</w:t>
            </w:r>
          </w:p>
        </w:tc>
        <w:tc>
          <w:tcPr>
            <w:tcW w:w="548" w:type="pct"/>
            <w:vAlign w:val="center"/>
          </w:tcPr>
          <w:p w14:paraId="29D77499">
            <w:pPr>
              <w:pStyle w:val="31"/>
              <w:rPr>
                <w:rFonts w:cs="Times New Roman"/>
                <w:kern w:val="0"/>
              </w:rPr>
            </w:pPr>
            <w:r>
              <w:rPr>
                <w:rFonts w:hint="eastAsia" w:cs="Times New Roman"/>
                <w:kern w:val="0"/>
              </w:rPr>
              <w:t>mg/kg</w:t>
            </w:r>
          </w:p>
        </w:tc>
        <w:tc>
          <w:tcPr>
            <w:tcW w:w="767" w:type="pct"/>
            <w:vAlign w:val="center"/>
          </w:tcPr>
          <w:p w14:paraId="49A0D910">
            <w:pPr>
              <w:pStyle w:val="31"/>
              <w:rPr>
                <w:rFonts w:hint="default" w:eastAsia="宋体" w:cs="Times New Roman"/>
                <w:kern w:val="0"/>
                <w:lang w:val="en-US" w:eastAsia="zh-CN"/>
              </w:rPr>
            </w:pPr>
            <w:r>
              <w:rPr>
                <w:rFonts w:hint="eastAsia" w:cs="Times New Roman"/>
                <w:kern w:val="0"/>
                <w:lang w:val="en-US" w:eastAsia="zh-CN"/>
              </w:rPr>
              <w:t>0.5L</w:t>
            </w:r>
          </w:p>
        </w:tc>
        <w:tc>
          <w:tcPr>
            <w:tcW w:w="767" w:type="pct"/>
            <w:vAlign w:val="center"/>
          </w:tcPr>
          <w:p w14:paraId="3AB41F97">
            <w:pPr>
              <w:pStyle w:val="31"/>
              <w:rPr>
                <w:rFonts w:hint="default" w:eastAsia="宋体" w:cs="Times New Roman"/>
                <w:kern w:val="0"/>
                <w:lang w:val="en-US" w:eastAsia="zh-CN"/>
              </w:rPr>
            </w:pPr>
            <w:r>
              <w:rPr>
                <w:rFonts w:hint="eastAsia" w:cs="Times New Roman"/>
                <w:kern w:val="0"/>
                <w:lang w:val="en-US" w:eastAsia="zh-CN"/>
              </w:rPr>
              <w:t>0.5L</w:t>
            </w:r>
          </w:p>
        </w:tc>
        <w:tc>
          <w:tcPr>
            <w:tcW w:w="769" w:type="pct"/>
            <w:vAlign w:val="center"/>
          </w:tcPr>
          <w:p w14:paraId="2B2CC976">
            <w:pPr>
              <w:pStyle w:val="31"/>
              <w:rPr>
                <w:rFonts w:cs="Times New Roman"/>
                <w:kern w:val="0"/>
              </w:rPr>
            </w:pPr>
            <w:r>
              <w:rPr>
                <w:rFonts w:hint="eastAsia" w:cs="Times New Roman"/>
                <w:kern w:val="0"/>
              </w:rPr>
              <w:t>5.7</w:t>
            </w:r>
          </w:p>
        </w:tc>
        <w:tc>
          <w:tcPr>
            <w:tcW w:w="768" w:type="pct"/>
          </w:tcPr>
          <w:p w14:paraId="70397307">
            <w:pPr>
              <w:pStyle w:val="31"/>
              <w:rPr>
                <w:rFonts w:cs="Times New Roman"/>
                <w:kern w:val="0"/>
              </w:rPr>
            </w:pPr>
            <w:r>
              <w:rPr>
                <w:rFonts w:hint="eastAsia" w:cs="Times New Roman"/>
                <w:kern w:val="0"/>
              </w:rPr>
              <w:t>达标</w:t>
            </w:r>
          </w:p>
        </w:tc>
      </w:tr>
      <w:tr w14:paraId="55B48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59C3300F">
            <w:pPr>
              <w:pStyle w:val="31"/>
              <w:rPr>
                <w:rFonts w:cs="Times New Roman"/>
                <w:kern w:val="0"/>
              </w:rPr>
            </w:pPr>
            <w:r>
              <w:rPr>
                <w:rFonts w:hint="eastAsia" w:cs="Times New Roman"/>
                <w:kern w:val="0"/>
              </w:rPr>
              <w:t>铜</w:t>
            </w:r>
          </w:p>
        </w:tc>
        <w:tc>
          <w:tcPr>
            <w:tcW w:w="548" w:type="pct"/>
            <w:vAlign w:val="center"/>
          </w:tcPr>
          <w:p w14:paraId="30179FB1">
            <w:pPr>
              <w:pStyle w:val="31"/>
              <w:rPr>
                <w:rFonts w:cs="Times New Roman"/>
                <w:kern w:val="0"/>
              </w:rPr>
            </w:pPr>
            <w:r>
              <w:rPr>
                <w:rFonts w:hint="eastAsia" w:cs="Times New Roman"/>
                <w:kern w:val="0"/>
              </w:rPr>
              <w:t>mg/kg</w:t>
            </w:r>
          </w:p>
        </w:tc>
        <w:tc>
          <w:tcPr>
            <w:tcW w:w="767" w:type="pct"/>
            <w:vAlign w:val="center"/>
          </w:tcPr>
          <w:p w14:paraId="155626E4">
            <w:pPr>
              <w:pStyle w:val="31"/>
              <w:rPr>
                <w:rFonts w:hint="default" w:eastAsia="宋体" w:cs="Times New Roman"/>
                <w:kern w:val="0"/>
                <w:lang w:val="en-US" w:eastAsia="zh-CN"/>
              </w:rPr>
            </w:pPr>
            <w:r>
              <w:rPr>
                <w:rFonts w:hint="eastAsia" w:cs="Times New Roman"/>
                <w:kern w:val="0"/>
                <w:lang w:val="en-US" w:eastAsia="zh-CN"/>
              </w:rPr>
              <w:t>32</w:t>
            </w:r>
          </w:p>
        </w:tc>
        <w:tc>
          <w:tcPr>
            <w:tcW w:w="767" w:type="pct"/>
            <w:vAlign w:val="center"/>
          </w:tcPr>
          <w:p w14:paraId="251EA749">
            <w:pPr>
              <w:pStyle w:val="31"/>
              <w:rPr>
                <w:rFonts w:hint="default" w:eastAsia="宋体" w:cs="Times New Roman"/>
                <w:kern w:val="0"/>
                <w:lang w:val="en-US" w:eastAsia="zh-CN"/>
              </w:rPr>
            </w:pPr>
            <w:r>
              <w:rPr>
                <w:rFonts w:hint="eastAsia" w:cs="Times New Roman"/>
                <w:kern w:val="0"/>
                <w:lang w:val="en-US" w:eastAsia="zh-CN"/>
              </w:rPr>
              <w:t>24</w:t>
            </w:r>
          </w:p>
        </w:tc>
        <w:tc>
          <w:tcPr>
            <w:tcW w:w="769" w:type="pct"/>
            <w:vAlign w:val="center"/>
          </w:tcPr>
          <w:p w14:paraId="240466AD">
            <w:pPr>
              <w:pStyle w:val="31"/>
              <w:rPr>
                <w:rFonts w:cs="Times New Roman"/>
                <w:kern w:val="0"/>
              </w:rPr>
            </w:pPr>
            <w:r>
              <w:rPr>
                <w:rFonts w:hint="eastAsia" w:cs="Times New Roman"/>
                <w:kern w:val="0"/>
              </w:rPr>
              <w:t>18000</w:t>
            </w:r>
          </w:p>
        </w:tc>
        <w:tc>
          <w:tcPr>
            <w:tcW w:w="768" w:type="pct"/>
          </w:tcPr>
          <w:p w14:paraId="57E3B571">
            <w:pPr>
              <w:pStyle w:val="31"/>
              <w:rPr>
                <w:rFonts w:cs="Times New Roman"/>
                <w:kern w:val="0"/>
              </w:rPr>
            </w:pPr>
            <w:r>
              <w:rPr>
                <w:rFonts w:hint="eastAsia" w:cs="Times New Roman"/>
                <w:kern w:val="0"/>
              </w:rPr>
              <w:t>达标</w:t>
            </w:r>
          </w:p>
        </w:tc>
      </w:tr>
      <w:tr w14:paraId="01A5B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0A59FEA9">
            <w:pPr>
              <w:pStyle w:val="31"/>
              <w:rPr>
                <w:rFonts w:cs="Times New Roman"/>
                <w:kern w:val="0"/>
              </w:rPr>
            </w:pPr>
            <w:r>
              <w:rPr>
                <w:rFonts w:hint="eastAsia" w:cs="Times New Roman"/>
                <w:kern w:val="0"/>
              </w:rPr>
              <w:t>铅</w:t>
            </w:r>
          </w:p>
        </w:tc>
        <w:tc>
          <w:tcPr>
            <w:tcW w:w="548" w:type="pct"/>
            <w:vAlign w:val="center"/>
          </w:tcPr>
          <w:p w14:paraId="398B3E7C">
            <w:pPr>
              <w:pStyle w:val="31"/>
              <w:rPr>
                <w:rFonts w:cs="Times New Roman"/>
                <w:kern w:val="0"/>
              </w:rPr>
            </w:pPr>
            <w:r>
              <w:rPr>
                <w:rFonts w:hint="eastAsia" w:cs="Times New Roman"/>
                <w:kern w:val="0"/>
              </w:rPr>
              <w:t>mg/kg</w:t>
            </w:r>
          </w:p>
        </w:tc>
        <w:tc>
          <w:tcPr>
            <w:tcW w:w="767" w:type="pct"/>
            <w:vAlign w:val="center"/>
          </w:tcPr>
          <w:p w14:paraId="2DE8F184">
            <w:pPr>
              <w:pStyle w:val="31"/>
              <w:rPr>
                <w:rFonts w:hint="default" w:eastAsia="宋体" w:cs="Times New Roman"/>
                <w:kern w:val="0"/>
                <w:lang w:val="en-US" w:eastAsia="zh-CN"/>
              </w:rPr>
            </w:pPr>
            <w:r>
              <w:rPr>
                <w:rFonts w:hint="eastAsia" w:cs="Times New Roman"/>
                <w:kern w:val="0"/>
                <w:lang w:val="en-US" w:eastAsia="zh-CN"/>
              </w:rPr>
              <w:t>64</w:t>
            </w:r>
          </w:p>
        </w:tc>
        <w:tc>
          <w:tcPr>
            <w:tcW w:w="767" w:type="pct"/>
            <w:vAlign w:val="center"/>
          </w:tcPr>
          <w:p w14:paraId="5C861FF4">
            <w:pPr>
              <w:pStyle w:val="31"/>
              <w:rPr>
                <w:rFonts w:hint="default" w:eastAsia="宋体" w:cs="Times New Roman"/>
                <w:kern w:val="0"/>
                <w:lang w:val="en-US" w:eastAsia="zh-CN"/>
              </w:rPr>
            </w:pPr>
            <w:r>
              <w:rPr>
                <w:rFonts w:hint="eastAsia" w:cs="Times New Roman"/>
                <w:kern w:val="0"/>
                <w:lang w:val="en-US" w:eastAsia="zh-CN"/>
              </w:rPr>
              <w:t>38</w:t>
            </w:r>
          </w:p>
        </w:tc>
        <w:tc>
          <w:tcPr>
            <w:tcW w:w="769" w:type="pct"/>
            <w:vAlign w:val="center"/>
          </w:tcPr>
          <w:p w14:paraId="2084CD07">
            <w:pPr>
              <w:pStyle w:val="31"/>
              <w:rPr>
                <w:rFonts w:cs="Times New Roman"/>
                <w:kern w:val="0"/>
              </w:rPr>
            </w:pPr>
            <w:r>
              <w:rPr>
                <w:rFonts w:hint="eastAsia" w:cs="Times New Roman"/>
                <w:kern w:val="0"/>
              </w:rPr>
              <w:t>800</w:t>
            </w:r>
          </w:p>
        </w:tc>
        <w:tc>
          <w:tcPr>
            <w:tcW w:w="768" w:type="pct"/>
          </w:tcPr>
          <w:p w14:paraId="21BA42E9">
            <w:pPr>
              <w:pStyle w:val="31"/>
              <w:rPr>
                <w:rFonts w:cs="Times New Roman"/>
                <w:kern w:val="0"/>
              </w:rPr>
            </w:pPr>
            <w:r>
              <w:rPr>
                <w:rFonts w:hint="eastAsia" w:cs="Times New Roman"/>
                <w:kern w:val="0"/>
              </w:rPr>
              <w:t>达标</w:t>
            </w:r>
          </w:p>
        </w:tc>
      </w:tr>
      <w:tr w14:paraId="0CDA8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497D3C9B">
            <w:pPr>
              <w:pStyle w:val="31"/>
              <w:rPr>
                <w:rFonts w:cs="Times New Roman"/>
                <w:kern w:val="0"/>
              </w:rPr>
            </w:pPr>
            <w:r>
              <w:rPr>
                <w:rFonts w:hint="eastAsia" w:cs="Times New Roman"/>
                <w:kern w:val="0"/>
              </w:rPr>
              <w:t>汞</w:t>
            </w:r>
          </w:p>
        </w:tc>
        <w:tc>
          <w:tcPr>
            <w:tcW w:w="548" w:type="pct"/>
            <w:vAlign w:val="center"/>
          </w:tcPr>
          <w:p w14:paraId="648AD3DC">
            <w:pPr>
              <w:pStyle w:val="31"/>
              <w:rPr>
                <w:rFonts w:cs="Times New Roman"/>
                <w:kern w:val="0"/>
              </w:rPr>
            </w:pPr>
            <w:r>
              <w:rPr>
                <w:rFonts w:hint="eastAsia" w:cs="Times New Roman"/>
                <w:kern w:val="0"/>
              </w:rPr>
              <w:t>mg/kg</w:t>
            </w:r>
          </w:p>
        </w:tc>
        <w:tc>
          <w:tcPr>
            <w:tcW w:w="767" w:type="pct"/>
            <w:vAlign w:val="center"/>
          </w:tcPr>
          <w:p w14:paraId="3CEE78B0">
            <w:pPr>
              <w:pStyle w:val="31"/>
              <w:rPr>
                <w:rFonts w:hint="default" w:eastAsia="宋体" w:cs="Times New Roman"/>
                <w:kern w:val="0"/>
                <w:lang w:val="en-US" w:eastAsia="zh-CN"/>
              </w:rPr>
            </w:pPr>
            <w:r>
              <w:rPr>
                <w:rFonts w:hint="eastAsia" w:cs="Times New Roman"/>
                <w:kern w:val="0"/>
                <w:lang w:val="en-US" w:eastAsia="zh-CN"/>
              </w:rPr>
              <w:t>0.002L</w:t>
            </w:r>
          </w:p>
        </w:tc>
        <w:tc>
          <w:tcPr>
            <w:tcW w:w="767" w:type="pct"/>
            <w:vAlign w:val="center"/>
          </w:tcPr>
          <w:p w14:paraId="2398C2A5">
            <w:pPr>
              <w:pStyle w:val="31"/>
              <w:rPr>
                <w:rFonts w:hint="default" w:eastAsia="宋体" w:cs="Times New Roman"/>
                <w:kern w:val="0"/>
                <w:lang w:val="en-US" w:eastAsia="zh-CN"/>
              </w:rPr>
            </w:pPr>
            <w:r>
              <w:rPr>
                <w:rFonts w:hint="eastAsia" w:cs="Times New Roman"/>
                <w:kern w:val="0"/>
                <w:lang w:val="en-US" w:eastAsia="zh-CN"/>
              </w:rPr>
              <w:t>0.002L</w:t>
            </w:r>
          </w:p>
        </w:tc>
        <w:tc>
          <w:tcPr>
            <w:tcW w:w="769" w:type="pct"/>
            <w:vAlign w:val="center"/>
          </w:tcPr>
          <w:p w14:paraId="366FEB17">
            <w:pPr>
              <w:pStyle w:val="31"/>
              <w:rPr>
                <w:rFonts w:cs="Times New Roman"/>
                <w:kern w:val="0"/>
              </w:rPr>
            </w:pPr>
            <w:r>
              <w:rPr>
                <w:rFonts w:hint="eastAsia" w:cs="Times New Roman"/>
                <w:kern w:val="0"/>
              </w:rPr>
              <w:t>38</w:t>
            </w:r>
          </w:p>
        </w:tc>
        <w:tc>
          <w:tcPr>
            <w:tcW w:w="768" w:type="pct"/>
          </w:tcPr>
          <w:p w14:paraId="7E9A9F34">
            <w:pPr>
              <w:pStyle w:val="31"/>
              <w:rPr>
                <w:rFonts w:cs="Times New Roman"/>
                <w:kern w:val="0"/>
              </w:rPr>
            </w:pPr>
            <w:r>
              <w:rPr>
                <w:rFonts w:hint="eastAsia" w:cs="Times New Roman"/>
                <w:kern w:val="0"/>
              </w:rPr>
              <w:t>达标</w:t>
            </w:r>
          </w:p>
        </w:tc>
      </w:tr>
      <w:tr w14:paraId="51B2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33DDE709">
            <w:pPr>
              <w:pStyle w:val="31"/>
              <w:rPr>
                <w:rFonts w:cs="Times New Roman"/>
                <w:kern w:val="0"/>
              </w:rPr>
            </w:pPr>
            <w:r>
              <w:rPr>
                <w:rFonts w:hint="eastAsia" w:cs="Times New Roman"/>
                <w:kern w:val="0"/>
              </w:rPr>
              <w:t>镍</w:t>
            </w:r>
          </w:p>
        </w:tc>
        <w:tc>
          <w:tcPr>
            <w:tcW w:w="548" w:type="pct"/>
            <w:vAlign w:val="center"/>
          </w:tcPr>
          <w:p w14:paraId="62F51EDB">
            <w:pPr>
              <w:pStyle w:val="31"/>
              <w:rPr>
                <w:rFonts w:cs="Times New Roman"/>
                <w:kern w:val="0"/>
              </w:rPr>
            </w:pPr>
            <w:r>
              <w:rPr>
                <w:rFonts w:hint="eastAsia" w:cs="Times New Roman"/>
                <w:kern w:val="0"/>
              </w:rPr>
              <w:t>mg/kg</w:t>
            </w:r>
          </w:p>
        </w:tc>
        <w:tc>
          <w:tcPr>
            <w:tcW w:w="767" w:type="pct"/>
            <w:vAlign w:val="center"/>
          </w:tcPr>
          <w:p w14:paraId="70ADA88C">
            <w:pPr>
              <w:pStyle w:val="31"/>
              <w:rPr>
                <w:rFonts w:hint="default" w:eastAsia="宋体" w:cs="Times New Roman"/>
                <w:kern w:val="0"/>
                <w:lang w:val="en-US" w:eastAsia="zh-CN"/>
              </w:rPr>
            </w:pPr>
            <w:r>
              <w:rPr>
                <w:rFonts w:hint="eastAsia" w:cs="Times New Roman"/>
                <w:kern w:val="0"/>
                <w:lang w:val="en-US" w:eastAsia="zh-CN"/>
              </w:rPr>
              <w:t>26</w:t>
            </w:r>
          </w:p>
        </w:tc>
        <w:tc>
          <w:tcPr>
            <w:tcW w:w="767" w:type="pct"/>
            <w:vAlign w:val="center"/>
          </w:tcPr>
          <w:p w14:paraId="5127FFC4">
            <w:pPr>
              <w:pStyle w:val="31"/>
              <w:rPr>
                <w:rFonts w:hint="default" w:eastAsia="宋体" w:cs="Times New Roman"/>
                <w:kern w:val="0"/>
                <w:lang w:val="en-US" w:eastAsia="zh-CN"/>
              </w:rPr>
            </w:pPr>
            <w:r>
              <w:rPr>
                <w:rFonts w:hint="eastAsia" w:cs="Times New Roman"/>
                <w:kern w:val="0"/>
                <w:lang w:val="en-US" w:eastAsia="zh-CN"/>
              </w:rPr>
              <w:t>28</w:t>
            </w:r>
          </w:p>
        </w:tc>
        <w:tc>
          <w:tcPr>
            <w:tcW w:w="769" w:type="pct"/>
            <w:vAlign w:val="center"/>
          </w:tcPr>
          <w:p w14:paraId="068BD441">
            <w:pPr>
              <w:pStyle w:val="31"/>
              <w:rPr>
                <w:rFonts w:cs="Times New Roman"/>
                <w:kern w:val="0"/>
              </w:rPr>
            </w:pPr>
            <w:r>
              <w:rPr>
                <w:rFonts w:hint="eastAsia" w:cs="Times New Roman"/>
                <w:kern w:val="0"/>
              </w:rPr>
              <w:t>900</w:t>
            </w:r>
          </w:p>
        </w:tc>
        <w:tc>
          <w:tcPr>
            <w:tcW w:w="768" w:type="pct"/>
          </w:tcPr>
          <w:p w14:paraId="3D5A711E">
            <w:pPr>
              <w:pStyle w:val="31"/>
              <w:rPr>
                <w:rFonts w:cs="Times New Roman"/>
                <w:kern w:val="0"/>
              </w:rPr>
            </w:pPr>
            <w:r>
              <w:rPr>
                <w:rFonts w:hint="eastAsia" w:cs="Times New Roman"/>
                <w:kern w:val="0"/>
              </w:rPr>
              <w:t>达标</w:t>
            </w:r>
          </w:p>
        </w:tc>
      </w:tr>
      <w:tr w14:paraId="20F6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32327329">
            <w:pPr>
              <w:pStyle w:val="31"/>
              <w:rPr>
                <w:rFonts w:cs="Times New Roman"/>
                <w:kern w:val="0"/>
              </w:rPr>
            </w:pPr>
            <w:r>
              <w:rPr>
                <w:rFonts w:hint="eastAsia" w:cs="Times New Roman"/>
                <w:kern w:val="0"/>
              </w:rPr>
              <w:t>苯</w:t>
            </w:r>
          </w:p>
        </w:tc>
        <w:tc>
          <w:tcPr>
            <w:tcW w:w="548" w:type="pct"/>
            <w:vAlign w:val="center"/>
          </w:tcPr>
          <w:p w14:paraId="5478C522">
            <w:pPr>
              <w:pStyle w:val="31"/>
              <w:rPr>
                <w:rFonts w:cs="Times New Roman"/>
                <w:kern w:val="0"/>
              </w:rPr>
            </w:pPr>
            <w:r>
              <w:rPr>
                <w:rFonts w:hint="eastAsia" w:cs="Times New Roman"/>
                <w:kern w:val="0"/>
              </w:rPr>
              <w:t>mg/kg</w:t>
            </w:r>
          </w:p>
        </w:tc>
        <w:tc>
          <w:tcPr>
            <w:tcW w:w="767" w:type="pct"/>
            <w:vAlign w:val="center"/>
          </w:tcPr>
          <w:p w14:paraId="382F9001">
            <w:pPr>
              <w:pStyle w:val="31"/>
              <w:rPr>
                <w:rFonts w:hint="default" w:eastAsia="宋体" w:cs="Times New Roman"/>
                <w:kern w:val="0"/>
                <w:lang w:val="en-US" w:eastAsia="zh-CN"/>
              </w:rPr>
            </w:pPr>
            <w:r>
              <w:rPr>
                <w:rFonts w:hint="eastAsia" w:cs="Times New Roman"/>
                <w:kern w:val="0"/>
                <w:lang w:val="en-US" w:eastAsia="zh-CN"/>
              </w:rPr>
              <w:t>0.0019L</w:t>
            </w:r>
          </w:p>
        </w:tc>
        <w:tc>
          <w:tcPr>
            <w:tcW w:w="767" w:type="pct"/>
            <w:vAlign w:val="center"/>
          </w:tcPr>
          <w:p w14:paraId="13B44A5C">
            <w:pPr>
              <w:pStyle w:val="31"/>
              <w:rPr>
                <w:rFonts w:hint="default" w:eastAsia="宋体" w:cs="Times New Roman"/>
                <w:kern w:val="0"/>
                <w:lang w:val="en-US" w:eastAsia="zh-CN"/>
              </w:rPr>
            </w:pPr>
            <w:r>
              <w:rPr>
                <w:rFonts w:hint="eastAsia" w:cs="Times New Roman"/>
                <w:kern w:val="0"/>
                <w:lang w:val="en-US" w:eastAsia="zh-CN"/>
              </w:rPr>
              <w:t>0.0019L</w:t>
            </w:r>
          </w:p>
        </w:tc>
        <w:tc>
          <w:tcPr>
            <w:tcW w:w="769" w:type="pct"/>
            <w:vAlign w:val="center"/>
          </w:tcPr>
          <w:p w14:paraId="069576A7">
            <w:pPr>
              <w:pStyle w:val="31"/>
              <w:rPr>
                <w:rFonts w:cs="Times New Roman"/>
                <w:kern w:val="0"/>
              </w:rPr>
            </w:pPr>
            <w:r>
              <w:rPr>
                <w:rFonts w:hint="eastAsia" w:cs="Times New Roman"/>
                <w:kern w:val="0"/>
              </w:rPr>
              <w:t>4</w:t>
            </w:r>
          </w:p>
        </w:tc>
        <w:tc>
          <w:tcPr>
            <w:tcW w:w="768" w:type="pct"/>
          </w:tcPr>
          <w:p w14:paraId="2EF5A63B">
            <w:pPr>
              <w:pStyle w:val="31"/>
              <w:rPr>
                <w:rFonts w:cs="Times New Roman"/>
                <w:kern w:val="0"/>
              </w:rPr>
            </w:pPr>
            <w:r>
              <w:rPr>
                <w:rFonts w:hint="eastAsia" w:cs="Times New Roman"/>
                <w:kern w:val="0"/>
              </w:rPr>
              <w:t>达标</w:t>
            </w:r>
          </w:p>
        </w:tc>
      </w:tr>
      <w:tr w14:paraId="7F49E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2620C01F">
            <w:pPr>
              <w:pStyle w:val="31"/>
              <w:rPr>
                <w:rFonts w:cs="Times New Roman"/>
                <w:kern w:val="0"/>
              </w:rPr>
            </w:pPr>
            <w:r>
              <w:rPr>
                <w:rFonts w:hint="eastAsia" w:cs="Times New Roman"/>
                <w:kern w:val="0"/>
              </w:rPr>
              <w:t>间，对二甲苯</w:t>
            </w:r>
          </w:p>
        </w:tc>
        <w:tc>
          <w:tcPr>
            <w:tcW w:w="548" w:type="pct"/>
            <w:vAlign w:val="center"/>
          </w:tcPr>
          <w:p w14:paraId="51772E51">
            <w:pPr>
              <w:pStyle w:val="31"/>
              <w:rPr>
                <w:rFonts w:cs="Times New Roman"/>
                <w:kern w:val="0"/>
              </w:rPr>
            </w:pPr>
            <w:r>
              <w:rPr>
                <w:rFonts w:hint="eastAsia" w:cs="Times New Roman"/>
                <w:kern w:val="0"/>
              </w:rPr>
              <w:t>mg/kg</w:t>
            </w:r>
          </w:p>
        </w:tc>
        <w:tc>
          <w:tcPr>
            <w:tcW w:w="767" w:type="pct"/>
          </w:tcPr>
          <w:p w14:paraId="6438B716">
            <w:pPr>
              <w:pStyle w:val="31"/>
              <w:rPr>
                <w:rFonts w:hint="default" w:eastAsia="宋体" w:cs="Times New Roman"/>
                <w:kern w:val="0"/>
                <w:lang w:val="en-US" w:eastAsia="zh-CN"/>
              </w:rPr>
            </w:pPr>
            <w:r>
              <w:rPr>
                <w:rFonts w:hint="eastAsia" w:cs="Times New Roman"/>
                <w:kern w:val="0"/>
                <w:lang w:val="en-US" w:eastAsia="zh-CN"/>
              </w:rPr>
              <w:t>0.0012L</w:t>
            </w:r>
          </w:p>
        </w:tc>
        <w:tc>
          <w:tcPr>
            <w:tcW w:w="767" w:type="pct"/>
          </w:tcPr>
          <w:p w14:paraId="6ED4A2C7">
            <w:pPr>
              <w:pStyle w:val="31"/>
              <w:rPr>
                <w:rFonts w:hint="default" w:eastAsia="宋体" w:cs="Times New Roman"/>
                <w:kern w:val="0"/>
                <w:lang w:val="en-US" w:eastAsia="zh-CN"/>
              </w:rPr>
            </w:pPr>
            <w:r>
              <w:rPr>
                <w:rFonts w:hint="eastAsia" w:cs="Times New Roman"/>
                <w:kern w:val="0"/>
                <w:lang w:val="en-US" w:eastAsia="zh-CN"/>
              </w:rPr>
              <w:t>0.0012L</w:t>
            </w:r>
          </w:p>
        </w:tc>
        <w:tc>
          <w:tcPr>
            <w:tcW w:w="769" w:type="pct"/>
            <w:vAlign w:val="center"/>
          </w:tcPr>
          <w:p w14:paraId="6E7599B0">
            <w:pPr>
              <w:pStyle w:val="31"/>
              <w:rPr>
                <w:rFonts w:cs="Times New Roman"/>
                <w:kern w:val="0"/>
              </w:rPr>
            </w:pPr>
            <w:r>
              <w:rPr>
                <w:rFonts w:hint="eastAsia" w:cs="Times New Roman"/>
                <w:kern w:val="0"/>
              </w:rPr>
              <w:t>570</w:t>
            </w:r>
          </w:p>
        </w:tc>
        <w:tc>
          <w:tcPr>
            <w:tcW w:w="768" w:type="pct"/>
          </w:tcPr>
          <w:p w14:paraId="3095D645">
            <w:pPr>
              <w:pStyle w:val="31"/>
              <w:rPr>
                <w:rFonts w:cs="Times New Roman"/>
                <w:kern w:val="0"/>
              </w:rPr>
            </w:pPr>
            <w:r>
              <w:rPr>
                <w:rFonts w:hint="eastAsia" w:cs="Times New Roman"/>
                <w:kern w:val="0"/>
              </w:rPr>
              <w:t>达标</w:t>
            </w:r>
          </w:p>
        </w:tc>
      </w:tr>
      <w:tr w14:paraId="27AF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1E9695FD">
            <w:pPr>
              <w:pStyle w:val="31"/>
              <w:rPr>
                <w:rFonts w:cs="Times New Roman"/>
                <w:kern w:val="0"/>
              </w:rPr>
            </w:pPr>
            <w:r>
              <w:rPr>
                <w:rFonts w:hint="eastAsia" w:cs="Times New Roman"/>
                <w:kern w:val="0"/>
              </w:rPr>
              <w:t>邻二甲苯</w:t>
            </w:r>
          </w:p>
        </w:tc>
        <w:tc>
          <w:tcPr>
            <w:tcW w:w="548" w:type="pct"/>
            <w:vAlign w:val="center"/>
          </w:tcPr>
          <w:p w14:paraId="1204D5FE">
            <w:pPr>
              <w:pStyle w:val="31"/>
              <w:rPr>
                <w:rFonts w:cs="Times New Roman"/>
                <w:kern w:val="0"/>
              </w:rPr>
            </w:pPr>
            <w:r>
              <w:rPr>
                <w:rFonts w:hint="eastAsia" w:cs="Times New Roman"/>
                <w:kern w:val="0"/>
              </w:rPr>
              <w:t>mg/kg</w:t>
            </w:r>
          </w:p>
        </w:tc>
        <w:tc>
          <w:tcPr>
            <w:tcW w:w="767" w:type="pct"/>
          </w:tcPr>
          <w:p w14:paraId="5E9224E6">
            <w:pPr>
              <w:pStyle w:val="31"/>
              <w:rPr>
                <w:rFonts w:hint="default" w:eastAsia="宋体" w:cs="Times New Roman"/>
                <w:kern w:val="0"/>
                <w:lang w:val="en-US" w:eastAsia="zh-CN"/>
              </w:rPr>
            </w:pPr>
            <w:r>
              <w:rPr>
                <w:rFonts w:hint="eastAsia" w:cs="Times New Roman"/>
                <w:kern w:val="0"/>
                <w:lang w:val="en-US" w:eastAsia="zh-CN"/>
              </w:rPr>
              <w:t>0.0012L</w:t>
            </w:r>
          </w:p>
        </w:tc>
        <w:tc>
          <w:tcPr>
            <w:tcW w:w="767" w:type="pct"/>
          </w:tcPr>
          <w:p w14:paraId="279E6B2A">
            <w:pPr>
              <w:pStyle w:val="31"/>
              <w:rPr>
                <w:rFonts w:hint="default" w:eastAsia="宋体" w:cs="Times New Roman"/>
                <w:kern w:val="0"/>
                <w:lang w:val="en-US" w:eastAsia="zh-CN"/>
              </w:rPr>
            </w:pPr>
            <w:r>
              <w:rPr>
                <w:rFonts w:hint="eastAsia" w:cs="Times New Roman"/>
                <w:kern w:val="0"/>
                <w:lang w:val="en-US" w:eastAsia="zh-CN"/>
              </w:rPr>
              <w:t>0.0012L</w:t>
            </w:r>
          </w:p>
        </w:tc>
        <w:tc>
          <w:tcPr>
            <w:tcW w:w="769" w:type="pct"/>
            <w:vAlign w:val="center"/>
          </w:tcPr>
          <w:p w14:paraId="0381FB69">
            <w:pPr>
              <w:pStyle w:val="31"/>
              <w:rPr>
                <w:rFonts w:cs="Times New Roman"/>
                <w:kern w:val="0"/>
              </w:rPr>
            </w:pPr>
            <w:r>
              <w:rPr>
                <w:rFonts w:hint="eastAsia" w:cs="Times New Roman"/>
                <w:kern w:val="0"/>
              </w:rPr>
              <w:t>640</w:t>
            </w:r>
          </w:p>
        </w:tc>
        <w:tc>
          <w:tcPr>
            <w:tcW w:w="768" w:type="pct"/>
          </w:tcPr>
          <w:p w14:paraId="2C9693C2">
            <w:pPr>
              <w:pStyle w:val="31"/>
              <w:rPr>
                <w:rFonts w:cs="Times New Roman"/>
                <w:kern w:val="0"/>
              </w:rPr>
            </w:pPr>
            <w:r>
              <w:rPr>
                <w:rFonts w:hint="eastAsia" w:cs="Times New Roman"/>
                <w:kern w:val="0"/>
              </w:rPr>
              <w:t>达标</w:t>
            </w:r>
          </w:p>
        </w:tc>
      </w:tr>
      <w:tr w14:paraId="7EBB1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33011979">
            <w:pPr>
              <w:pStyle w:val="31"/>
              <w:rPr>
                <w:rFonts w:cs="Times New Roman"/>
                <w:kern w:val="0"/>
              </w:rPr>
            </w:pPr>
            <w:r>
              <w:rPr>
                <w:rFonts w:hint="eastAsia" w:cs="Times New Roman"/>
                <w:kern w:val="0"/>
              </w:rPr>
              <w:t>甲苯</w:t>
            </w:r>
          </w:p>
        </w:tc>
        <w:tc>
          <w:tcPr>
            <w:tcW w:w="548" w:type="pct"/>
            <w:vAlign w:val="center"/>
          </w:tcPr>
          <w:p w14:paraId="4C3B04BB">
            <w:pPr>
              <w:pStyle w:val="31"/>
              <w:rPr>
                <w:rFonts w:cs="Times New Roman"/>
                <w:kern w:val="0"/>
              </w:rPr>
            </w:pPr>
            <w:r>
              <w:rPr>
                <w:rFonts w:hint="eastAsia" w:cs="Times New Roman"/>
                <w:kern w:val="0"/>
              </w:rPr>
              <w:t>mg/kg</w:t>
            </w:r>
          </w:p>
        </w:tc>
        <w:tc>
          <w:tcPr>
            <w:tcW w:w="767" w:type="pct"/>
          </w:tcPr>
          <w:p w14:paraId="0F31689B">
            <w:pPr>
              <w:pStyle w:val="31"/>
              <w:rPr>
                <w:rFonts w:hint="default" w:eastAsia="宋体" w:cs="Times New Roman"/>
                <w:kern w:val="0"/>
                <w:lang w:val="en-US" w:eastAsia="zh-CN"/>
              </w:rPr>
            </w:pPr>
            <w:r>
              <w:rPr>
                <w:rFonts w:hint="eastAsia" w:cs="Times New Roman"/>
                <w:kern w:val="0"/>
                <w:lang w:val="en-US" w:eastAsia="zh-CN"/>
              </w:rPr>
              <w:t>0.0013L</w:t>
            </w:r>
          </w:p>
        </w:tc>
        <w:tc>
          <w:tcPr>
            <w:tcW w:w="767" w:type="pct"/>
          </w:tcPr>
          <w:p w14:paraId="7586C0A5">
            <w:pPr>
              <w:pStyle w:val="31"/>
              <w:rPr>
                <w:rFonts w:hint="default" w:eastAsia="宋体" w:cs="Times New Roman"/>
                <w:kern w:val="0"/>
                <w:lang w:val="en-US" w:eastAsia="zh-CN"/>
              </w:rPr>
            </w:pPr>
            <w:r>
              <w:rPr>
                <w:rFonts w:hint="eastAsia" w:cs="Times New Roman"/>
                <w:kern w:val="0"/>
                <w:lang w:val="en-US" w:eastAsia="zh-CN"/>
              </w:rPr>
              <w:t>0.0013L</w:t>
            </w:r>
          </w:p>
        </w:tc>
        <w:tc>
          <w:tcPr>
            <w:tcW w:w="769" w:type="pct"/>
            <w:vAlign w:val="center"/>
          </w:tcPr>
          <w:p w14:paraId="4D997EF0">
            <w:pPr>
              <w:pStyle w:val="31"/>
              <w:rPr>
                <w:rFonts w:cs="Times New Roman"/>
                <w:kern w:val="0"/>
              </w:rPr>
            </w:pPr>
            <w:r>
              <w:rPr>
                <w:rFonts w:hint="eastAsia" w:cs="Times New Roman"/>
                <w:kern w:val="0"/>
              </w:rPr>
              <w:t>1200</w:t>
            </w:r>
          </w:p>
        </w:tc>
        <w:tc>
          <w:tcPr>
            <w:tcW w:w="768" w:type="pct"/>
          </w:tcPr>
          <w:p w14:paraId="14A7A6EA">
            <w:pPr>
              <w:pStyle w:val="31"/>
              <w:rPr>
                <w:rFonts w:cs="Times New Roman"/>
                <w:kern w:val="0"/>
              </w:rPr>
            </w:pPr>
            <w:r>
              <w:rPr>
                <w:rFonts w:hint="eastAsia" w:cs="Times New Roman"/>
                <w:kern w:val="0"/>
              </w:rPr>
              <w:t>达标</w:t>
            </w:r>
          </w:p>
        </w:tc>
      </w:tr>
      <w:tr w14:paraId="05321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pct"/>
            <w:vAlign w:val="center"/>
          </w:tcPr>
          <w:p w14:paraId="0CAC92F2">
            <w:pPr>
              <w:pStyle w:val="31"/>
              <w:rPr>
                <w:rFonts w:cs="Times New Roman"/>
                <w:kern w:val="0"/>
              </w:rPr>
            </w:pPr>
            <w:r>
              <w:rPr>
                <w:rFonts w:hint="eastAsia" w:cs="Times New Roman"/>
                <w:kern w:val="0"/>
              </w:rPr>
              <w:t>乙苯</w:t>
            </w:r>
          </w:p>
        </w:tc>
        <w:tc>
          <w:tcPr>
            <w:tcW w:w="548" w:type="pct"/>
            <w:vAlign w:val="center"/>
          </w:tcPr>
          <w:p w14:paraId="538E0416">
            <w:pPr>
              <w:pStyle w:val="31"/>
              <w:rPr>
                <w:rFonts w:cs="Times New Roman"/>
                <w:kern w:val="0"/>
              </w:rPr>
            </w:pPr>
            <w:r>
              <w:rPr>
                <w:rFonts w:hint="eastAsia" w:cs="Times New Roman"/>
                <w:kern w:val="0"/>
              </w:rPr>
              <w:t>mg/kg</w:t>
            </w:r>
          </w:p>
        </w:tc>
        <w:tc>
          <w:tcPr>
            <w:tcW w:w="767" w:type="pct"/>
          </w:tcPr>
          <w:p w14:paraId="0A3FA659">
            <w:pPr>
              <w:pStyle w:val="31"/>
              <w:rPr>
                <w:rFonts w:hint="default" w:eastAsia="宋体" w:cs="Times New Roman"/>
                <w:kern w:val="0"/>
                <w:lang w:val="en-US" w:eastAsia="zh-CN"/>
              </w:rPr>
            </w:pPr>
            <w:r>
              <w:rPr>
                <w:rFonts w:hint="eastAsia" w:cs="Times New Roman"/>
                <w:kern w:val="0"/>
                <w:lang w:val="en-US" w:eastAsia="zh-CN"/>
              </w:rPr>
              <w:t>0.0012L</w:t>
            </w:r>
          </w:p>
        </w:tc>
        <w:tc>
          <w:tcPr>
            <w:tcW w:w="767" w:type="pct"/>
          </w:tcPr>
          <w:p w14:paraId="46DD5C74">
            <w:pPr>
              <w:pStyle w:val="31"/>
              <w:rPr>
                <w:rFonts w:hint="default" w:eastAsia="宋体" w:cs="Times New Roman"/>
                <w:kern w:val="0"/>
                <w:lang w:val="en-US" w:eastAsia="zh-CN"/>
              </w:rPr>
            </w:pPr>
            <w:r>
              <w:rPr>
                <w:rFonts w:hint="eastAsia" w:cs="Times New Roman"/>
                <w:kern w:val="0"/>
                <w:lang w:val="en-US" w:eastAsia="zh-CN"/>
              </w:rPr>
              <w:t>0.0012L</w:t>
            </w:r>
          </w:p>
        </w:tc>
        <w:tc>
          <w:tcPr>
            <w:tcW w:w="769" w:type="pct"/>
            <w:vAlign w:val="center"/>
          </w:tcPr>
          <w:p w14:paraId="3530A9DB">
            <w:pPr>
              <w:pStyle w:val="31"/>
              <w:rPr>
                <w:rFonts w:cs="Times New Roman"/>
                <w:kern w:val="0"/>
              </w:rPr>
            </w:pPr>
            <w:r>
              <w:rPr>
                <w:rFonts w:hint="eastAsia" w:cs="Times New Roman"/>
                <w:kern w:val="0"/>
              </w:rPr>
              <w:t>28</w:t>
            </w:r>
          </w:p>
        </w:tc>
        <w:tc>
          <w:tcPr>
            <w:tcW w:w="768" w:type="pct"/>
          </w:tcPr>
          <w:p w14:paraId="26F0F6A0">
            <w:pPr>
              <w:pStyle w:val="31"/>
              <w:rPr>
                <w:rFonts w:cs="Times New Roman"/>
                <w:kern w:val="0"/>
              </w:rPr>
            </w:pPr>
            <w:r>
              <w:rPr>
                <w:rFonts w:hint="eastAsia" w:cs="Times New Roman"/>
                <w:kern w:val="0"/>
              </w:rPr>
              <w:t>达标</w:t>
            </w:r>
          </w:p>
        </w:tc>
      </w:tr>
    </w:tbl>
    <w:p w14:paraId="4D2D9C5E">
      <w:pPr>
        <w:pStyle w:val="23"/>
      </w:pPr>
      <w:r>
        <w:rPr>
          <w:rFonts w:hint="eastAsia"/>
        </w:rPr>
        <w:t>表4.6-2  T2监测结果表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2707"/>
        <w:gridCol w:w="961"/>
        <w:gridCol w:w="1348"/>
        <w:gridCol w:w="1348"/>
        <w:gridCol w:w="1347"/>
      </w:tblGrid>
      <w:tr w14:paraId="4E518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76" w:type="pct"/>
          </w:tcPr>
          <w:p w14:paraId="69D49B76">
            <w:pPr>
              <w:pStyle w:val="31"/>
            </w:pPr>
            <w:r>
              <w:rPr>
                <w:rFonts w:hint="eastAsia"/>
              </w:rPr>
              <w:t>序号</w:t>
            </w:r>
          </w:p>
        </w:tc>
        <w:tc>
          <w:tcPr>
            <w:tcW w:w="1588" w:type="pct"/>
            <w:shd w:val="clear" w:color="auto" w:fill="auto"/>
            <w:vAlign w:val="center"/>
          </w:tcPr>
          <w:p w14:paraId="1C5CF6F4">
            <w:pPr>
              <w:pStyle w:val="31"/>
            </w:pPr>
            <w:r>
              <w:rPr>
                <w:rFonts w:hint="eastAsia"/>
              </w:rPr>
              <w:t>检测因子</w:t>
            </w:r>
          </w:p>
        </w:tc>
        <w:tc>
          <w:tcPr>
            <w:tcW w:w="564" w:type="pct"/>
            <w:shd w:val="clear" w:color="auto" w:fill="auto"/>
            <w:vAlign w:val="center"/>
          </w:tcPr>
          <w:p w14:paraId="357AB67F">
            <w:pPr>
              <w:pStyle w:val="31"/>
            </w:pPr>
            <w:r>
              <w:rPr>
                <w:rFonts w:hint="eastAsia"/>
              </w:rPr>
              <w:t>单位</w:t>
            </w:r>
          </w:p>
        </w:tc>
        <w:tc>
          <w:tcPr>
            <w:tcW w:w="791" w:type="pct"/>
          </w:tcPr>
          <w:p w14:paraId="3FB80765">
            <w:pPr>
              <w:pStyle w:val="31"/>
            </w:pPr>
            <w:r>
              <w:rPr>
                <w:rFonts w:hint="eastAsia"/>
              </w:rPr>
              <w:t>监测结果</w:t>
            </w:r>
          </w:p>
        </w:tc>
        <w:tc>
          <w:tcPr>
            <w:tcW w:w="791" w:type="pct"/>
            <w:shd w:val="clear" w:color="auto" w:fill="auto"/>
            <w:vAlign w:val="center"/>
          </w:tcPr>
          <w:p w14:paraId="12007EB1">
            <w:pPr>
              <w:pStyle w:val="31"/>
            </w:pPr>
            <w:r>
              <w:rPr>
                <w:rFonts w:hint="eastAsia"/>
              </w:rPr>
              <w:t>标准限值</w:t>
            </w:r>
          </w:p>
        </w:tc>
        <w:tc>
          <w:tcPr>
            <w:tcW w:w="790" w:type="pct"/>
          </w:tcPr>
          <w:p w14:paraId="38090D57">
            <w:pPr>
              <w:pStyle w:val="31"/>
            </w:pPr>
            <w:r>
              <w:rPr>
                <w:rFonts w:hint="eastAsia"/>
              </w:rPr>
              <w:t>达标情况</w:t>
            </w:r>
          </w:p>
        </w:tc>
      </w:tr>
      <w:tr w14:paraId="02610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29FD2955">
            <w:pPr>
              <w:pStyle w:val="31"/>
            </w:pPr>
            <w:r>
              <w:rPr>
                <w:rFonts w:hint="eastAsia"/>
              </w:rPr>
              <w:t>1</w:t>
            </w:r>
          </w:p>
        </w:tc>
        <w:tc>
          <w:tcPr>
            <w:tcW w:w="1588" w:type="pct"/>
            <w:shd w:val="clear" w:color="auto" w:fill="auto"/>
            <w:vAlign w:val="center"/>
          </w:tcPr>
          <w:p w14:paraId="7027672F">
            <w:pPr>
              <w:pStyle w:val="31"/>
            </w:pPr>
            <w:r>
              <w:rPr>
                <w:rFonts w:hint="eastAsia"/>
              </w:rPr>
              <w:t>pH值</w:t>
            </w:r>
          </w:p>
        </w:tc>
        <w:tc>
          <w:tcPr>
            <w:tcW w:w="564" w:type="pct"/>
            <w:shd w:val="clear" w:color="auto" w:fill="auto"/>
            <w:vAlign w:val="center"/>
          </w:tcPr>
          <w:p w14:paraId="32AE76F4">
            <w:pPr>
              <w:pStyle w:val="31"/>
            </w:pPr>
            <w:r>
              <w:t>mg/kg</w:t>
            </w:r>
          </w:p>
        </w:tc>
        <w:tc>
          <w:tcPr>
            <w:tcW w:w="791" w:type="pct"/>
          </w:tcPr>
          <w:p w14:paraId="6A16324C">
            <w:pPr>
              <w:pStyle w:val="31"/>
              <w:rPr>
                <w:rFonts w:hint="default" w:eastAsia="宋体"/>
                <w:lang w:val="en-US" w:eastAsia="zh-CN"/>
              </w:rPr>
            </w:pPr>
            <w:r>
              <w:rPr>
                <w:rFonts w:hint="eastAsia"/>
                <w:lang w:val="en-US" w:eastAsia="zh-CN"/>
              </w:rPr>
              <w:t>6.81</w:t>
            </w:r>
          </w:p>
        </w:tc>
        <w:tc>
          <w:tcPr>
            <w:tcW w:w="791" w:type="pct"/>
            <w:shd w:val="clear" w:color="auto" w:fill="auto"/>
            <w:vAlign w:val="center"/>
          </w:tcPr>
          <w:p w14:paraId="70948EA2">
            <w:pPr>
              <w:pStyle w:val="31"/>
            </w:pPr>
            <w:r>
              <w:rPr>
                <w:rFonts w:hint="eastAsia"/>
              </w:rPr>
              <w:t>/</w:t>
            </w:r>
          </w:p>
        </w:tc>
        <w:tc>
          <w:tcPr>
            <w:tcW w:w="790" w:type="pct"/>
          </w:tcPr>
          <w:p w14:paraId="0E30D4D1">
            <w:pPr>
              <w:pStyle w:val="31"/>
            </w:pPr>
            <w:r>
              <w:rPr>
                <w:rFonts w:hint="eastAsia"/>
              </w:rPr>
              <w:t>达标</w:t>
            </w:r>
          </w:p>
        </w:tc>
      </w:tr>
      <w:tr w14:paraId="6AA1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E98D2C3">
            <w:pPr>
              <w:pStyle w:val="31"/>
            </w:pPr>
            <w:r>
              <w:rPr>
                <w:rFonts w:hint="eastAsia"/>
              </w:rPr>
              <w:t>2</w:t>
            </w:r>
          </w:p>
        </w:tc>
        <w:tc>
          <w:tcPr>
            <w:tcW w:w="1588" w:type="pct"/>
            <w:shd w:val="clear" w:color="auto" w:fill="auto"/>
            <w:vAlign w:val="center"/>
          </w:tcPr>
          <w:p w14:paraId="27DA7077">
            <w:pPr>
              <w:pStyle w:val="31"/>
            </w:pPr>
            <w:r>
              <w:rPr>
                <w:rFonts w:hint="eastAsia"/>
              </w:rPr>
              <w:t>石油烃（C</w:t>
            </w:r>
            <w:r>
              <w:rPr>
                <w:rFonts w:hint="eastAsia"/>
                <w:vertAlign w:val="subscript"/>
              </w:rPr>
              <w:t>10</w:t>
            </w:r>
            <w:r>
              <w:rPr>
                <w:rFonts w:hint="eastAsia"/>
              </w:rPr>
              <w:t>-C</w:t>
            </w:r>
            <w:r>
              <w:rPr>
                <w:rFonts w:hint="eastAsia"/>
                <w:vertAlign w:val="subscript"/>
              </w:rPr>
              <w:t>40</w:t>
            </w:r>
            <w:r>
              <w:rPr>
                <w:rFonts w:hint="eastAsia"/>
              </w:rPr>
              <w:t>）</w:t>
            </w:r>
          </w:p>
        </w:tc>
        <w:tc>
          <w:tcPr>
            <w:tcW w:w="564" w:type="pct"/>
            <w:shd w:val="clear" w:color="auto" w:fill="auto"/>
            <w:vAlign w:val="center"/>
          </w:tcPr>
          <w:p w14:paraId="021945BF">
            <w:pPr>
              <w:pStyle w:val="31"/>
            </w:pPr>
            <w:r>
              <w:t>mg/kg</w:t>
            </w:r>
          </w:p>
        </w:tc>
        <w:tc>
          <w:tcPr>
            <w:tcW w:w="791" w:type="pct"/>
          </w:tcPr>
          <w:p w14:paraId="1E9572ED">
            <w:pPr>
              <w:pStyle w:val="31"/>
              <w:rPr>
                <w:rFonts w:hint="default" w:eastAsia="宋体"/>
                <w:lang w:val="en-US" w:eastAsia="zh-CN"/>
              </w:rPr>
            </w:pPr>
            <w:r>
              <w:rPr>
                <w:rFonts w:hint="eastAsia"/>
                <w:lang w:val="en-US" w:eastAsia="zh-CN"/>
              </w:rPr>
              <w:t>103</w:t>
            </w:r>
          </w:p>
        </w:tc>
        <w:tc>
          <w:tcPr>
            <w:tcW w:w="791" w:type="pct"/>
            <w:shd w:val="clear" w:color="auto" w:fill="auto"/>
            <w:vAlign w:val="center"/>
          </w:tcPr>
          <w:p w14:paraId="6666ACF6">
            <w:pPr>
              <w:pStyle w:val="31"/>
            </w:pPr>
            <w:r>
              <w:rPr>
                <w:rFonts w:hint="eastAsia"/>
              </w:rPr>
              <w:t>4500</w:t>
            </w:r>
          </w:p>
        </w:tc>
        <w:tc>
          <w:tcPr>
            <w:tcW w:w="790" w:type="pct"/>
          </w:tcPr>
          <w:p w14:paraId="0C06596C">
            <w:pPr>
              <w:pStyle w:val="31"/>
            </w:pPr>
            <w:r>
              <w:rPr>
                <w:rFonts w:hint="eastAsia"/>
              </w:rPr>
              <w:t>达标</w:t>
            </w:r>
          </w:p>
        </w:tc>
      </w:tr>
      <w:tr w14:paraId="7AA47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852D6BA">
            <w:pPr>
              <w:pStyle w:val="31"/>
            </w:pPr>
            <w:r>
              <w:rPr>
                <w:rFonts w:hint="eastAsia"/>
              </w:rPr>
              <w:t>3</w:t>
            </w:r>
          </w:p>
        </w:tc>
        <w:tc>
          <w:tcPr>
            <w:tcW w:w="1588" w:type="pct"/>
            <w:shd w:val="clear" w:color="auto" w:fill="auto"/>
            <w:vAlign w:val="center"/>
          </w:tcPr>
          <w:p w14:paraId="2D046B0C">
            <w:pPr>
              <w:pStyle w:val="31"/>
            </w:pPr>
            <w:r>
              <w:rPr>
                <w:rFonts w:hint="eastAsia"/>
              </w:rPr>
              <w:t>砷</w:t>
            </w:r>
          </w:p>
        </w:tc>
        <w:tc>
          <w:tcPr>
            <w:tcW w:w="564" w:type="pct"/>
            <w:shd w:val="clear" w:color="auto" w:fill="auto"/>
            <w:vAlign w:val="center"/>
          </w:tcPr>
          <w:p w14:paraId="1D8B7E28">
            <w:pPr>
              <w:pStyle w:val="31"/>
            </w:pPr>
            <w:r>
              <w:t>mg/kg</w:t>
            </w:r>
          </w:p>
        </w:tc>
        <w:tc>
          <w:tcPr>
            <w:tcW w:w="791" w:type="pct"/>
          </w:tcPr>
          <w:p w14:paraId="0B73935C">
            <w:pPr>
              <w:pStyle w:val="31"/>
              <w:rPr>
                <w:rFonts w:hint="default" w:eastAsia="宋体"/>
                <w:lang w:val="en-US" w:eastAsia="zh-CN"/>
              </w:rPr>
            </w:pPr>
            <w:r>
              <w:rPr>
                <w:rFonts w:hint="eastAsia"/>
                <w:lang w:val="en-US" w:eastAsia="zh-CN"/>
              </w:rPr>
              <w:t>23.1</w:t>
            </w:r>
          </w:p>
        </w:tc>
        <w:tc>
          <w:tcPr>
            <w:tcW w:w="791" w:type="pct"/>
            <w:shd w:val="clear" w:color="auto" w:fill="auto"/>
            <w:vAlign w:val="center"/>
          </w:tcPr>
          <w:p w14:paraId="6BE8E731">
            <w:pPr>
              <w:pStyle w:val="31"/>
            </w:pPr>
            <w:r>
              <w:rPr>
                <w:rFonts w:hint="eastAsia"/>
              </w:rPr>
              <w:t>60</w:t>
            </w:r>
          </w:p>
        </w:tc>
        <w:tc>
          <w:tcPr>
            <w:tcW w:w="790" w:type="pct"/>
          </w:tcPr>
          <w:p w14:paraId="60FA3A89">
            <w:pPr>
              <w:pStyle w:val="31"/>
            </w:pPr>
            <w:r>
              <w:rPr>
                <w:rFonts w:hint="eastAsia"/>
              </w:rPr>
              <w:t>达标</w:t>
            </w:r>
          </w:p>
        </w:tc>
      </w:tr>
      <w:tr w14:paraId="6AD3D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37AE7C2">
            <w:pPr>
              <w:pStyle w:val="31"/>
            </w:pPr>
            <w:r>
              <w:rPr>
                <w:rFonts w:hint="eastAsia"/>
              </w:rPr>
              <w:t>4</w:t>
            </w:r>
          </w:p>
        </w:tc>
        <w:tc>
          <w:tcPr>
            <w:tcW w:w="1588" w:type="pct"/>
            <w:shd w:val="clear" w:color="auto" w:fill="auto"/>
            <w:vAlign w:val="center"/>
          </w:tcPr>
          <w:p w14:paraId="6D19BFA3">
            <w:pPr>
              <w:pStyle w:val="31"/>
            </w:pPr>
            <w:r>
              <w:rPr>
                <w:rFonts w:hint="eastAsia"/>
              </w:rPr>
              <w:t>镉</w:t>
            </w:r>
          </w:p>
        </w:tc>
        <w:tc>
          <w:tcPr>
            <w:tcW w:w="564" w:type="pct"/>
            <w:shd w:val="clear" w:color="auto" w:fill="auto"/>
            <w:vAlign w:val="center"/>
          </w:tcPr>
          <w:p w14:paraId="0FD9B8F8">
            <w:pPr>
              <w:pStyle w:val="31"/>
            </w:pPr>
            <w:r>
              <w:t>mg/kg</w:t>
            </w:r>
          </w:p>
        </w:tc>
        <w:tc>
          <w:tcPr>
            <w:tcW w:w="791" w:type="pct"/>
          </w:tcPr>
          <w:p w14:paraId="2E99B32C">
            <w:pPr>
              <w:pStyle w:val="31"/>
              <w:rPr>
                <w:rFonts w:hint="default" w:eastAsia="宋体"/>
                <w:lang w:val="en-US" w:eastAsia="zh-CN"/>
              </w:rPr>
            </w:pPr>
            <w:r>
              <w:rPr>
                <w:rFonts w:hint="eastAsia"/>
                <w:lang w:val="en-US" w:eastAsia="zh-CN"/>
              </w:rPr>
              <w:t>0.64</w:t>
            </w:r>
          </w:p>
        </w:tc>
        <w:tc>
          <w:tcPr>
            <w:tcW w:w="791" w:type="pct"/>
            <w:shd w:val="clear" w:color="auto" w:fill="auto"/>
            <w:vAlign w:val="center"/>
          </w:tcPr>
          <w:p w14:paraId="597B77D9">
            <w:pPr>
              <w:pStyle w:val="31"/>
            </w:pPr>
            <w:r>
              <w:rPr>
                <w:rFonts w:hint="eastAsia"/>
              </w:rPr>
              <w:t>65</w:t>
            </w:r>
          </w:p>
        </w:tc>
        <w:tc>
          <w:tcPr>
            <w:tcW w:w="790" w:type="pct"/>
          </w:tcPr>
          <w:p w14:paraId="70B1AA01">
            <w:pPr>
              <w:pStyle w:val="31"/>
            </w:pPr>
            <w:r>
              <w:rPr>
                <w:rFonts w:hint="eastAsia"/>
              </w:rPr>
              <w:t>达标</w:t>
            </w:r>
          </w:p>
        </w:tc>
      </w:tr>
      <w:tr w14:paraId="6FB37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B045D15">
            <w:pPr>
              <w:pStyle w:val="31"/>
            </w:pPr>
            <w:r>
              <w:rPr>
                <w:rFonts w:hint="eastAsia"/>
              </w:rPr>
              <w:t>5</w:t>
            </w:r>
          </w:p>
        </w:tc>
        <w:tc>
          <w:tcPr>
            <w:tcW w:w="1588" w:type="pct"/>
            <w:shd w:val="clear" w:color="auto" w:fill="auto"/>
            <w:vAlign w:val="center"/>
          </w:tcPr>
          <w:p w14:paraId="5173E83D">
            <w:pPr>
              <w:pStyle w:val="31"/>
            </w:pPr>
            <w:r>
              <w:rPr>
                <w:rFonts w:hint="eastAsia"/>
              </w:rPr>
              <w:t>六价铬</w:t>
            </w:r>
          </w:p>
        </w:tc>
        <w:tc>
          <w:tcPr>
            <w:tcW w:w="564" w:type="pct"/>
            <w:shd w:val="clear" w:color="auto" w:fill="auto"/>
            <w:vAlign w:val="center"/>
          </w:tcPr>
          <w:p w14:paraId="66A13E6E">
            <w:pPr>
              <w:pStyle w:val="31"/>
            </w:pPr>
            <w:r>
              <w:t>mg/kg</w:t>
            </w:r>
          </w:p>
        </w:tc>
        <w:tc>
          <w:tcPr>
            <w:tcW w:w="791" w:type="pct"/>
          </w:tcPr>
          <w:p w14:paraId="52E4ECBC">
            <w:pPr>
              <w:pStyle w:val="31"/>
              <w:rPr>
                <w:rFonts w:hint="default" w:eastAsia="宋体"/>
                <w:lang w:val="en-US" w:eastAsia="zh-CN"/>
              </w:rPr>
            </w:pPr>
            <w:r>
              <w:rPr>
                <w:rFonts w:hint="eastAsia"/>
                <w:lang w:val="en-US" w:eastAsia="zh-CN"/>
              </w:rPr>
              <w:t>0.5L</w:t>
            </w:r>
          </w:p>
        </w:tc>
        <w:tc>
          <w:tcPr>
            <w:tcW w:w="791" w:type="pct"/>
            <w:shd w:val="clear" w:color="auto" w:fill="auto"/>
            <w:vAlign w:val="center"/>
          </w:tcPr>
          <w:p w14:paraId="335ABBEB">
            <w:pPr>
              <w:pStyle w:val="31"/>
            </w:pPr>
            <w:r>
              <w:rPr>
                <w:rFonts w:hint="eastAsia"/>
              </w:rPr>
              <w:t>5.7</w:t>
            </w:r>
          </w:p>
        </w:tc>
        <w:tc>
          <w:tcPr>
            <w:tcW w:w="790" w:type="pct"/>
          </w:tcPr>
          <w:p w14:paraId="3AE7F51F">
            <w:pPr>
              <w:pStyle w:val="31"/>
            </w:pPr>
            <w:r>
              <w:rPr>
                <w:rFonts w:hint="eastAsia"/>
              </w:rPr>
              <w:t>达标</w:t>
            </w:r>
          </w:p>
        </w:tc>
      </w:tr>
      <w:tr w14:paraId="77DE4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3B95D74">
            <w:pPr>
              <w:pStyle w:val="31"/>
            </w:pPr>
            <w:r>
              <w:rPr>
                <w:rFonts w:hint="eastAsia"/>
              </w:rPr>
              <w:t>6</w:t>
            </w:r>
          </w:p>
        </w:tc>
        <w:tc>
          <w:tcPr>
            <w:tcW w:w="1588" w:type="pct"/>
            <w:shd w:val="clear" w:color="auto" w:fill="auto"/>
            <w:vAlign w:val="center"/>
          </w:tcPr>
          <w:p w14:paraId="09430EB9">
            <w:pPr>
              <w:pStyle w:val="31"/>
            </w:pPr>
            <w:r>
              <w:rPr>
                <w:rFonts w:hint="eastAsia"/>
              </w:rPr>
              <w:t>铜</w:t>
            </w:r>
          </w:p>
        </w:tc>
        <w:tc>
          <w:tcPr>
            <w:tcW w:w="564" w:type="pct"/>
            <w:shd w:val="clear" w:color="auto" w:fill="auto"/>
            <w:vAlign w:val="center"/>
          </w:tcPr>
          <w:p w14:paraId="6C98920A">
            <w:pPr>
              <w:pStyle w:val="31"/>
            </w:pPr>
            <w:r>
              <w:t>mg/kg</w:t>
            </w:r>
          </w:p>
        </w:tc>
        <w:tc>
          <w:tcPr>
            <w:tcW w:w="791" w:type="pct"/>
          </w:tcPr>
          <w:p w14:paraId="34278ABC">
            <w:pPr>
              <w:pStyle w:val="31"/>
              <w:rPr>
                <w:rFonts w:hint="default" w:eastAsia="宋体"/>
                <w:lang w:val="en-US" w:eastAsia="zh-CN"/>
              </w:rPr>
            </w:pPr>
            <w:r>
              <w:rPr>
                <w:rFonts w:hint="eastAsia"/>
                <w:lang w:val="en-US" w:eastAsia="zh-CN"/>
              </w:rPr>
              <w:t>25</w:t>
            </w:r>
          </w:p>
        </w:tc>
        <w:tc>
          <w:tcPr>
            <w:tcW w:w="791" w:type="pct"/>
            <w:shd w:val="clear" w:color="auto" w:fill="auto"/>
            <w:vAlign w:val="center"/>
          </w:tcPr>
          <w:p w14:paraId="6C0226EF">
            <w:pPr>
              <w:pStyle w:val="31"/>
            </w:pPr>
            <w:r>
              <w:rPr>
                <w:rFonts w:hint="eastAsia"/>
              </w:rPr>
              <w:t>18000</w:t>
            </w:r>
          </w:p>
        </w:tc>
        <w:tc>
          <w:tcPr>
            <w:tcW w:w="790" w:type="pct"/>
          </w:tcPr>
          <w:p w14:paraId="299C9A75">
            <w:pPr>
              <w:pStyle w:val="31"/>
            </w:pPr>
            <w:r>
              <w:rPr>
                <w:rFonts w:hint="eastAsia"/>
              </w:rPr>
              <w:t>达标</w:t>
            </w:r>
          </w:p>
        </w:tc>
      </w:tr>
      <w:tr w14:paraId="418F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25AD18C8">
            <w:pPr>
              <w:pStyle w:val="31"/>
            </w:pPr>
            <w:r>
              <w:rPr>
                <w:rFonts w:hint="eastAsia"/>
              </w:rPr>
              <w:t>7</w:t>
            </w:r>
          </w:p>
        </w:tc>
        <w:tc>
          <w:tcPr>
            <w:tcW w:w="1588" w:type="pct"/>
            <w:shd w:val="clear" w:color="auto" w:fill="auto"/>
            <w:vAlign w:val="center"/>
          </w:tcPr>
          <w:p w14:paraId="7C9C864C">
            <w:pPr>
              <w:pStyle w:val="31"/>
            </w:pPr>
            <w:r>
              <w:rPr>
                <w:rFonts w:hint="eastAsia"/>
              </w:rPr>
              <w:t>铅</w:t>
            </w:r>
          </w:p>
        </w:tc>
        <w:tc>
          <w:tcPr>
            <w:tcW w:w="564" w:type="pct"/>
            <w:shd w:val="clear" w:color="auto" w:fill="auto"/>
            <w:vAlign w:val="center"/>
          </w:tcPr>
          <w:p w14:paraId="1BD9030E">
            <w:pPr>
              <w:pStyle w:val="31"/>
            </w:pPr>
            <w:r>
              <w:t>mg/kg</w:t>
            </w:r>
          </w:p>
        </w:tc>
        <w:tc>
          <w:tcPr>
            <w:tcW w:w="791" w:type="pct"/>
          </w:tcPr>
          <w:p w14:paraId="6F56E3DC">
            <w:pPr>
              <w:pStyle w:val="31"/>
              <w:rPr>
                <w:rFonts w:hint="default" w:eastAsia="宋体"/>
                <w:lang w:val="en-US" w:eastAsia="zh-CN"/>
              </w:rPr>
            </w:pPr>
            <w:r>
              <w:rPr>
                <w:rFonts w:hint="eastAsia"/>
                <w:lang w:val="en-US" w:eastAsia="zh-CN"/>
              </w:rPr>
              <w:t>48</w:t>
            </w:r>
          </w:p>
        </w:tc>
        <w:tc>
          <w:tcPr>
            <w:tcW w:w="791" w:type="pct"/>
            <w:shd w:val="clear" w:color="auto" w:fill="auto"/>
            <w:vAlign w:val="center"/>
          </w:tcPr>
          <w:p w14:paraId="73705C77">
            <w:pPr>
              <w:pStyle w:val="31"/>
            </w:pPr>
            <w:r>
              <w:rPr>
                <w:rFonts w:hint="eastAsia"/>
              </w:rPr>
              <w:t>800</w:t>
            </w:r>
          </w:p>
        </w:tc>
        <w:tc>
          <w:tcPr>
            <w:tcW w:w="790" w:type="pct"/>
          </w:tcPr>
          <w:p w14:paraId="389830A6">
            <w:pPr>
              <w:pStyle w:val="31"/>
            </w:pPr>
            <w:r>
              <w:rPr>
                <w:rFonts w:hint="eastAsia"/>
              </w:rPr>
              <w:t>达标</w:t>
            </w:r>
          </w:p>
        </w:tc>
      </w:tr>
      <w:tr w14:paraId="275F2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2CE61864">
            <w:pPr>
              <w:pStyle w:val="31"/>
            </w:pPr>
            <w:r>
              <w:rPr>
                <w:rFonts w:hint="eastAsia"/>
              </w:rPr>
              <w:t>8</w:t>
            </w:r>
          </w:p>
        </w:tc>
        <w:tc>
          <w:tcPr>
            <w:tcW w:w="1588" w:type="pct"/>
            <w:shd w:val="clear" w:color="auto" w:fill="auto"/>
            <w:vAlign w:val="center"/>
          </w:tcPr>
          <w:p w14:paraId="1242773E">
            <w:pPr>
              <w:pStyle w:val="31"/>
            </w:pPr>
            <w:r>
              <w:rPr>
                <w:rFonts w:hint="eastAsia"/>
              </w:rPr>
              <w:t>汞</w:t>
            </w:r>
          </w:p>
        </w:tc>
        <w:tc>
          <w:tcPr>
            <w:tcW w:w="564" w:type="pct"/>
            <w:shd w:val="clear" w:color="auto" w:fill="auto"/>
            <w:vAlign w:val="center"/>
          </w:tcPr>
          <w:p w14:paraId="1AE540DF">
            <w:pPr>
              <w:pStyle w:val="31"/>
            </w:pPr>
            <w:r>
              <w:t>mg/kg</w:t>
            </w:r>
          </w:p>
        </w:tc>
        <w:tc>
          <w:tcPr>
            <w:tcW w:w="791" w:type="pct"/>
          </w:tcPr>
          <w:p w14:paraId="67F65917">
            <w:pPr>
              <w:pStyle w:val="31"/>
              <w:rPr>
                <w:rFonts w:hint="default" w:eastAsia="宋体"/>
                <w:lang w:val="en-US" w:eastAsia="zh-CN"/>
              </w:rPr>
            </w:pPr>
            <w:r>
              <w:rPr>
                <w:rFonts w:hint="eastAsia"/>
                <w:lang w:val="en-US" w:eastAsia="zh-CN"/>
              </w:rPr>
              <w:t>0.066</w:t>
            </w:r>
          </w:p>
        </w:tc>
        <w:tc>
          <w:tcPr>
            <w:tcW w:w="791" w:type="pct"/>
            <w:shd w:val="clear" w:color="auto" w:fill="auto"/>
            <w:vAlign w:val="center"/>
          </w:tcPr>
          <w:p w14:paraId="70C4BC64">
            <w:pPr>
              <w:pStyle w:val="31"/>
            </w:pPr>
            <w:r>
              <w:rPr>
                <w:rFonts w:hint="eastAsia"/>
              </w:rPr>
              <w:t>38</w:t>
            </w:r>
          </w:p>
        </w:tc>
        <w:tc>
          <w:tcPr>
            <w:tcW w:w="790" w:type="pct"/>
          </w:tcPr>
          <w:p w14:paraId="467C3DE4">
            <w:pPr>
              <w:pStyle w:val="31"/>
            </w:pPr>
            <w:r>
              <w:rPr>
                <w:rFonts w:hint="eastAsia"/>
              </w:rPr>
              <w:t>达标</w:t>
            </w:r>
          </w:p>
        </w:tc>
      </w:tr>
      <w:tr w14:paraId="16375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09620B0E">
            <w:pPr>
              <w:pStyle w:val="31"/>
            </w:pPr>
            <w:r>
              <w:rPr>
                <w:rFonts w:hint="eastAsia"/>
              </w:rPr>
              <w:t>9</w:t>
            </w:r>
          </w:p>
        </w:tc>
        <w:tc>
          <w:tcPr>
            <w:tcW w:w="1588" w:type="pct"/>
            <w:shd w:val="clear" w:color="auto" w:fill="auto"/>
            <w:vAlign w:val="center"/>
          </w:tcPr>
          <w:p w14:paraId="114ED35B">
            <w:pPr>
              <w:pStyle w:val="31"/>
            </w:pPr>
            <w:r>
              <w:rPr>
                <w:rFonts w:hint="eastAsia"/>
              </w:rPr>
              <w:t>镍</w:t>
            </w:r>
          </w:p>
        </w:tc>
        <w:tc>
          <w:tcPr>
            <w:tcW w:w="564" w:type="pct"/>
            <w:shd w:val="clear" w:color="auto" w:fill="auto"/>
            <w:vAlign w:val="center"/>
          </w:tcPr>
          <w:p w14:paraId="180F178A">
            <w:pPr>
              <w:pStyle w:val="31"/>
            </w:pPr>
            <w:r>
              <w:t>mg/kg</w:t>
            </w:r>
          </w:p>
        </w:tc>
        <w:tc>
          <w:tcPr>
            <w:tcW w:w="791" w:type="pct"/>
          </w:tcPr>
          <w:p w14:paraId="1606B591">
            <w:pPr>
              <w:pStyle w:val="31"/>
              <w:rPr>
                <w:rFonts w:hint="default" w:eastAsia="宋体"/>
                <w:lang w:val="en-US" w:eastAsia="zh-CN"/>
              </w:rPr>
            </w:pPr>
            <w:r>
              <w:rPr>
                <w:rFonts w:hint="eastAsia"/>
                <w:lang w:val="en-US" w:eastAsia="zh-CN"/>
              </w:rPr>
              <w:t>27</w:t>
            </w:r>
          </w:p>
        </w:tc>
        <w:tc>
          <w:tcPr>
            <w:tcW w:w="791" w:type="pct"/>
            <w:shd w:val="clear" w:color="auto" w:fill="auto"/>
            <w:vAlign w:val="center"/>
          </w:tcPr>
          <w:p w14:paraId="1A704A81">
            <w:pPr>
              <w:pStyle w:val="31"/>
            </w:pPr>
            <w:r>
              <w:rPr>
                <w:rFonts w:hint="eastAsia"/>
              </w:rPr>
              <w:t>900</w:t>
            </w:r>
          </w:p>
        </w:tc>
        <w:tc>
          <w:tcPr>
            <w:tcW w:w="790" w:type="pct"/>
          </w:tcPr>
          <w:p w14:paraId="60E6EDA2">
            <w:pPr>
              <w:pStyle w:val="31"/>
            </w:pPr>
            <w:r>
              <w:rPr>
                <w:rFonts w:hint="eastAsia"/>
              </w:rPr>
              <w:t>达标</w:t>
            </w:r>
          </w:p>
        </w:tc>
      </w:tr>
      <w:tr w14:paraId="69861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427F95F">
            <w:pPr>
              <w:pStyle w:val="31"/>
            </w:pPr>
            <w:r>
              <w:rPr>
                <w:rFonts w:hint="eastAsia"/>
              </w:rPr>
              <w:t>10</w:t>
            </w:r>
          </w:p>
        </w:tc>
        <w:tc>
          <w:tcPr>
            <w:tcW w:w="1588" w:type="pct"/>
            <w:shd w:val="clear" w:color="auto" w:fill="auto"/>
            <w:vAlign w:val="center"/>
          </w:tcPr>
          <w:p w14:paraId="6C969038">
            <w:pPr>
              <w:pStyle w:val="31"/>
            </w:pPr>
            <w:r>
              <w:rPr>
                <w:rFonts w:hint="eastAsia"/>
              </w:rPr>
              <w:t>四氯化碳</w:t>
            </w:r>
          </w:p>
        </w:tc>
        <w:tc>
          <w:tcPr>
            <w:tcW w:w="564" w:type="pct"/>
            <w:shd w:val="clear" w:color="auto" w:fill="auto"/>
            <w:vAlign w:val="center"/>
          </w:tcPr>
          <w:p w14:paraId="6727A4F5">
            <w:pPr>
              <w:pStyle w:val="31"/>
            </w:pPr>
            <w:r>
              <w:t>mg/kg</w:t>
            </w:r>
          </w:p>
        </w:tc>
        <w:tc>
          <w:tcPr>
            <w:tcW w:w="791" w:type="pct"/>
          </w:tcPr>
          <w:p w14:paraId="76F04B81">
            <w:pPr>
              <w:pStyle w:val="31"/>
            </w:pPr>
            <w:r>
              <w:rPr>
                <w:rFonts w:hint="eastAsia"/>
              </w:rPr>
              <w:t>2.1×10</w:t>
            </w:r>
            <w:r>
              <w:rPr>
                <w:rFonts w:hint="eastAsia"/>
                <w:vertAlign w:val="superscript"/>
              </w:rPr>
              <w:t>-3</w:t>
            </w:r>
            <w:r>
              <w:rPr>
                <w:rFonts w:hint="eastAsia"/>
              </w:rPr>
              <w:t>L</w:t>
            </w:r>
          </w:p>
        </w:tc>
        <w:tc>
          <w:tcPr>
            <w:tcW w:w="791" w:type="pct"/>
            <w:shd w:val="clear" w:color="auto" w:fill="auto"/>
            <w:vAlign w:val="center"/>
          </w:tcPr>
          <w:p w14:paraId="7B8D8168">
            <w:pPr>
              <w:pStyle w:val="31"/>
            </w:pPr>
            <w:r>
              <w:rPr>
                <w:rFonts w:hint="eastAsia"/>
              </w:rPr>
              <w:t>2.8</w:t>
            </w:r>
          </w:p>
        </w:tc>
        <w:tc>
          <w:tcPr>
            <w:tcW w:w="790" w:type="pct"/>
          </w:tcPr>
          <w:p w14:paraId="7EAA6232">
            <w:pPr>
              <w:pStyle w:val="31"/>
            </w:pPr>
            <w:r>
              <w:rPr>
                <w:rFonts w:hint="eastAsia"/>
              </w:rPr>
              <w:t>达标</w:t>
            </w:r>
          </w:p>
        </w:tc>
      </w:tr>
      <w:tr w14:paraId="5AB9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8F7192B">
            <w:pPr>
              <w:pStyle w:val="31"/>
            </w:pPr>
            <w:r>
              <w:rPr>
                <w:rFonts w:hint="eastAsia"/>
              </w:rPr>
              <w:t>11</w:t>
            </w:r>
          </w:p>
        </w:tc>
        <w:tc>
          <w:tcPr>
            <w:tcW w:w="1588" w:type="pct"/>
            <w:shd w:val="clear" w:color="auto" w:fill="auto"/>
            <w:vAlign w:val="center"/>
          </w:tcPr>
          <w:p w14:paraId="1A8D76DE">
            <w:pPr>
              <w:pStyle w:val="31"/>
            </w:pPr>
            <w:r>
              <w:rPr>
                <w:rFonts w:hint="eastAsia"/>
              </w:rPr>
              <w:t>氯仿</w:t>
            </w:r>
          </w:p>
        </w:tc>
        <w:tc>
          <w:tcPr>
            <w:tcW w:w="564" w:type="pct"/>
            <w:shd w:val="clear" w:color="auto" w:fill="auto"/>
            <w:vAlign w:val="center"/>
          </w:tcPr>
          <w:p w14:paraId="4015D9DF">
            <w:pPr>
              <w:pStyle w:val="31"/>
            </w:pPr>
            <w:r>
              <w:t>mg/kg</w:t>
            </w:r>
          </w:p>
        </w:tc>
        <w:tc>
          <w:tcPr>
            <w:tcW w:w="791" w:type="pct"/>
          </w:tcPr>
          <w:p w14:paraId="215414D5">
            <w:pPr>
              <w:pStyle w:val="31"/>
            </w:pPr>
            <w:r>
              <w:rPr>
                <w:rFonts w:hint="eastAsia"/>
              </w:rPr>
              <w:t>1.5×10</w:t>
            </w:r>
            <w:r>
              <w:rPr>
                <w:rFonts w:hint="eastAsia"/>
                <w:vertAlign w:val="superscript"/>
              </w:rPr>
              <w:t>-3</w:t>
            </w:r>
            <w:r>
              <w:rPr>
                <w:rFonts w:hint="eastAsia"/>
              </w:rPr>
              <w:t>L</w:t>
            </w:r>
          </w:p>
        </w:tc>
        <w:tc>
          <w:tcPr>
            <w:tcW w:w="791" w:type="pct"/>
            <w:shd w:val="clear" w:color="auto" w:fill="auto"/>
            <w:vAlign w:val="center"/>
          </w:tcPr>
          <w:p w14:paraId="31AFFA88">
            <w:pPr>
              <w:pStyle w:val="31"/>
            </w:pPr>
            <w:r>
              <w:rPr>
                <w:rFonts w:hint="eastAsia"/>
              </w:rPr>
              <w:t>0.9</w:t>
            </w:r>
          </w:p>
        </w:tc>
        <w:tc>
          <w:tcPr>
            <w:tcW w:w="790" w:type="pct"/>
          </w:tcPr>
          <w:p w14:paraId="472B145D">
            <w:pPr>
              <w:pStyle w:val="31"/>
            </w:pPr>
            <w:r>
              <w:rPr>
                <w:rFonts w:hint="eastAsia"/>
              </w:rPr>
              <w:t>达标</w:t>
            </w:r>
          </w:p>
        </w:tc>
      </w:tr>
      <w:tr w14:paraId="50442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088BC1F5">
            <w:pPr>
              <w:pStyle w:val="31"/>
            </w:pPr>
            <w:r>
              <w:rPr>
                <w:rFonts w:hint="eastAsia"/>
              </w:rPr>
              <w:t>12</w:t>
            </w:r>
          </w:p>
        </w:tc>
        <w:tc>
          <w:tcPr>
            <w:tcW w:w="1588" w:type="pct"/>
            <w:shd w:val="clear" w:color="auto" w:fill="auto"/>
            <w:vAlign w:val="center"/>
          </w:tcPr>
          <w:p w14:paraId="749C7917">
            <w:pPr>
              <w:pStyle w:val="31"/>
            </w:pPr>
            <w:r>
              <w:rPr>
                <w:rFonts w:hint="eastAsia"/>
              </w:rPr>
              <w:t>氯甲烷</w:t>
            </w:r>
          </w:p>
        </w:tc>
        <w:tc>
          <w:tcPr>
            <w:tcW w:w="564" w:type="pct"/>
            <w:shd w:val="clear" w:color="auto" w:fill="auto"/>
            <w:vAlign w:val="center"/>
          </w:tcPr>
          <w:p w14:paraId="31DE6430">
            <w:pPr>
              <w:pStyle w:val="31"/>
            </w:pPr>
            <w:r>
              <w:t>mg/kg</w:t>
            </w:r>
          </w:p>
        </w:tc>
        <w:tc>
          <w:tcPr>
            <w:tcW w:w="791" w:type="pct"/>
          </w:tcPr>
          <w:p w14:paraId="3BB65097">
            <w:pPr>
              <w:pStyle w:val="31"/>
            </w:pPr>
            <w:r>
              <w:rPr>
                <w:rFonts w:hint="eastAsia"/>
              </w:rPr>
              <w:t>3.0×10</w:t>
            </w:r>
            <w:r>
              <w:rPr>
                <w:rFonts w:hint="eastAsia"/>
                <w:vertAlign w:val="superscript"/>
              </w:rPr>
              <w:t>-3</w:t>
            </w:r>
            <w:r>
              <w:rPr>
                <w:rFonts w:hint="eastAsia"/>
              </w:rPr>
              <w:t>L</w:t>
            </w:r>
          </w:p>
        </w:tc>
        <w:tc>
          <w:tcPr>
            <w:tcW w:w="791" w:type="pct"/>
            <w:shd w:val="clear" w:color="auto" w:fill="auto"/>
            <w:vAlign w:val="center"/>
          </w:tcPr>
          <w:p w14:paraId="5C3E91D0">
            <w:pPr>
              <w:pStyle w:val="31"/>
            </w:pPr>
            <w:r>
              <w:rPr>
                <w:rFonts w:hint="eastAsia"/>
              </w:rPr>
              <w:t>37</w:t>
            </w:r>
          </w:p>
        </w:tc>
        <w:tc>
          <w:tcPr>
            <w:tcW w:w="790" w:type="pct"/>
          </w:tcPr>
          <w:p w14:paraId="676CB40C">
            <w:pPr>
              <w:pStyle w:val="31"/>
            </w:pPr>
            <w:r>
              <w:rPr>
                <w:rFonts w:hint="eastAsia"/>
              </w:rPr>
              <w:t>达标</w:t>
            </w:r>
          </w:p>
        </w:tc>
      </w:tr>
      <w:tr w14:paraId="4A04E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1C8C456">
            <w:pPr>
              <w:pStyle w:val="31"/>
            </w:pPr>
            <w:r>
              <w:rPr>
                <w:rFonts w:hint="eastAsia"/>
              </w:rPr>
              <w:t>13</w:t>
            </w:r>
          </w:p>
        </w:tc>
        <w:tc>
          <w:tcPr>
            <w:tcW w:w="1588" w:type="pct"/>
            <w:shd w:val="clear" w:color="auto" w:fill="auto"/>
            <w:vAlign w:val="center"/>
          </w:tcPr>
          <w:p w14:paraId="6E211412">
            <w:pPr>
              <w:pStyle w:val="31"/>
            </w:pPr>
            <w:r>
              <w:rPr>
                <w:rFonts w:hint="eastAsia"/>
              </w:rPr>
              <w:t>1,1二氯乙烷</w:t>
            </w:r>
          </w:p>
        </w:tc>
        <w:tc>
          <w:tcPr>
            <w:tcW w:w="564" w:type="pct"/>
            <w:shd w:val="clear" w:color="auto" w:fill="auto"/>
            <w:vAlign w:val="center"/>
          </w:tcPr>
          <w:p w14:paraId="060BE7E9">
            <w:pPr>
              <w:pStyle w:val="31"/>
            </w:pPr>
            <w:r>
              <w:t>mg/kg</w:t>
            </w:r>
          </w:p>
        </w:tc>
        <w:tc>
          <w:tcPr>
            <w:tcW w:w="791" w:type="pct"/>
          </w:tcPr>
          <w:p w14:paraId="11CC8261">
            <w:pPr>
              <w:pStyle w:val="31"/>
            </w:pPr>
            <w:r>
              <w:rPr>
                <w:rFonts w:hint="eastAsia"/>
              </w:rPr>
              <w:t>1.6×10</w:t>
            </w:r>
            <w:r>
              <w:rPr>
                <w:rFonts w:hint="eastAsia"/>
                <w:vertAlign w:val="superscript"/>
              </w:rPr>
              <w:t>-3</w:t>
            </w:r>
            <w:r>
              <w:rPr>
                <w:rFonts w:hint="eastAsia"/>
              </w:rPr>
              <w:t>L</w:t>
            </w:r>
          </w:p>
        </w:tc>
        <w:tc>
          <w:tcPr>
            <w:tcW w:w="791" w:type="pct"/>
            <w:shd w:val="clear" w:color="auto" w:fill="auto"/>
            <w:vAlign w:val="center"/>
          </w:tcPr>
          <w:p w14:paraId="6DB28792">
            <w:pPr>
              <w:pStyle w:val="31"/>
            </w:pPr>
            <w:r>
              <w:rPr>
                <w:rFonts w:hint="eastAsia"/>
              </w:rPr>
              <w:t>9</w:t>
            </w:r>
          </w:p>
        </w:tc>
        <w:tc>
          <w:tcPr>
            <w:tcW w:w="790" w:type="pct"/>
          </w:tcPr>
          <w:p w14:paraId="7507DF0D">
            <w:pPr>
              <w:pStyle w:val="31"/>
            </w:pPr>
            <w:r>
              <w:rPr>
                <w:rFonts w:hint="eastAsia"/>
              </w:rPr>
              <w:t>达标</w:t>
            </w:r>
          </w:p>
        </w:tc>
      </w:tr>
      <w:tr w14:paraId="612F1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A52E2BE">
            <w:pPr>
              <w:pStyle w:val="31"/>
            </w:pPr>
            <w:r>
              <w:rPr>
                <w:rFonts w:hint="eastAsia"/>
              </w:rPr>
              <w:t>14</w:t>
            </w:r>
          </w:p>
        </w:tc>
        <w:tc>
          <w:tcPr>
            <w:tcW w:w="1588" w:type="pct"/>
            <w:shd w:val="clear" w:color="auto" w:fill="auto"/>
            <w:vAlign w:val="center"/>
          </w:tcPr>
          <w:p w14:paraId="18D16EE3">
            <w:pPr>
              <w:pStyle w:val="31"/>
            </w:pPr>
            <w:r>
              <w:rPr>
                <w:rFonts w:hint="eastAsia"/>
              </w:rPr>
              <w:t>1,2二氯乙烷</w:t>
            </w:r>
          </w:p>
        </w:tc>
        <w:tc>
          <w:tcPr>
            <w:tcW w:w="564" w:type="pct"/>
            <w:shd w:val="clear" w:color="auto" w:fill="auto"/>
            <w:vAlign w:val="center"/>
          </w:tcPr>
          <w:p w14:paraId="3597C877">
            <w:pPr>
              <w:pStyle w:val="31"/>
            </w:pPr>
            <w:r>
              <w:t>mg/kg</w:t>
            </w:r>
          </w:p>
        </w:tc>
        <w:tc>
          <w:tcPr>
            <w:tcW w:w="791" w:type="pct"/>
          </w:tcPr>
          <w:p w14:paraId="1AF25A72">
            <w:pPr>
              <w:pStyle w:val="31"/>
            </w:pPr>
            <w:r>
              <w:rPr>
                <w:rFonts w:hint="eastAsia"/>
              </w:rPr>
              <w:t>1.3×10</w:t>
            </w:r>
            <w:r>
              <w:rPr>
                <w:rFonts w:hint="eastAsia"/>
                <w:vertAlign w:val="superscript"/>
              </w:rPr>
              <w:t>-3</w:t>
            </w:r>
            <w:r>
              <w:rPr>
                <w:rFonts w:hint="eastAsia"/>
              </w:rPr>
              <w:t>L</w:t>
            </w:r>
          </w:p>
        </w:tc>
        <w:tc>
          <w:tcPr>
            <w:tcW w:w="791" w:type="pct"/>
            <w:shd w:val="clear" w:color="auto" w:fill="auto"/>
            <w:vAlign w:val="center"/>
          </w:tcPr>
          <w:p w14:paraId="5E847964">
            <w:pPr>
              <w:pStyle w:val="31"/>
            </w:pPr>
            <w:r>
              <w:rPr>
                <w:rFonts w:hint="eastAsia"/>
              </w:rPr>
              <w:t>5</w:t>
            </w:r>
          </w:p>
        </w:tc>
        <w:tc>
          <w:tcPr>
            <w:tcW w:w="790" w:type="pct"/>
          </w:tcPr>
          <w:p w14:paraId="1B31D117">
            <w:pPr>
              <w:pStyle w:val="31"/>
            </w:pPr>
            <w:r>
              <w:rPr>
                <w:rFonts w:hint="eastAsia"/>
              </w:rPr>
              <w:t>达标</w:t>
            </w:r>
          </w:p>
        </w:tc>
      </w:tr>
      <w:tr w14:paraId="55AF0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6BB7DFF">
            <w:pPr>
              <w:pStyle w:val="31"/>
            </w:pPr>
            <w:r>
              <w:rPr>
                <w:rFonts w:hint="eastAsia"/>
              </w:rPr>
              <w:t>15</w:t>
            </w:r>
          </w:p>
        </w:tc>
        <w:tc>
          <w:tcPr>
            <w:tcW w:w="1588" w:type="pct"/>
            <w:shd w:val="clear" w:color="auto" w:fill="auto"/>
            <w:vAlign w:val="center"/>
          </w:tcPr>
          <w:p w14:paraId="41DD8B75">
            <w:pPr>
              <w:pStyle w:val="31"/>
            </w:pPr>
            <w:r>
              <w:rPr>
                <w:rFonts w:hint="eastAsia"/>
              </w:rPr>
              <w:t>1,1二氯乙烯</w:t>
            </w:r>
          </w:p>
        </w:tc>
        <w:tc>
          <w:tcPr>
            <w:tcW w:w="564" w:type="pct"/>
            <w:shd w:val="clear" w:color="auto" w:fill="auto"/>
            <w:vAlign w:val="center"/>
          </w:tcPr>
          <w:p w14:paraId="6B3BEFF4">
            <w:pPr>
              <w:pStyle w:val="31"/>
            </w:pPr>
            <w:r>
              <w:t>mg/kg</w:t>
            </w:r>
          </w:p>
        </w:tc>
        <w:tc>
          <w:tcPr>
            <w:tcW w:w="791" w:type="pct"/>
          </w:tcPr>
          <w:p w14:paraId="7571456B">
            <w:pPr>
              <w:pStyle w:val="31"/>
            </w:pPr>
            <w:r>
              <w:rPr>
                <w:rFonts w:hint="eastAsia"/>
              </w:rPr>
              <w:t>0.8×10</w:t>
            </w:r>
            <w:r>
              <w:rPr>
                <w:rFonts w:hint="eastAsia"/>
                <w:vertAlign w:val="superscript"/>
              </w:rPr>
              <w:t>-3</w:t>
            </w:r>
            <w:r>
              <w:rPr>
                <w:rFonts w:hint="eastAsia"/>
              </w:rPr>
              <w:t>L</w:t>
            </w:r>
          </w:p>
        </w:tc>
        <w:tc>
          <w:tcPr>
            <w:tcW w:w="791" w:type="pct"/>
            <w:shd w:val="clear" w:color="auto" w:fill="auto"/>
            <w:vAlign w:val="center"/>
          </w:tcPr>
          <w:p w14:paraId="15811BBA">
            <w:pPr>
              <w:pStyle w:val="31"/>
            </w:pPr>
            <w:r>
              <w:rPr>
                <w:rFonts w:hint="eastAsia"/>
              </w:rPr>
              <w:t>66</w:t>
            </w:r>
          </w:p>
        </w:tc>
        <w:tc>
          <w:tcPr>
            <w:tcW w:w="790" w:type="pct"/>
          </w:tcPr>
          <w:p w14:paraId="151159CF">
            <w:pPr>
              <w:pStyle w:val="31"/>
            </w:pPr>
            <w:r>
              <w:rPr>
                <w:rFonts w:hint="eastAsia"/>
              </w:rPr>
              <w:t>达标</w:t>
            </w:r>
          </w:p>
        </w:tc>
      </w:tr>
      <w:tr w14:paraId="6AF4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68FE453">
            <w:pPr>
              <w:pStyle w:val="31"/>
            </w:pPr>
            <w:r>
              <w:rPr>
                <w:rFonts w:hint="eastAsia"/>
              </w:rPr>
              <w:t>16</w:t>
            </w:r>
          </w:p>
        </w:tc>
        <w:tc>
          <w:tcPr>
            <w:tcW w:w="1588" w:type="pct"/>
            <w:shd w:val="clear" w:color="auto" w:fill="auto"/>
            <w:vAlign w:val="center"/>
          </w:tcPr>
          <w:p w14:paraId="49370F88">
            <w:pPr>
              <w:pStyle w:val="31"/>
            </w:pPr>
            <w:r>
              <w:rPr>
                <w:rFonts w:hint="eastAsia"/>
              </w:rPr>
              <w:t>顺1,2二氯乙烯</w:t>
            </w:r>
          </w:p>
        </w:tc>
        <w:tc>
          <w:tcPr>
            <w:tcW w:w="564" w:type="pct"/>
            <w:shd w:val="clear" w:color="auto" w:fill="auto"/>
            <w:vAlign w:val="center"/>
          </w:tcPr>
          <w:p w14:paraId="605BA3E7">
            <w:pPr>
              <w:pStyle w:val="31"/>
            </w:pPr>
            <w:r>
              <w:t>mg/kg</w:t>
            </w:r>
          </w:p>
        </w:tc>
        <w:tc>
          <w:tcPr>
            <w:tcW w:w="791" w:type="pct"/>
          </w:tcPr>
          <w:p w14:paraId="36ABCA68">
            <w:pPr>
              <w:pStyle w:val="31"/>
            </w:pPr>
            <w:r>
              <w:rPr>
                <w:rFonts w:hint="eastAsia"/>
              </w:rPr>
              <w:t>0.9×10</w:t>
            </w:r>
            <w:r>
              <w:rPr>
                <w:rFonts w:hint="eastAsia"/>
                <w:vertAlign w:val="superscript"/>
              </w:rPr>
              <w:t>-3</w:t>
            </w:r>
            <w:r>
              <w:rPr>
                <w:rFonts w:hint="eastAsia"/>
              </w:rPr>
              <w:t>L</w:t>
            </w:r>
          </w:p>
        </w:tc>
        <w:tc>
          <w:tcPr>
            <w:tcW w:w="791" w:type="pct"/>
            <w:shd w:val="clear" w:color="auto" w:fill="auto"/>
            <w:vAlign w:val="center"/>
          </w:tcPr>
          <w:p w14:paraId="7780CA6D">
            <w:pPr>
              <w:pStyle w:val="31"/>
            </w:pPr>
            <w:r>
              <w:rPr>
                <w:rFonts w:hint="eastAsia"/>
              </w:rPr>
              <w:t>596</w:t>
            </w:r>
          </w:p>
        </w:tc>
        <w:tc>
          <w:tcPr>
            <w:tcW w:w="790" w:type="pct"/>
          </w:tcPr>
          <w:p w14:paraId="22E29EDA">
            <w:pPr>
              <w:pStyle w:val="31"/>
            </w:pPr>
            <w:r>
              <w:rPr>
                <w:rFonts w:hint="eastAsia"/>
              </w:rPr>
              <w:t>达标</w:t>
            </w:r>
          </w:p>
        </w:tc>
      </w:tr>
      <w:tr w14:paraId="590F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CEA37FB">
            <w:pPr>
              <w:pStyle w:val="31"/>
            </w:pPr>
            <w:r>
              <w:rPr>
                <w:rFonts w:hint="eastAsia"/>
              </w:rPr>
              <w:t>17</w:t>
            </w:r>
          </w:p>
        </w:tc>
        <w:tc>
          <w:tcPr>
            <w:tcW w:w="1588" w:type="pct"/>
            <w:shd w:val="clear" w:color="auto" w:fill="auto"/>
            <w:vAlign w:val="center"/>
          </w:tcPr>
          <w:p w14:paraId="50727B03">
            <w:pPr>
              <w:pStyle w:val="31"/>
            </w:pPr>
            <w:r>
              <w:rPr>
                <w:rFonts w:hint="eastAsia"/>
              </w:rPr>
              <w:t>反1,2二氯乙烯</w:t>
            </w:r>
          </w:p>
        </w:tc>
        <w:tc>
          <w:tcPr>
            <w:tcW w:w="564" w:type="pct"/>
            <w:shd w:val="clear" w:color="auto" w:fill="auto"/>
            <w:vAlign w:val="center"/>
          </w:tcPr>
          <w:p w14:paraId="52E61255">
            <w:pPr>
              <w:pStyle w:val="31"/>
            </w:pPr>
            <w:r>
              <w:t>mg/kg</w:t>
            </w:r>
          </w:p>
        </w:tc>
        <w:tc>
          <w:tcPr>
            <w:tcW w:w="791" w:type="pct"/>
          </w:tcPr>
          <w:p w14:paraId="5F5A2476">
            <w:pPr>
              <w:pStyle w:val="31"/>
            </w:pPr>
            <w:r>
              <w:rPr>
                <w:rFonts w:hint="eastAsia"/>
              </w:rPr>
              <w:t>0.9×10</w:t>
            </w:r>
            <w:r>
              <w:rPr>
                <w:rFonts w:hint="eastAsia"/>
                <w:vertAlign w:val="superscript"/>
              </w:rPr>
              <w:t>-3</w:t>
            </w:r>
            <w:r>
              <w:rPr>
                <w:rFonts w:hint="eastAsia"/>
              </w:rPr>
              <w:t>L</w:t>
            </w:r>
          </w:p>
        </w:tc>
        <w:tc>
          <w:tcPr>
            <w:tcW w:w="791" w:type="pct"/>
            <w:shd w:val="clear" w:color="auto" w:fill="auto"/>
            <w:vAlign w:val="center"/>
          </w:tcPr>
          <w:p w14:paraId="2035BE0D">
            <w:pPr>
              <w:pStyle w:val="31"/>
            </w:pPr>
            <w:r>
              <w:rPr>
                <w:rFonts w:hint="eastAsia"/>
              </w:rPr>
              <w:t>54</w:t>
            </w:r>
          </w:p>
        </w:tc>
        <w:tc>
          <w:tcPr>
            <w:tcW w:w="790" w:type="pct"/>
          </w:tcPr>
          <w:p w14:paraId="48C8C3E0">
            <w:pPr>
              <w:pStyle w:val="31"/>
            </w:pPr>
            <w:r>
              <w:rPr>
                <w:rFonts w:hint="eastAsia"/>
              </w:rPr>
              <w:t>达标</w:t>
            </w:r>
          </w:p>
        </w:tc>
      </w:tr>
      <w:tr w14:paraId="2642D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A7D1D5E">
            <w:pPr>
              <w:pStyle w:val="31"/>
            </w:pPr>
            <w:r>
              <w:rPr>
                <w:rFonts w:hint="eastAsia"/>
              </w:rPr>
              <w:t>18</w:t>
            </w:r>
          </w:p>
        </w:tc>
        <w:tc>
          <w:tcPr>
            <w:tcW w:w="1588" w:type="pct"/>
            <w:shd w:val="clear" w:color="auto" w:fill="auto"/>
            <w:vAlign w:val="center"/>
          </w:tcPr>
          <w:p w14:paraId="6CDC70AB">
            <w:pPr>
              <w:pStyle w:val="31"/>
            </w:pPr>
            <w:r>
              <w:rPr>
                <w:rFonts w:hint="eastAsia"/>
              </w:rPr>
              <w:t>二氯甲烷</w:t>
            </w:r>
          </w:p>
        </w:tc>
        <w:tc>
          <w:tcPr>
            <w:tcW w:w="564" w:type="pct"/>
            <w:shd w:val="clear" w:color="auto" w:fill="auto"/>
            <w:vAlign w:val="center"/>
          </w:tcPr>
          <w:p w14:paraId="5FDB41F0">
            <w:pPr>
              <w:pStyle w:val="31"/>
            </w:pPr>
            <w:r>
              <w:t>mg/kg</w:t>
            </w:r>
          </w:p>
        </w:tc>
        <w:tc>
          <w:tcPr>
            <w:tcW w:w="791" w:type="pct"/>
          </w:tcPr>
          <w:p w14:paraId="797D6ABA">
            <w:pPr>
              <w:pStyle w:val="31"/>
            </w:pPr>
            <w:r>
              <w:rPr>
                <w:rFonts w:hint="eastAsia"/>
              </w:rPr>
              <w:t>2.6×10</w:t>
            </w:r>
            <w:r>
              <w:rPr>
                <w:rFonts w:hint="eastAsia"/>
                <w:vertAlign w:val="superscript"/>
              </w:rPr>
              <w:t>-3</w:t>
            </w:r>
            <w:r>
              <w:rPr>
                <w:rFonts w:hint="eastAsia"/>
              </w:rPr>
              <w:t>L</w:t>
            </w:r>
          </w:p>
        </w:tc>
        <w:tc>
          <w:tcPr>
            <w:tcW w:w="791" w:type="pct"/>
            <w:shd w:val="clear" w:color="auto" w:fill="auto"/>
            <w:vAlign w:val="center"/>
          </w:tcPr>
          <w:p w14:paraId="5B7459E7">
            <w:pPr>
              <w:pStyle w:val="31"/>
            </w:pPr>
            <w:r>
              <w:rPr>
                <w:rFonts w:hint="eastAsia"/>
              </w:rPr>
              <w:t>616</w:t>
            </w:r>
          </w:p>
        </w:tc>
        <w:tc>
          <w:tcPr>
            <w:tcW w:w="790" w:type="pct"/>
          </w:tcPr>
          <w:p w14:paraId="19A9E855">
            <w:pPr>
              <w:pStyle w:val="31"/>
            </w:pPr>
            <w:r>
              <w:rPr>
                <w:rFonts w:hint="eastAsia"/>
              </w:rPr>
              <w:t>达标</w:t>
            </w:r>
          </w:p>
        </w:tc>
      </w:tr>
      <w:tr w14:paraId="09949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C47C2F5">
            <w:pPr>
              <w:pStyle w:val="31"/>
            </w:pPr>
            <w:r>
              <w:rPr>
                <w:rFonts w:hint="eastAsia"/>
              </w:rPr>
              <w:t>19</w:t>
            </w:r>
          </w:p>
        </w:tc>
        <w:tc>
          <w:tcPr>
            <w:tcW w:w="1588" w:type="pct"/>
            <w:shd w:val="clear" w:color="auto" w:fill="auto"/>
            <w:vAlign w:val="center"/>
          </w:tcPr>
          <w:p w14:paraId="180F1603">
            <w:pPr>
              <w:pStyle w:val="31"/>
            </w:pPr>
            <w:r>
              <w:rPr>
                <w:rFonts w:hint="eastAsia"/>
              </w:rPr>
              <w:t>1,2二氯丙烷</w:t>
            </w:r>
          </w:p>
        </w:tc>
        <w:tc>
          <w:tcPr>
            <w:tcW w:w="564" w:type="pct"/>
            <w:shd w:val="clear" w:color="auto" w:fill="auto"/>
            <w:vAlign w:val="center"/>
          </w:tcPr>
          <w:p w14:paraId="15CC1EE0">
            <w:pPr>
              <w:pStyle w:val="31"/>
            </w:pPr>
            <w:r>
              <w:t>mg/kg</w:t>
            </w:r>
          </w:p>
        </w:tc>
        <w:tc>
          <w:tcPr>
            <w:tcW w:w="791" w:type="pct"/>
          </w:tcPr>
          <w:p w14:paraId="52C92A2D">
            <w:pPr>
              <w:pStyle w:val="31"/>
            </w:pPr>
            <w:r>
              <w:rPr>
                <w:rFonts w:hint="eastAsia"/>
              </w:rPr>
              <w:t>1.9×10</w:t>
            </w:r>
            <w:r>
              <w:rPr>
                <w:rFonts w:hint="eastAsia"/>
                <w:vertAlign w:val="superscript"/>
              </w:rPr>
              <w:t>-3</w:t>
            </w:r>
            <w:r>
              <w:rPr>
                <w:rFonts w:hint="eastAsia"/>
              </w:rPr>
              <w:t>L</w:t>
            </w:r>
          </w:p>
        </w:tc>
        <w:tc>
          <w:tcPr>
            <w:tcW w:w="791" w:type="pct"/>
            <w:shd w:val="clear" w:color="auto" w:fill="auto"/>
            <w:vAlign w:val="center"/>
          </w:tcPr>
          <w:p w14:paraId="0A63E009">
            <w:pPr>
              <w:pStyle w:val="31"/>
            </w:pPr>
            <w:r>
              <w:rPr>
                <w:rFonts w:hint="eastAsia"/>
              </w:rPr>
              <w:t>5</w:t>
            </w:r>
          </w:p>
        </w:tc>
        <w:tc>
          <w:tcPr>
            <w:tcW w:w="790" w:type="pct"/>
          </w:tcPr>
          <w:p w14:paraId="34966B06">
            <w:pPr>
              <w:pStyle w:val="31"/>
            </w:pPr>
            <w:r>
              <w:rPr>
                <w:rFonts w:hint="eastAsia"/>
              </w:rPr>
              <w:t>达标</w:t>
            </w:r>
          </w:p>
        </w:tc>
      </w:tr>
      <w:tr w14:paraId="2B7A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23666E5B">
            <w:pPr>
              <w:pStyle w:val="31"/>
            </w:pPr>
            <w:r>
              <w:rPr>
                <w:rFonts w:hint="eastAsia"/>
              </w:rPr>
              <w:t>20</w:t>
            </w:r>
          </w:p>
        </w:tc>
        <w:tc>
          <w:tcPr>
            <w:tcW w:w="1588" w:type="pct"/>
            <w:shd w:val="clear" w:color="auto" w:fill="auto"/>
            <w:vAlign w:val="center"/>
          </w:tcPr>
          <w:p w14:paraId="2BA45EAB">
            <w:pPr>
              <w:pStyle w:val="31"/>
            </w:pPr>
            <w:r>
              <w:rPr>
                <w:rFonts w:hint="eastAsia"/>
              </w:rPr>
              <w:t>1,1,1,2四氯乙烷</w:t>
            </w:r>
          </w:p>
        </w:tc>
        <w:tc>
          <w:tcPr>
            <w:tcW w:w="564" w:type="pct"/>
            <w:shd w:val="clear" w:color="auto" w:fill="auto"/>
            <w:vAlign w:val="center"/>
          </w:tcPr>
          <w:p w14:paraId="5BD09625">
            <w:pPr>
              <w:pStyle w:val="31"/>
            </w:pPr>
            <w:r>
              <w:t>mg/kg</w:t>
            </w:r>
          </w:p>
        </w:tc>
        <w:tc>
          <w:tcPr>
            <w:tcW w:w="791" w:type="pct"/>
          </w:tcPr>
          <w:p w14:paraId="6C1CE2FA">
            <w:pPr>
              <w:pStyle w:val="31"/>
            </w:pPr>
            <w:r>
              <w:rPr>
                <w:rFonts w:hint="eastAsia"/>
              </w:rPr>
              <w:t>1.0×10</w:t>
            </w:r>
            <w:r>
              <w:rPr>
                <w:rFonts w:hint="eastAsia"/>
                <w:vertAlign w:val="superscript"/>
              </w:rPr>
              <w:t>-3</w:t>
            </w:r>
            <w:r>
              <w:rPr>
                <w:rFonts w:hint="eastAsia"/>
              </w:rPr>
              <w:t>L</w:t>
            </w:r>
          </w:p>
        </w:tc>
        <w:tc>
          <w:tcPr>
            <w:tcW w:w="791" w:type="pct"/>
            <w:shd w:val="clear" w:color="auto" w:fill="auto"/>
            <w:vAlign w:val="center"/>
          </w:tcPr>
          <w:p w14:paraId="2B3C9359">
            <w:pPr>
              <w:pStyle w:val="31"/>
            </w:pPr>
            <w:r>
              <w:rPr>
                <w:rFonts w:hint="eastAsia"/>
              </w:rPr>
              <w:t>10</w:t>
            </w:r>
          </w:p>
        </w:tc>
        <w:tc>
          <w:tcPr>
            <w:tcW w:w="790" w:type="pct"/>
          </w:tcPr>
          <w:p w14:paraId="4DED80FE">
            <w:pPr>
              <w:pStyle w:val="31"/>
            </w:pPr>
            <w:r>
              <w:rPr>
                <w:rFonts w:hint="eastAsia"/>
              </w:rPr>
              <w:t>达标</w:t>
            </w:r>
          </w:p>
        </w:tc>
      </w:tr>
      <w:tr w14:paraId="1EE64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2654ACA">
            <w:pPr>
              <w:pStyle w:val="31"/>
            </w:pPr>
            <w:r>
              <w:rPr>
                <w:rFonts w:hint="eastAsia"/>
              </w:rPr>
              <w:t>21</w:t>
            </w:r>
          </w:p>
        </w:tc>
        <w:tc>
          <w:tcPr>
            <w:tcW w:w="1588" w:type="pct"/>
            <w:shd w:val="clear" w:color="auto" w:fill="auto"/>
            <w:vAlign w:val="center"/>
          </w:tcPr>
          <w:p w14:paraId="52F2D371">
            <w:pPr>
              <w:pStyle w:val="31"/>
            </w:pPr>
            <w:r>
              <w:rPr>
                <w:rFonts w:hint="eastAsia"/>
              </w:rPr>
              <w:t>1,1,2,2,四氯乙烷</w:t>
            </w:r>
          </w:p>
        </w:tc>
        <w:tc>
          <w:tcPr>
            <w:tcW w:w="564" w:type="pct"/>
            <w:shd w:val="clear" w:color="auto" w:fill="auto"/>
            <w:vAlign w:val="center"/>
          </w:tcPr>
          <w:p w14:paraId="48A66866">
            <w:pPr>
              <w:pStyle w:val="31"/>
            </w:pPr>
            <w:r>
              <w:t>mg/kg</w:t>
            </w:r>
          </w:p>
        </w:tc>
        <w:tc>
          <w:tcPr>
            <w:tcW w:w="791" w:type="pct"/>
          </w:tcPr>
          <w:p w14:paraId="32FFDC6F">
            <w:pPr>
              <w:pStyle w:val="31"/>
            </w:pPr>
            <w:r>
              <w:rPr>
                <w:rFonts w:hint="eastAsia"/>
              </w:rPr>
              <w:t>1.0×10</w:t>
            </w:r>
            <w:r>
              <w:rPr>
                <w:rFonts w:hint="eastAsia"/>
                <w:vertAlign w:val="superscript"/>
              </w:rPr>
              <w:t>-3</w:t>
            </w:r>
            <w:r>
              <w:rPr>
                <w:rFonts w:hint="eastAsia"/>
              </w:rPr>
              <w:t>L</w:t>
            </w:r>
          </w:p>
        </w:tc>
        <w:tc>
          <w:tcPr>
            <w:tcW w:w="791" w:type="pct"/>
            <w:shd w:val="clear" w:color="auto" w:fill="auto"/>
            <w:vAlign w:val="center"/>
          </w:tcPr>
          <w:p w14:paraId="1CB85DD3">
            <w:pPr>
              <w:pStyle w:val="31"/>
            </w:pPr>
            <w:r>
              <w:rPr>
                <w:rFonts w:hint="eastAsia"/>
              </w:rPr>
              <w:t>6.8</w:t>
            </w:r>
          </w:p>
        </w:tc>
        <w:tc>
          <w:tcPr>
            <w:tcW w:w="790" w:type="pct"/>
          </w:tcPr>
          <w:p w14:paraId="67F436C6">
            <w:pPr>
              <w:pStyle w:val="31"/>
            </w:pPr>
            <w:r>
              <w:rPr>
                <w:rFonts w:hint="eastAsia"/>
              </w:rPr>
              <w:t>达标</w:t>
            </w:r>
          </w:p>
        </w:tc>
      </w:tr>
      <w:tr w14:paraId="45581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02A2D871">
            <w:pPr>
              <w:pStyle w:val="31"/>
            </w:pPr>
            <w:r>
              <w:rPr>
                <w:rFonts w:hint="eastAsia"/>
              </w:rPr>
              <w:t>22</w:t>
            </w:r>
          </w:p>
        </w:tc>
        <w:tc>
          <w:tcPr>
            <w:tcW w:w="1588" w:type="pct"/>
            <w:shd w:val="clear" w:color="auto" w:fill="auto"/>
            <w:vAlign w:val="center"/>
          </w:tcPr>
          <w:p w14:paraId="3C562611">
            <w:pPr>
              <w:pStyle w:val="31"/>
            </w:pPr>
            <w:r>
              <w:rPr>
                <w:rFonts w:hint="eastAsia"/>
              </w:rPr>
              <w:t>四氯乙烯</w:t>
            </w:r>
          </w:p>
        </w:tc>
        <w:tc>
          <w:tcPr>
            <w:tcW w:w="564" w:type="pct"/>
            <w:shd w:val="clear" w:color="auto" w:fill="auto"/>
            <w:vAlign w:val="center"/>
          </w:tcPr>
          <w:p w14:paraId="4FFF2ACD">
            <w:pPr>
              <w:pStyle w:val="31"/>
            </w:pPr>
            <w:r>
              <w:t>mg/kg</w:t>
            </w:r>
          </w:p>
        </w:tc>
        <w:tc>
          <w:tcPr>
            <w:tcW w:w="791" w:type="pct"/>
          </w:tcPr>
          <w:p w14:paraId="0B19D60A">
            <w:pPr>
              <w:pStyle w:val="31"/>
            </w:pPr>
            <w:r>
              <w:rPr>
                <w:rFonts w:hint="eastAsia"/>
              </w:rPr>
              <w:t>0.8×10</w:t>
            </w:r>
            <w:r>
              <w:rPr>
                <w:rFonts w:hint="eastAsia"/>
                <w:vertAlign w:val="superscript"/>
              </w:rPr>
              <w:t>-3</w:t>
            </w:r>
            <w:r>
              <w:rPr>
                <w:rFonts w:hint="eastAsia"/>
              </w:rPr>
              <w:t>L</w:t>
            </w:r>
          </w:p>
        </w:tc>
        <w:tc>
          <w:tcPr>
            <w:tcW w:w="791" w:type="pct"/>
            <w:shd w:val="clear" w:color="auto" w:fill="auto"/>
            <w:vAlign w:val="center"/>
          </w:tcPr>
          <w:p w14:paraId="7934EFC2">
            <w:pPr>
              <w:pStyle w:val="31"/>
            </w:pPr>
            <w:r>
              <w:rPr>
                <w:rFonts w:hint="eastAsia"/>
              </w:rPr>
              <w:t>53</w:t>
            </w:r>
          </w:p>
        </w:tc>
        <w:tc>
          <w:tcPr>
            <w:tcW w:w="790" w:type="pct"/>
          </w:tcPr>
          <w:p w14:paraId="7EDED32B">
            <w:pPr>
              <w:pStyle w:val="31"/>
            </w:pPr>
            <w:r>
              <w:rPr>
                <w:rFonts w:hint="eastAsia"/>
              </w:rPr>
              <w:t>达标</w:t>
            </w:r>
          </w:p>
        </w:tc>
      </w:tr>
      <w:tr w14:paraId="2EF7E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F4A2D92">
            <w:pPr>
              <w:pStyle w:val="31"/>
            </w:pPr>
            <w:r>
              <w:rPr>
                <w:rFonts w:hint="eastAsia"/>
              </w:rPr>
              <w:t>23</w:t>
            </w:r>
          </w:p>
        </w:tc>
        <w:tc>
          <w:tcPr>
            <w:tcW w:w="1588" w:type="pct"/>
            <w:shd w:val="clear" w:color="auto" w:fill="auto"/>
            <w:vAlign w:val="center"/>
          </w:tcPr>
          <w:p w14:paraId="3BC325C9">
            <w:pPr>
              <w:pStyle w:val="31"/>
            </w:pPr>
            <w:r>
              <w:rPr>
                <w:rFonts w:hint="eastAsia"/>
              </w:rPr>
              <w:t>1,1,1三氯乙烷</w:t>
            </w:r>
          </w:p>
        </w:tc>
        <w:tc>
          <w:tcPr>
            <w:tcW w:w="564" w:type="pct"/>
            <w:shd w:val="clear" w:color="auto" w:fill="auto"/>
            <w:vAlign w:val="center"/>
          </w:tcPr>
          <w:p w14:paraId="488D7180">
            <w:pPr>
              <w:pStyle w:val="31"/>
            </w:pPr>
            <w:r>
              <w:t>mg/kg</w:t>
            </w:r>
          </w:p>
        </w:tc>
        <w:tc>
          <w:tcPr>
            <w:tcW w:w="791" w:type="pct"/>
          </w:tcPr>
          <w:p w14:paraId="75482166">
            <w:pPr>
              <w:pStyle w:val="31"/>
            </w:pPr>
            <w:r>
              <w:rPr>
                <w:rFonts w:hint="eastAsia"/>
              </w:rPr>
              <w:t>1.1×10</w:t>
            </w:r>
            <w:r>
              <w:rPr>
                <w:rFonts w:hint="eastAsia"/>
                <w:vertAlign w:val="superscript"/>
              </w:rPr>
              <w:t>-3</w:t>
            </w:r>
            <w:r>
              <w:rPr>
                <w:rFonts w:hint="eastAsia"/>
              </w:rPr>
              <w:t>L</w:t>
            </w:r>
          </w:p>
        </w:tc>
        <w:tc>
          <w:tcPr>
            <w:tcW w:w="791" w:type="pct"/>
            <w:shd w:val="clear" w:color="auto" w:fill="auto"/>
            <w:vAlign w:val="center"/>
          </w:tcPr>
          <w:p w14:paraId="6B364774">
            <w:pPr>
              <w:pStyle w:val="31"/>
            </w:pPr>
            <w:r>
              <w:rPr>
                <w:rFonts w:hint="eastAsia"/>
              </w:rPr>
              <w:t>840</w:t>
            </w:r>
          </w:p>
        </w:tc>
        <w:tc>
          <w:tcPr>
            <w:tcW w:w="790" w:type="pct"/>
          </w:tcPr>
          <w:p w14:paraId="1C6021A8">
            <w:pPr>
              <w:pStyle w:val="31"/>
            </w:pPr>
            <w:r>
              <w:rPr>
                <w:rFonts w:hint="eastAsia"/>
              </w:rPr>
              <w:t>达标</w:t>
            </w:r>
          </w:p>
        </w:tc>
      </w:tr>
      <w:tr w14:paraId="54C25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789477E4">
            <w:pPr>
              <w:pStyle w:val="31"/>
            </w:pPr>
            <w:r>
              <w:rPr>
                <w:rFonts w:hint="eastAsia"/>
              </w:rPr>
              <w:t>24</w:t>
            </w:r>
          </w:p>
        </w:tc>
        <w:tc>
          <w:tcPr>
            <w:tcW w:w="1588" w:type="pct"/>
            <w:shd w:val="clear" w:color="auto" w:fill="auto"/>
            <w:vAlign w:val="center"/>
          </w:tcPr>
          <w:p w14:paraId="72C86893">
            <w:pPr>
              <w:pStyle w:val="31"/>
            </w:pPr>
            <w:r>
              <w:rPr>
                <w:rFonts w:hint="eastAsia"/>
              </w:rPr>
              <w:t>1,1,2三氯乙烷</w:t>
            </w:r>
          </w:p>
        </w:tc>
        <w:tc>
          <w:tcPr>
            <w:tcW w:w="564" w:type="pct"/>
            <w:shd w:val="clear" w:color="auto" w:fill="auto"/>
            <w:vAlign w:val="center"/>
          </w:tcPr>
          <w:p w14:paraId="0D60CE42">
            <w:pPr>
              <w:pStyle w:val="31"/>
            </w:pPr>
            <w:r>
              <w:t>mg/kg</w:t>
            </w:r>
          </w:p>
        </w:tc>
        <w:tc>
          <w:tcPr>
            <w:tcW w:w="791" w:type="pct"/>
          </w:tcPr>
          <w:p w14:paraId="55D58162">
            <w:pPr>
              <w:pStyle w:val="31"/>
            </w:pPr>
            <w:r>
              <w:rPr>
                <w:rFonts w:hint="eastAsia"/>
              </w:rPr>
              <w:t>1.4×10</w:t>
            </w:r>
            <w:r>
              <w:rPr>
                <w:rFonts w:hint="eastAsia"/>
                <w:vertAlign w:val="superscript"/>
              </w:rPr>
              <w:t>-3</w:t>
            </w:r>
            <w:r>
              <w:rPr>
                <w:rFonts w:hint="eastAsia"/>
              </w:rPr>
              <w:t>L</w:t>
            </w:r>
          </w:p>
        </w:tc>
        <w:tc>
          <w:tcPr>
            <w:tcW w:w="791" w:type="pct"/>
            <w:shd w:val="clear" w:color="auto" w:fill="auto"/>
            <w:vAlign w:val="center"/>
          </w:tcPr>
          <w:p w14:paraId="7AD16A69">
            <w:pPr>
              <w:pStyle w:val="31"/>
            </w:pPr>
            <w:r>
              <w:rPr>
                <w:rFonts w:hint="eastAsia"/>
              </w:rPr>
              <w:t>2.8</w:t>
            </w:r>
          </w:p>
        </w:tc>
        <w:tc>
          <w:tcPr>
            <w:tcW w:w="790" w:type="pct"/>
          </w:tcPr>
          <w:p w14:paraId="4EEC27DE">
            <w:pPr>
              <w:pStyle w:val="31"/>
            </w:pPr>
            <w:r>
              <w:rPr>
                <w:rFonts w:hint="eastAsia"/>
              </w:rPr>
              <w:t>达标</w:t>
            </w:r>
          </w:p>
        </w:tc>
      </w:tr>
      <w:tr w14:paraId="175C7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E3EFE6D">
            <w:pPr>
              <w:pStyle w:val="31"/>
            </w:pPr>
            <w:r>
              <w:rPr>
                <w:rFonts w:hint="eastAsia"/>
              </w:rPr>
              <w:t>25</w:t>
            </w:r>
          </w:p>
        </w:tc>
        <w:tc>
          <w:tcPr>
            <w:tcW w:w="1588" w:type="pct"/>
            <w:shd w:val="clear" w:color="auto" w:fill="auto"/>
            <w:vAlign w:val="center"/>
          </w:tcPr>
          <w:p w14:paraId="11B36867">
            <w:pPr>
              <w:pStyle w:val="31"/>
            </w:pPr>
            <w:r>
              <w:rPr>
                <w:rFonts w:hint="eastAsia"/>
              </w:rPr>
              <w:t>三氯乙烯</w:t>
            </w:r>
          </w:p>
        </w:tc>
        <w:tc>
          <w:tcPr>
            <w:tcW w:w="564" w:type="pct"/>
            <w:shd w:val="clear" w:color="auto" w:fill="auto"/>
            <w:vAlign w:val="center"/>
          </w:tcPr>
          <w:p w14:paraId="2AB8F1DD">
            <w:pPr>
              <w:pStyle w:val="31"/>
            </w:pPr>
            <w:r>
              <w:t>mg/kg</w:t>
            </w:r>
          </w:p>
        </w:tc>
        <w:tc>
          <w:tcPr>
            <w:tcW w:w="791" w:type="pct"/>
          </w:tcPr>
          <w:p w14:paraId="142378D7">
            <w:pPr>
              <w:pStyle w:val="31"/>
            </w:pPr>
            <w:r>
              <w:rPr>
                <w:rFonts w:hint="eastAsia"/>
              </w:rPr>
              <w:t>0.9×10</w:t>
            </w:r>
            <w:r>
              <w:rPr>
                <w:rFonts w:hint="eastAsia"/>
                <w:vertAlign w:val="superscript"/>
              </w:rPr>
              <w:t>-3</w:t>
            </w:r>
            <w:r>
              <w:rPr>
                <w:rFonts w:hint="eastAsia"/>
              </w:rPr>
              <w:t>L</w:t>
            </w:r>
          </w:p>
        </w:tc>
        <w:tc>
          <w:tcPr>
            <w:tcW w:w="791" w:type="pct"/>
            <w:shd w:val="clear" w:color="auto" w:fill="auto"/>
            <w:vAlign w:val="center"/>
          </w:tcPr>
          <w:p w14:paraId="2FDF8382">
            <w:pPr>
              <w:pStyle w:val="31"/>
            </w:pPr>
            <w:r>
              <w:rPr>
                <w:rFonts w:hint="eastAsia"/>
              </w:rPr>
              <w:t>2.8</w:t>
            </w:r>
          </w:p>
        </w:tc>
        <w:tc>
          <w:tcPr>
            <w:tcW w:w="790" w:type="pct"/>
          </w:tcPr>
          <w:p w14:paraId="2CC4DCEE">
            <w:pPr>
              <w:pStyle w:val="31"/>
            </w:pPr>
            <w:r>
              <w:rPr>
                <w:rFonts w:hint="eastAsia"/>
              </w:rPr>
              <w:t>达标</w:t>
            </w:r>
          </w:p>
        </w:tc>
      </w:tr>
      <w:tr w14:paraId="24AD3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0D9E54F">
            <w:pPr>
              <w:pStyle w:val="31"/>
            </w:pPr>
            <w:r>
              <w:rPr>
                <w:rFonts w:hint="eastAsia"/>
              </w:rPr>
              <w:t>26</w:t>
            </w:r>
          </w:p>
        </w:tc>
        <w:tc>
          <w:tcPr>
            <w:tcW w:w="1588" w:type="pct"/>
            <w:shd w:val="clear" w:color="auto" w:fill="auto"/>
            <w:vAlign w:val="center"/>
          </w:tcPr>
          <w:p w14:paraId="523ED6F9">
            <w:pPr>
              <w:pStyle w:val="31"/>
            </w:pPr>
            <w:r>
              <w:rPr>
                <w:rFonts w:hint="eastAsia"/>
              </w:rPr>
              <w:t>1,2,3三氯丙烷</w:t>
            </w:r>
          </w:p>
        </w:tc>
        <w:tc>
          <w:tcPr>
            <w:tcW w:w="564" w:type="pct"/>
            <w:shd w:val="clear" w:color="auto" w:fill="auto"/>
            <w:vAlign w:val="center"/>
          </w:tcPr>
          <w:p w14:paraId="4FC9EF0A">
            <w:pPr>
              <w:pStyle w:val="31"/>
            </w:pPr>
            <w:r>
              <w:t>mg/kg</w:t>
            </w:r>
          </w:p>
        </w:tc>
        <w:tc>
          <w:tcPr>
            <w:tcW w:w="791" w:type="pct"/>
          </w:tcPr>
          <w:p w14:paraId="10E431A5">
            <w:pPr>
              <w:pStyle w:val="31"/>
            </w:pPr>
            <w:r>
              <w:rPr>
                <w:rFonts w:hint="eastAsia"/>
              </w:rPr>
              <w:t>1.0×10</w:t>
            </w:r>
            <w:r>
              <w:rPr>
                <w:rFonts w:hint="eastAsia"/>
                <w:vertAlign w:val="superscript"/>
              </w:rPr>
              <w:t>-3</w:t>
            </w:r>
            <w:r>
              <w:rPr>
                <w:rFonts w:hint="eastAsia"/>
              </w:rPr>
              <w:t>L</w:t>
            </w:r>
          </w:p>
        </w:tc>
        <w:tc>
          <w:tcPr>
            <w:tcW w:w="791" w:type="pct"/>
            <w:shd w:val="clear" w:color="auto" w:fill="auto"/>
            <w:vAlign w:val="center"/>
          </w:tcPr>
          <w:p w14:paraId="1D5146B5">
            <w:pPr>
              <w:pStyle w:val="31"/>
            </w:pPr>
            <w:r>
              <w:rPr>
                <w:rFonts w:hint="eastAsia"/>
              </w:rPr>
              <w:t>0.5</w:t>
            </w:r>
          </w:p>
        </w:tc>
        <w:tc>
          <w:tcPr>
            <w:tcW w:w="790" w:type="pct"/>
          </w:tcPr>
          <w:p w14:paraId="52125755">
            <w:pPr>
              <w:pStyle w:val="31"/>
            </w:pPr>
            <w:r>
              <w:rPr>
                <w:rFonts w:hint="eastAsia"/>
              </w:rPr>
              <w:t>达标</w:t>
            </w:r>
          </w:p>
        </w:tc>
      </w:tr>
      <w:tr w14:paraId="581F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257B58F2">
            <w:pPr>
              <w:pStyle w:val="31"/>
            </w:pPr>
            <w:r>
              <w:rPr>
                <w:rFonts w:hint="eastAsia"/>
              </w:rPr>
              <w:t>27</w:t>
            </w:r>
          </w:p>
        </w:tc>
        <w:tc>
          <w:tcPr>
            <w:tcW w:w="1588" w:type="pct"/>
            <w:shd w:val="clear" w:color="auto" w:fill="auto"/>
            <w:vAlign w:val="center"/>
          </w:tcPr>
          <w:p w14:paraId="08100593">
            <w:pPr>
              <w:pStyle w:val="31"/>
            </w:pPr>
            <w:r>
              <w:rPr>
                <w:rFonts w:hint="eastAsia"/>
              </w:rPr>
              <w:t>氯乙烯</w:t>
            </w:r>
          </w:p>
        </w:tc>
        <w:tc>
          <w:tcPr>
            <w:tcW w:w="564" w:type="pct"/>
            <w:shd w:val="clear" w:color="auto" w:fill="auto"/>
            <w:vAlign w:val="center"/>
          </w:tcPr>
          <w:p w14:paraId="69B27AB8">
            <w:pPr>
              <w:pStyle w:val="31"/>
            </w:pPr>
            <w:r>
              <w:t>mg/kg</w:t>
            </w:r>
          </w:p>
        </w:tc>
        <w:tc>
          <w:tcPr>
            <w:tcW w:w="791" w:type="pct"/>
          </w:tcPr>
          <w:p w14:paraId="7F1AC606">
            <w:pPr>
              <w:pStyle w:val="31"/>
            </w:pPr>
            <w:r>
              <w:rPr>
                <w:rFonts w:hint="eastAsia"/>
              </w:rPr>
              <w:t>1.5×10</w:t>
            </w:r>
            <w:r>
              <w:rPr>
                <w:rFonts w:hint="eastAsia"/>
                <w:vertAlign w:val="superscript"/>
              </w:rPr>
              <w:t>-3</w:t>
            </w:r>
            <w:r>
              <w:rPr>
                <w:rFonts w:hint="eastAsia"/>
              </w:rPr>
              <w:t>L</w:t>
            </w:r>
          </w:p>
        </w:tc>
        <w:tc>
          <w:tcPr>
            <w:tcW w:w="791" w:type="pct"/>
            <w:shd w:val="clear" w:color="auto" w:fill="auto"/>
            <w:vAlign w:val="center"/>
          </w:tcPr>
          <w:p w14:paraId="412BC493">
            <w:pPr>
              <w:pStyle w:val="31"/>
            </w:pPr>
            <w:r>
              <w:rPr>
                <w:rFonts w:hint="eastAsia"/>
              </w:rPr>
              <w:t>0.43</w:t>
            </w:r>
          </w:p>
        </w:tc>
        <w:tc>
          <w:tcPr>
            <w:tcW w:w="790" w:type="pct"/>
          </w:tcPr>
          <w:p w14:paraId="47210090">
            <w:pPr>
              <w:pStyle w:val="31"/>
            </w:pPr>
            <w:r>
              <w:rPr>
                <w:rFonts w:hint="eastAsia"/>
              </w:rPr>
              <w:t>达标</w:t>
            </w:r>
          </w:p>
        </w:tc>
      </w:tr>
      <w:tr w14:paraId="25BE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6D4D6BB">
            <w:pPr>
              <w:pStyle w:val="31"/>
            </w:pPr>
            <w:r>
              <w:rPr>
                <w:rFonts w:hint="eastAsia"/>
              </w:rPr>
              <w:t>28</w:t>
            </w:r>
          </w:p>
        </w:tc>
        <w:tc>
          <w:tcPr>
            <w:tcW w:w="1588" w:type="pct"/>
            <w:shd w:val="clear" w:color="auto" w:fill="auto"/>
            <w:vAlign w:val="center"/>
          </w:tcPr>
          <w:p w14:paraId="6E3E9DD8">
            <w:pPr>
              <w:pStyle w:val="31"/>
            </w:pPr>
            <w:r>
              <w:rPr>
                <w:rFonts w:hint="eastAsia"/>
              </w:rPr>
              <w:t>苯</w:t>
            </w:r>
          </w:p>
        </w:tc>
        <w:tc>
          <w:tcPr>
            <w:tcW w:w="564" w:type="pct"/>
            <w:shd w:val="clear" w:color="auto" w:fill="auto"/>
            <w:vAlign w:val="center"/>
          </w:tcPr>
          <w:p w14:paraId="733A6678">
            <w:pPr>
              <w:pStyle w:val="31"/>
            </w:pPr>
            <w:r>
              <w:t>mg/kg</w:t>
            </w:r>
          </w:p>
        </w:tc>
        <w:tc>
          <w:tcPr>
            <w:tcW w:w="791" w:type="pct"/>
          </w:tcPr>
          <w:p w14:paraId="227A054D">
            <w:pPr>
              <w:pStyle w:val="31"/>
            </w:pPr>
            <w:r>
              <w:rPr>
                <w:rFonts w:hint="eastAsia"/>
              </w:rPr>
              <w:t>1.6×10</w:t>
            </w:r>
            <w:r>
              <w:rPr>
                <w:rFonts w:hint="eastAsia"/>
                <w:vertAlign w:val="superscript"/>
              </w:rPr>
              <w:t>-3</w:t>
            </w:r>
            <w:r>
              <w:rPr>
                <w:rFonts w:hint="eastAsia"/>
              </w:rPr>
              <w:t>L</w:t>
            </w:r>
          </w:p>
        </w:tc>
        <w:tc>
          <w:tcPr>
            <w:tcW w:w="791" w:type="pct"/>
            <w:shd w:val="clear" w:color="auto" w:fill="auto"/>
            <w:vAlign w:val="center"/>
          </w:tcPr>
          <w:p w14:paraId="3E2A309E">
            <w:pPr>
              <w:pStyle w:val="31"/>
            </w:pPr>
            <w:r>
              <w:rPr>
                <w:rFonts w:hint="eastAsia"/>
              </w:rPr>
              <w:t>4</w:t>
            </w:r>
          </w:p>
        </w:tc>
        <w:tc>
          <w:tcPr>
            <w:tcW w:w="790" w:type="pct"/>
          </w:tcPr>
          <w:p w14:paraId="7397E879">
            <w:pPr>
              <w:pStyle w:val="31"/>
            </w:pPr>
            <w:r>
              <w:rPr>
                <w:rFonts w:hint="eastAsia"/>
              </w:rPr>
              <w:t>达标</w:t>
            </w:r>
          </w:p>
        </w:tc>
      </w:tr>
      <w:tr w14:paraId="6F51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5013863">
            <w:pPr>
              <w:pStyle w:val="31"/>
            </w:pPr>
            <w:r>
              <w:rPr>
                <w:rFonts w:hint="eastAsia"/>
              </w:rPr>
              <w:t>29</w:t>
            </w:r>
          </w:p>
        </w:tc>
        <w:tc>
          <w:tcPr>
            <w:tcW w:w="1588" w:type="pct"/>
            <w:shd w:val="clear" w:color="auto" w:fill="auto"/>
            <w:vAlign w:val="center"/>
          </w:tcPr>
          <w:p w14:paraId="6ADCDFB7">
            <w:pPr>
              <w:pStyle w:val="31"/>
            </w:pPr>
            <w:r>
              <w:rPr>
                <w:rFonts w:hint="eastAsia"/>
              </w:rPr>
              <w:t>氯苯</w:t>
            </w:r>
          </w:p>
        </w:tc>
        <w:tc>
          <w:tcPr>
            <w:tcW w:w="564" w:type="pct"/>
            <w:shd w:val="clear" w:color="auto" w:fill="auto"/>
            <w:vAlign w:val="center"/>
          </w:tcPr>
          <w:p w14:paraId="367F60B3">
            <w:pPr>
              <w:pStyle w:val="31"/>
            </w:pPr>
            <w:r>
              <w:t>mg/kg</w:t>
            </w:r>
          </w:p>
        </w:tc>
        <w:tc>
          <w:tcPr>
            <w:tcW w:w="791" w:type="pct"/>
          </w:tcPr>
          <w:p w14:paraId="4FAD782F">
            <w:pPr>
              <w:pStyle w:val="31"/>
            </w:pPr>
            <w:r>
              <w:rPr>
                <w:rFonts w:hint="eastAsia"/>
              </w:rPr>
              <w:t>1.1×10</w:t>
            </w:r>
            <w:r>
              <w:rPr>
                <w:rFonts w:hint="eastAsia"/>
                <w:vertAlign w:val="superscript"/>
              </w:rPr>
              <w:t>-3</w:t>
            </w:r>
            <w:r>
              <w:rPr>
                <w:rFonts w:hint="eastAsia"/>
              </w:rPr>
              <w:t>L</w:t>
            </w:r>
          </w:p>
        </w:tc>
        <w:tc>
          <w:tcPr>
            <w:tcW w:w="791" w:type="pct"/>
            <w:shd w:val="clear" w:color="auto" w:fill="auto"/>
            <w:vAlign w:val="center"/>
          </w:tcPr>
          <w:p w14:paraId="4CE89604">
            <w:pPr>
              <w:pStyle w:val="31"/>
            </w:pPr>
            <w:r>
              <w:rPr>
                <w:rFonts w:hint="eastAsia"/>
              </w:rPr>
              <w:t>270</w:t>
            </w:r>
          </w:p>
        </w:tc>
        <w:tc>
          <w:tcPr>
            <w:tcW w:w="790" w:type="pct"/>
          </w:tcPr>
          <w:p w14:paraId="11CFE35C">
            <w:pPr>
              <w:pStyle w:val="31"/>
            </w:pPr>
            <w:r>
              <w:rPr>
                <w:rFonts w:hint="eastAsia"/>
              </w:rPr>
              <w:t>达标</w:t>
            </w:r>
          </w:p>
        </w:tc>
      </w:tr>
      <w:tr w14:paraId="22631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6097019">
            <w:pPr>
              <w:pStyle w:val="31"/>
            </w:pPr>
            <w:r>
              <w:rPr>
                <w:rFonts w:hint="eastAsia"/>
              </w:rPr>
              <w:t>30</w:t>
            </w:r>
          </w:p>
        </w:tc>
        <w:tc>
          <w:tcPr>
            <w:tcW w:w="1588" w:type="pct"/>
            <w:shd w:val="clear" w:color="auto" w:fill="auto"/>
            <w:vAlign w:val="center"/>
          </w:tcPr>
          <w:p w14:paraId="231E446D">
            <w:pPr>
              <w:pStyle w:val="31"/>
            </w:pPr>
            <w:r>
              <w:rPr>
                <w:rFonts w:hint="eastAsia"/>
              </w:rPr>
              <w:t>1,2二氯苯</w:t>
            </w:r>
          </w:p>
        </w:tc>
        <w:tc>
          <w:tcPr>
            <w:tcW w:w="564" w:type="pct"/>
            <w:shd w:val="clear" w:color="auto" w:fill="auto"/>
            <w:vAlign w:val="center"/>
          </w:tcPr>
          <w:p w14:paraId="5B33DF2A">
            <w:pPr>
              <w:pStyle w:val="31"/>
            </w:pPr>
            <w:r>
              <w:t>mg/kg</w:t>
            </w:r>
          </w:p>
        </w:tc>
        <w:tc>
          <w:tcPr>
            <w:tcW w:w="791" w:type="pct"/>
          </w:tcPr>
          <w:p w14:paraId="700538BA">
            <w:pPr>
              <w:pStyle w:val="31"/>
            </w:pPr>
            <w:r>
              <w:rPr>
                <w:rFonts w:hint="eastAsia"/>
              </w:rPr>
              <w:t>1.0×10</w:t>
            </w:r>
            <w:r>
              <w:rPr>
                <w:rFonts w:hint="eastAsia"/>
                <w:vertAlign w:val="superscript"/>
              </w:rPr>
              <w:t>-3</w:t>
            </w:r>
            <w:r>
              <w:rPr>
                <w:rFonts w:hint="eastAsia"/>
              </w:rPr>
              <w:t>L</w:t>
            </w:r>
          </w:p>
        </w:tc>
        <w:tc>
          <w:tcPr>
            <w:tcW w:w="791" w:type="pct"/>
            <w:shd w:val="clear" w:color="auto" w:fill="auto"/>
            <w:vAlign w:val="center"/>
          </w:tcPr>
          <w:p w14:paraId="135E3C0C">
            <w:pPr>
              <w:pStyle w:val="31"/>
            </w:pPr>
            <w:r>
              <w:rPr>
                <w:rFonts w:hint="eastAsia"/>
              </w:rPr>
              <w:t>560</w:t>
            </w:r>
          </w:p>
        </w:tc>
        <w:tc>
          <w:tcPr>
            <w:tcW w:w="790" w:type="pct"/>
          </w:tcPr>
          <w:p w14:paraId="2132513B">
            <w:pPr>
              <w:pStyle w:val="31"/>
            </w:pPr>
            <w:r>
              <w:rPr>
                <w:rFonts w:hint="eastAsia"/>
              </w:rPr>
              <w:t>达标</w:t>
            </w:r>
          </w:p>
        </w:tc>
      </w:tr>
      <w:tr w14:paraId="602F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EC6DE06">
            <w:pPr>
              <w:pStyle w:val="31"/>
            </w:pPr>
            <w:r>
              <w:rPr>
                <w:rFonts w:hint="eastAsia"/>
              </w:rPr>
              <w:t>31</w:t>
            </w:r>
          </w:p>
        </w:tc>
        <w:tc>
          <w:tcPr>
            <w:tcW w:w="1588" w:type="pct"/>
            <w:shd w:val="clear" w:color="auto" w:fill="auto"/>
            <w:vAlign w:val="center"/>
          </w:tcPr>
          <w:p w14:paraId="3E407561">
            <w:pPr>
              <w:pStyle w:val="31"/>
            </w:pPr>
            <w:r>
              <w:rPr>
                <w:rFonts w:hint="eastAsia"/>
              </w:rPr>
              <w:t>1,4二氯苯</w:t>
            </w:r>
          </w:p>
        </w:tc>
        <w:tc>
          <w:tcPr>
            <w:tcW w:w="564" w:type="pct"/>
            <w:shd w:val="clear" w:color="auto" w:fill="auto"/>
            <w:vAlign w:val="center"/>
          </w:tcPr>
          <w:p w14:paraId="49E3E4FA">
            <w:pPr>
              <w:pStyle w:val="31"/>
            </w:pPr>
            <w:r>
              <w:t>mg/kg</w:t>
            </w:r>
          </w:p>
        </w:tc>
        <w:tc>
          <w:tcPr>
            <w:tcW w:w="791" w:type="pct"/>
          </w:tcPr>
          <w:p w14:paraId="46D42363">
            <w:pPr>
              <w:pStyle w:val="31"/>
            </w:pPr>
            <w:r>
              <w:rPr>
                <w:rFonts w:hint="eastAsia"/>
              </w:rPr>
              <w:t>1.2×10</w:t>
            </w:r>
            <w:r>
              <w:rPr>
                <w:rFonts w:hint="eastAsia"/>
                <w:vertAlign w:val="superscript"/>
              </w:rPr>
              <w:t>-3</w:t>
            </w:r>
            <w:r>
              <w:rPr>
                <w:rFonts w:hint="eastAsia"/>
              </w:rPr>
              <w:t>L</w:t>
            </w:r>
          </w:p>
        </w:tc>
        <w:tc>
          <w:tcPr>
            <w:tcW w:w="791" w:type="pct"/>
            <w:shd w:val="clear" w:color="auto" w:fill="auto"/>
            <w:vAlign w:val="center"/>
          </w:tcPr>
          <w:p w14:paraId="535E5B44">
            <w:pPr>
              <w:pStyle w:val="31"/>
            </w:pPr>
            <w:r>
              <w:rPr>
                <w:rFonts w:hint="eastAsia"/>
              </w:rPr>
              <w:t>20</w:t>
            </w:r>
          </w:p>
        </w:tc>
        <w:tc>
          <w:tcPr>
            <w:tcW w:w="790" w:type="pct"/>
          </w:tcPr>
          <w:p w14:paraId="65E0126C">
            <w:pPr>
              <w:pStyle w:val="31"/>
            </w:pPr>
            <w:r>
              <w:rPr>
                <w:rFonts w:hint="eastAsia"/>
              </w:rPr>
              <w:t>达标</w:t>
            </w:r>
          </w:p>
        </w:tc>
      </w:tr>
      <w:tr w14:paraId="2FA83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F37EE66">
            <w:pPr>
              <w:pStyle w:val="31"/>
            </w:pPr>
            <w:r>
              <w:rPr>
                <w:rFonts w:hint="eastAsia"/>
              </w:rPr>
              <w:t>32</w:t>
            </w:r>
          </w:p>
        </w:tc>
        <w:tc>
          <w:tcPr>
            <w:tcW w:w="1588" w:type="pct"/>
            <w:shd w:val="clear" w:color="auto" w:fill="auto"/>
            <w:vAlign w:val="center"/>
          </w:tcPr>
          <w:p w14:paraId="3FC1900D">
            <w:pPr>
              <w:pStyle w:val="31"/>
            </w:pPr>
            <w:r>
              <w:rPr>
                <w:rFonts w:hint="eastAsia"/>
              </w:rPr>
              <w:t>乙苯</w:t>
            </w:r>
          </w:p>
        </w:tc>
        <w:tc>
          <w:tcPr>
            <w:tcW w:w="564" w:type="pct"/>
            <w:shd w:val="clear" w:color="auto" w:fill="auto"/>
            <w:vAlign w:val="center"/>
          </w:tcPr>
          <w:p w14:paraId="7FC02A1F">
            <w:pPr>
              <w:pStyle w:val="31"/>
            </w:pPr>
            <w:r>
              <w:t>mg/kg</w:t>
            </w:r>
          </w:p>
        </w:tc>
        <w:tc>
          <w:tcPr>
            <w:tcW w:w="791" w:type="pct"/>
          </w:tcPr>
          <w:p w14:paraId="0A1CDA94">
            <w:pPr>
              <w:pStyle w:val="31"/>
            </w:pPr>
            <w:r>
              <w:rPr>
                <w:rFonts w:hint="eastAsia"/>
              </w:rPr>
              <w:t>1.2×10</w:t>
            </w:r>
            <w:r>
              <w:rPr>
                <w:rFonts w:hint="eastAsia"/>
                <w:vertAlign w:val="superscript"/>
              </w:rPr>
              <w:t>-3</w:t>
            </w:r>
            <w:r>
              <w:rPr>
                <w:rFonts w:hint="eastAsia"/>
              </w:rPr>
              <w:t>L</w:t>
            </w:r>
          </w:p>
        </w:tc>
        <w:tc>
          <w:tcPr>
            <w:tcW w:w="791" w:type="pct"/>
            <w:shd w:val="clear" w:color="auto" w:fill="auto"/>
            <w:vAlign w:val="center"/>
          </w:tcPr>
          <w:p w14:paraId="0FFA2839">
            <w:pPr>
              <w:pStyle w:val="31"/>
            </w:pPr>
            <w:r>
              <w:rPr>
                <w:rFonts w:hint="eastAsia"/>
              </w:rPr>
              <w:t>28</w:t>
            </w:r>
          </w:p>
        </w:tc>
        <w:tc>
          <w:tcPr>
            <w:tcW w:w="790" w:type="pct"/>
          </w:tcPr>
          <w:p w14:paraId="0AE5DEFD">
            <w:pPr>
              <w:pStyle w:val="31"/>
            </w:pPr>
            <w:r>
              <w:rPr>
                <w:rFonts w:hint="eastAsia"/>
              </w:rPr>
              <w:t>达标</w:t>
            </w:r>
          </w:p>
        </w:tc>
      </w:tr>
      <w:tr w14:paraId="3F382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4A9C495">
            <w:pPr>
              <w:pStyle w:val="31"/>
            </w:pPr>
            <w:r>
              <w:rPr>
                <w:rFonts w:hint="eastAsia"/>
              </w:rPr>
              <w:t>33</w:t>
            </w:r>
          </w:p>
        </w:tc>
        <w:tc>
          <w:tcPr>
            <w:tcW w:w="1588" w:type="pct"/>
            <w:shd w:val="clear" w:color="auto" w:fill="auto"/>
            <w:vAlign w:val="center"/>
          </w:tcPr>
          <w:p w14:paraId="5FE785A2">
            <w:pPr>
              <w:pStyle w:val="31"/>
            </w:pPr>
            <w:r>
              <w:rPr>
                <w:rFonts w:hint="eastAsia"/>
              </w:rPr>
              <w:t>苯乙烯</w:t>
            </w:r>
          </w:p>
        </w:tc>
        <w:tc>
          <w:tcPr>
            <w:tcW w:w="564" w:type="pct"/>
            <w:shd w:val="clear" w:color="auto" w:fill="auto"/>
            <w:vAlign w:val="center"/>
          </w:tcPr>
          <w:p w14:paraId="4FFE7B35">
            <w:pPr>
              <w:pStyle w:val="31"/>
            </w:pPr>
            <w:r>
              <w:t>mg/kg</w:t>
            </w:r>
          </w:p>
        </w:tc>
        <w:tc>
          <w:tcPr>
            <w:tcW w:w="791" w:type="pct"/>
          </w:tcPr>
          <w:p w14:paraId="70C9748C">
            <w:pPr>
              <w:pStyle w:val="31"/>
            </w:pPr>
            <w:r>
              <w:rPr>
                <w:rFonts w:hint="eastAsia"/>
              </w:rPr>
              <w:t>1.6×10</w:t>
            </w:r>
            <w:r>
              <w:rPr>
                <w:rFonts w:hint="eastAsia"/>
                <w:vertAlign w:val="superscript"/>
              </w:rPr>
              <w:t>-3</w:t>
            </w:r>
            <w:r>
              <w:rPr>
                <w:rFonts w:hint="eastAsia"/>
              </w:rPr>
              <w:t>L</w:t>
            </w:r>
          </w:p>
        </w:tc>
        <w:tc>
          <w:tcPr>
            <w:tcW w:w="791" w:type="pct"/>
            <w:shd w:val="clear" w:color="auto" w:fill="auto"/>
            <w:vAlign w:val="center"/>
          </w:tcPr>
          <w:p w14:paraId="7B8905F5">
            <w:pPr>
              <w:pStyle w:val="31"/>
            </w:pPr>
            <w:r>
              <w:rPr>
                <w:rFonts w:hint="eastAsia"/>
              </w:rPr>
              <w:t>1290</w:t>
            </w:r>
          </w:p>
        </w:tc>
        <w:tc>
          <w:tcPr>
            <w:tcW w:w="790" w:type="pct"/>
          </w:tcPr>
          <w:p w14:paraId="52B685CF">
            <w:pPr>
              <w:pStyle w:val="31"/>
            </w:pPr>
            <w:r>
              <w:rPr>
                <w:rFonts w:hint="eastAsia"/>
              </w:rPr>
              <w:t>达标</w:t>
            </w:r>
          </w:p>
        </w:tc>
      </w:tr>
      <w:tr w14:paraId="724AD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559A938">
            <w:pPr>
              <w:pStyle w:val="31"/>
            </w:pPr>
            <w:r>
              <w:rPr>
                <w:rFonts w:hint="eastAsia"/>
              </w:rPr>
              <w:t>34</w:t>
            </w:r>
          </w:p>
        </w:tc>
        <w:tc>
          <w:tcPr>
            <w:tcW w:w="1588" w:type="pct"/>
            <w:shd w:val="clear" w:color="auto" w:fill="auto"/>
            <w:vAlign w:val="center"/>
          </w:tcPr>
          <w:p w14:paraId="1BBDA4FC">
            <w:pPr>
              <w:pStyle w:val="31"/>
            </w:pPr>
            <w:r>
              <w:rPr>
                <w:rFonts w:hint="eastAsia"/>
              </w:rPr>
              <w:t>甲苯</w:t>
            </w:r>
          </w:p>
        </w:tc>
        <w:tc>
          <w:tcPr>
            <w:tcW w:w="564" w:type="pct"/>
            <w:shd w:val="clear" w:color="auto" w:fill="auto"/>
            <w:vAlign w:val="center"/>
          </w:tcPr>
          <w:p w14:paraId="556F10A4">
            <w:pPr>
              <w:pStyle w:val="31"/>
            </w:pPr>
            <w:r>
              <w:t>mg/kg</w:t>
            </w:r>
          </w:p>
        </w:tc>
        <w:tc>
          <w:tcPr>
            <w:tcW w:w="791" w:type="pct"/>
          </w:tcPr>
          <w:p w14:paraId="20DE4D28">
            <w:pPr>
              <w:pStyle w:val="31"/>
            </w:pPr>
            <w:r>
              <w:rPr>
                <w:rFonts w:hint="eastAsia"/>
              </w:rPr>
              <w:t>2.0×10</w:t>
            </w:r>
            <w:r>
              <w:rPr>
                <w:rFonts w:hint="eastAsia"/>
                <w:vertAlign w:val="superscript"/>
              </w:rPr>
              <w:t>-3</w:t>
            </w:r>
            <w:r>
              <w:rPr>
                <w:rFonts w:hint="eastAsia"/>
              </w:rPr>
              <w:t>L</w:t>
            </w:r>
          </w:p>
        </w:tc>
        <w:tc>
          <w:tcPr>
            <w:tcW w:w="791" w:type="pct"/>
            <w:shd w:val="clear" w:color="auto" w:fill="auto"/>
            <w:vAlign w:val="center"/>
          </w:tcPr>
          <w:p w14:paraId="0B42A863">
            <w:pPr>
              <w:pStyle w:val="31"/>
            </w:pPr>
            <w:r>
              <w:rPr>
                <w:rFonts w:hint="eastAsia"/>
              </w:rPr>
              <w:t>1200</w:t>
            </w:r>
          </w:p>
        </w:tc>
        <w:tc>
          <w:tcPr>
            <w:tcW w:w="790" w:type="pct"/>
          </w:tcPr>
          <w:p w14:paraId="1742A1ED">
            <w:pPr>
              <w:pStyle w:val="31"/>
            </w:pPr>
            <w:r>
              <w:rPr>
                <w:rFonts w:hint="eastAsia"/>
              </w:rPr>
              <w:t>达标</w:t>
            </w:r>
          </w:p>
        </w:tc>
      </w:tr>
      <w:tr w14:paraId="7AA8D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97542DB">
            <w:pPr>
              <w:pStyle w:val="31"/>
            </w:pPr>
            <w:r>
              <w:rPr>
                <w:rFonts w:hint="eastAsia"/>
              </w:rPr>
              <w:t>35</w:t>
            </w:r>
          </w:p>
        </w:tc>
        <w:tc>
          <w:tcPr>
            <w:tcW w:w="1588" w:type="pct"/>
            <w:shd w:val="clear" w:color="auto" w:fill="auto"/>
            <w:vAlign w:val="center"/>
          </w:tcPr>
          <w:p w14:paraId="5292B009">
            <w:pPr>
              <w:pStyle w:val="31"/>
            </w:pPr>
            <w:r>
              <w:rPr>
                <w:rFonts w:hint="eastAsia"/>
              </w:rPr>
              <w:t>间，对二甲苯</w:t>
            </w:r>
          </w:p>
        </w:tc>
        <w:tc>
          <w:tcPr>
            <w:tcW w:w="564" w:type="pct"/>
            <w:shd w:val="clear" w:color="auto" w:fill="auto"/>
            <w:vAlign w:val="center"/>
          </w:tcPr>
          <w:p w14:paraId="6078395C">
            <w:pPr>
              <w:pStyle w:val="31"/>
            </w:pPr>
            <w:r>
              <w:t>mg/kg</w:t>
            </w:r>
          </w:p>
        </w:tc>
        <w:tc>
          <w:tcPr>
            <w:tcW w:w="791" w:type="pct"/>
          </w:tcPr>
          <w:p w14:paraId="7F3D746E">
            <w:pPr>
              <w:pStyle w:val="31"/>
            </w:pPr>
            <w:r>
              <w:rPr>
                <w:rFonts w:hint="eastAsia"/>
              </w:rPr>
              <w:t>3.6×10</w:t>
            </w:r>
            <w:r>
              <w:rPr>
                <w:rFonts w:hint="eastAsia"/>
                <w:vertAlign w:val="superscript"/>
              </w:rPr>
              <w:t>-3</w:t>
            </w:r>
            <w:r>
              <w:rPr>
                <w:rFonts w:hint="eastAsia"/>
              </w:rPr>
              <w:t>L</w:t>
            </w:r>
          </w:p>
        </w:tc>
        <w:tc>
          <w:tcPr>
            <w:tcW w:w="791" w:type="pct"/>
            <w:shd w:val="clear" w:color="auto" w:fill="auto"/>
            <w:vAlign w:val="center"/>
          </w:tcPr>
          <w:p w14:paraId="73A8A362">
            <w:pPr>
              <w:pStyle w:val="31"/>
            </w:pPr>
            <w:r>
              <w:rPr>
                <w:rFonts w:hint="eastAsia"/>
              </w:rPr>
              <w:t>570</w:t>
            </w:r>
          </w:p>
        </w:tc>
        <w:tc>
          <w:tcPr>
            <w:tcW w:w="790" w:type="pct"/>
          </w:tcPr>
          <w:p w14:paraId="2790D785">
            <w:pPr>
              <w:pStyle w:val="31"/>
            </w:pPr>
            <w:r>
              <w:rPr>
                <w:rFonts w:hint="eastAsia"/>
              </w:rPr>
              <w:t>达标</w:t>
            </w:r>
          </w:p>
        </w:tc>
      </w:tr>
      <w:tr w14:paraId="4CB1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A9858CB">
            <w:pPr>
              <w:pStyle w:val="31"/>
            </w:pPr>
            <w:r>
              <w:rPr>
                <w:rFonts w:hint="eastAsia"/>
              </w:rPr>
              <w:t>36</w:t>
            </w:r>
          </w:p>
        </w:tc>
        <w:tc>
          <w:tcPr>
            <w:tcW w:w="1588" w:type="pct"/>
            <w:shd w:val="clear" w:color="auto" w:fill="auto"/>
            <w:vAlign w:val="center"/>
          </w:tcPr>
          <w:p w14:paraId="01932E4E">
            <w:pPr>
              <w:pStyle w:val="31"/>
            </w:pPr>
            <w:r>
              <w:rPr>
                <w:rFonts w:hint="eastAsia"/>
              </w:rPr>
              <w:t>邻二甲苯</w:t>
            </w:r>
          </w:p>
        </w:tc>
        <w:tc>
          <w:tcPr>
            <w:tcW w:w="564" w:type="pct"/>
            <w:shd w:val="clear" w:color="auto" w:fill="auto"/>
            <w:vAlign w:val="center"/>
          </w:tcPr>
          <w:p w14:paraId="06640F8D">
            <w:pPr>
              <w:pStyle w:val="31"/>
            </w:pPr>
            <w:r>
              <w:t>mg/kg</w:t>
            </w:r>
          </w:p>
        </w:tc>
        <w:tc>
          <w:tcPr>
            <w:tcW w:w="791" w:type="pct"/>
          </w:tcPr>
          <w:p w14:paraId="47B543F4">
            <w:pPr>
              <w:pStyle w:val="31"/>
            </w:pPr>
            <w:r>
              <w:rPr>
                <w:rFonts w:hint="eastAsia"/>
              </w:rPr>
              <w:t>1.3×10</w:t>
            </w:r>
            <w:r>
              <w:rPr>
                <w:rFonts w:hint="eastAsia"/>
                <w:vertAlign w:val="superscript"/>
              </w:rPr>
              <w:t>-3</w:t>
            </w:r>
            <w:r>
              <w:rPr>
                <w:rFonts w:hint="eastAsia"/>
              </w:rPr>
              <w:t>L</w:t>
            </w:r>
          </w:p>
        </w:tc>
        <w:tc>
          <w:tcPr>
            <w:tcW w:w="791" w:type="pct"/>
            <w:shd w:val="clear" w:color="auto" w:fill="auto"/>
            <w:vAlign w:val="center"/>
          </w:tcPr>
          <w:p w14:paraId="0FFCC1AA">
            <w:pPr>
              <w:pStyle w:val="31"/>
            </w:pPr>
            <w:r>
              <w:rPr>
                <w:rFonts w:hint="eastAsia"/>
              </w:rPr>
              <w:t>640</w:t>
            </w:r>
          </w:p>
        </w:tc>
        <w:tc>
          <w:tcPr>
            <w:tcW w:w="790" w:type="pct"/>
          </w:tcPr>
          <w:p w14:paraId="6E9E5F10">
            <w:pPr>
              <w:pStyle w:val="31"/>
            </w:pPr>
            <w:r>
              <w:rPr>
                <w:rFonts w:hint="eastAsia"/>
              </w:rPr>
              <w:t>达标</w:t>
            </w:r>
          </w:p>
        </w:tc>
      </w:tr>
      <w:tr w14:paraId="15F7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C261F96">
            <w:pPr>
              <w:pStyle w:val="31"/>
            </w:pPr>
            <w:r>
              <w:rPr>
                <w:rFonts w:hint="eastAsia"/>
              </w:rPr>
              <w:t>37</w:t>
            </w:r>
          </w:p>
        </w:tc>
        <w:tc>
          <w:tcPr>
            <w:tcW w:w="1588" w:type="pct"/>
            <w:shd w:val="clear" w:color="auto" w:fill="auto"/>
            <w:vAlign w:val="center"/>
          </w:tcPr>
          <w:p w14:paraId="3D96A724">
            <w:pPr>
              <w:pStyle w:val="31"/>
            </w:pPr>
            <w:r>
              <w:rPr>
                <w:rFonts w:hint="eastAsia"/>
              </w:rPr>
              <w:t>硝基苯</w:t>
            </w:r>
          </w:p>
        </w:tc>
        <w:tc>
          <w:tcPr>
            <w:tcW w:w="564" w:type="pct"/>
            <w:shd w:val="clear" w:color="auto" w:fill="auto"/>
            <w:vAlign w:val="center"/>
          </w:tcPr>
          <w:p w14:paraId="5796EE43">
            <w:pPr>
              <w:pStyle w:val="31"/>
            </w:pPr>
            <w:r>
              <w:t>mg/kg</w:t>
            </w:r>
          </w:p>
        </w:tc>
        <w:tc>
          <w:tcPr>
            <w:tcW w:w="791" w:type="pct"/>
          </w:tcPr>
          <w:p w14:paraId="543F668B">
            <w:pPr>
              <w:pStyle w:val="31"/>
            </w:pPr>
            <w:r>
              <w:rPr>
                <w:rFonts w:hint="eastAsia"/>
              </w:rPr>
              <w:t>0.09L</w:t>
            </w:r>
          </w:p>
        </w:tc>
        <w:tc>
          <w:tcPr>
            <w:tcW w:w="791" w:type="pct"/>
            <w:shd w:val="clear" w:color="auto" w:fill="auto"/>
            <w:vAlign w:val="center"/>
          </w:tcPr>
          <w:p w14:paraId="1F4DB30C">
            <w:pPr>
              <w:pStyle w:val="31"/>
            </w:pPr>
            <w:r>
              <w:rPr>
                <w:rFonts w:hint="eastAsia"/>
              </w:rPr>
              <w:t>76</w:t>
            </w:r>
          </w:p>
        </w:tc>
        <w:tc>
          <w:tcPr>
            <w:tcW w:w="790" w:type="pct"/>
          </w:tcPr>
          <w:p w14:paraId="02DA90F4">
            <w:pPr>
              <w:pStyle w:val="31"/>
            </w:pPr>
            <w:r>
              <w:rPr>
                <w:rFonts w:hint="eastAsia"/>
              </w:rPr>
              <w:t>达标</w:t>
            </w:r>
          </w:p>
        </w:tc>
      </w:tr>
      <w:tr w14:paraId="1143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57C04023">
            <w:pPr>
              <w:pStyle w:val="31"/>
            </w:pPr>
            <w:r>
              <w:rPr>
                <w:rFonts w:hint="eastAsia"/>
              </w:rPr>
              <w:t>38</w:t>
            </w:r>
          </w:p>
        </w:tc>
        <w:tc>
          <w:tcPr>
            <w:tcW w:w="1588" w:type="pct"/>
            <w:shd w:val="clear" w:color="auto" w:fill="auto"/>
            <w:vAlign w:val="center"/>
          </w:tcPr>
          <w:p w14:paraId="05697029">
            <w:pPr>
              <w:pStyle w:val="31"/>
            </w:pPr>
            <w:r>
              <w:rPr>
                <w:rFonts w:hint="eastAsia"/>
              </w:rPr>
              <w:t>苯胺</w:t>
            </w:r>
          </w:p>
        </w:tc>
        <w:tc>
          <w:tcPr>
            <w:tcW w:w="564" w:type="pct"/>
            <w:shd w:val="clear" w:color="auto" w:fill="auto"/>
            <w:vAlign w:val="center"/>
          </w:tcPr>
          <w:p w14:paraId="39008885">
            <w:pPr>
              <w:pStyle w:val="31"/>
            </w:pPr>
            <w:r>
              <w:t>mg/kg</w:t>
            </w:r>
          </w:p>
        </w:tc>
        <w:tc>
          <w:tcPr>
            <w:tcW w:w="791" w:type="pct"/>
          </w:tcPr>
          <w:p w14:paraId="648235EC">
            <w:pPr>
              <w:pStyle w:val="31"/>
            </w:pPr>
            <w:r>
              <w:rPr>
                <w:rFonts w:hint="eastAsia"/>
              </w:rPr>
              <w:t>0.66L</w:t>
            </w:r>
          </w:p>
        </w:tc>
        <w:tc>
          <w:tcPr>
            <w:tcW w:w="791" w:type="pct"/>
            <w:shd w:val="clear" w:color="auto" w:fill="auto"/>
            <w:vAlign w:val="center"/>
          </w:tcPr>
          <w:p w14:paraId="725B963E">
            <w:pPr>
              <w:pStyle w:val="31"/>
            </w:pPr>
            <w:r>
              <w:rPr>
                <w:rFonts w:hint="eastAsia"/>
              </w:rPr>
              <w:t>260</w:t>
            </w:r>
          </w:p>
        </w:tc>
        <w:tc>
          <w:tcPr>
            <w:tcW w:w="790" w:type="pct"/>
          </w:tcPr>
          <w:p w14:paraId="3E9FBDDD">
            <w:pPr>
              <w:pStyle w:val="31"/>
            </w:pPr>
            <w:r>
              <w:rPr>
                <w:rFonts w:hint="eastAsia"/>
              </w:rPr>
              <w:t>达标</w:t>
            </w:r>
          </w:p>
        </w:tc>
      </w:tr>
      <w:tr w14:paraId="3A10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7643E82">
            <w:pPr>
              <w:pStyle w:val="31"/>
            </w:pPr>
            <w:r>
              <w:rPr>
                <w:rFonts w:hint="eastAsia"/>
              </w:rPr>
              <w:t>39</w:t>
            </w:r>
          </w:p>
        </w:tc>
        <w:tc>
          <w:tcPr>
            <w:tcW w:w="1588" w:type="pct"/>
            <w:shd w:val="clear" w:color="auto" w:fill="auto"/>
            <w:vAlign w:val="center"/>
          </w:tcPr>
          <w:p w14:paraId="0BBEDD9E">
            <w:pPr>
              <w:pStyle w:val="31"/>
            </w:pPr>
            <w:r>
              <w:rPr>
                <w:rFonts w:hint="eastAsia"/>
              </w:rPr>
              <w:t>2氯苯酚</w:t>
            </w:r>
          </w:p>
        </w:tc>
        <w:tc>
          <w:tcPr>
            <w:tcW w:w="564" w:type="pct"/>
            <w:shd w:val="clear" w:color="auto" w:fill="auto"/>
            <w:vAlign w:val="center"/>
          </w:tcPr>
          <w:p w14:paraId="3448A874">
            <w:pPr>
              <w:pStyle w:val="31"/>
            </w:pPr>
            <w:r>
              <w:t>mg/kg</w:t>
            </w:r>
          </w:p>
        </w:tc>
        <w:tc>
          <w:tcPr>
            <w:tcW w:w="791" w:type="pct"/>
          </w:tcPr>
          <w:p w14:paraId="62732A81">
            <w:pPr>
              <w:pStyle w:val="31"/>
            </w:pPr>
            <w:r>
              <w:rPr>
                <w:rFonts w:hint="eastAsia"/>
              </w:rPr>
              <w:t>0.06L</w:t>
            </w:r>
          </w:p>
        </w:tc>
        <w:tc>
          <w:tcPr>
            <w:tcW w:w="791" w:type="pct"/>
            <w:shd w:val="clear" w:color="auto" w:fill="auto"/>
            <w:vAlign w:val="center"/>
          </w:tcPr>
          <w:p w14:paraId="773271D3">
            <w:pPr>
              <w:pStyle w:val="31"/>
            </w:pPr>
            <w:r>
              <w:rPr>
                <w:rFonts w:hint="eastAsia"/>
              </w:rPr>
              <w:t>2256</w:t>
            </w:r>
          </w:p>
        </w:tc>
        <w:tc>
          <w:tcPr>
            <w:tcW w:w="790" w:type="pct"/>
          </w:tcPr>
          <w:p w14:paraId="6545991F">
            <w:pPr>
              <w:pStyle w:val="31"/>
            </w:pPr>
            <w:r>
              <w:rPr>
                <w:rFonts w:hint="eastAsia"/>
              </w:rPr>
              <w:t>达标</w:t>
            </w:r>
          </w:p>
        </w:tc>
      </w:tr>
      <w:tr w14:paraId="2C56E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80DA208">
            <w:pPr>
              <w:pStyle w:val="31"/>
            </w:pPr>
            <w:r>
              <w:rPr>
                <w:rFonts w:hint="eastAsia"/>
              </w:rPr>
              <w:t>40</w:t>
            </w:r>
          </w:p>
        </w:tc>
        <w:tc>
          <w:tcPr>
            <w:tcW w:w="1588" w:type="pct"/>
            <w:shd w:val="clear" w:color="auto" w:fill="auto"/>
            <w:vAlign w:val="center"/>
          </w:tcPr>
          <w:p w14:paraId="5E0DC613">
            <w:pPr>
              <w:pStyle w:val="31"/>
            </w:pPr>
            <w:r>
              <w:rPr>
                <w:rFonts w:hint="eastAsia"/>
              </w:rPr>
              <w:t>苯并[a]蒽</w:t>
            </w:r>
          </w:p>
        </w:tc>
        <w:tc>
          <w:tcPr>
            <w:tcW w:w="564" w:type="pct"/>
            <w:shd w:val="clear" w:color="auto" w:fill="auto"/>
            <w:vAlign w:val="center"/>
          </w:tcPr>
          <w:p w14:paraId="5174B772">
            <w:pPr>
              <w:pStyle w:val="31"/>
            </w:pPr>
            <w:r>
              <w:t>mg/kg</w:t>
            </w:r>
          </w:p>
        </w:tc>
        <w:tc>
          <w:tcPr>
            <w:tcW w:w="791" w:type="pct"/>
          </w:tcPr>
          <w:p w14:paraId="05AE6383">
            <w:pPr>
              <w:pStyle w:val="31"/>
            </w:pPr>
            <w:r>
              <w:rPr>
                <w:rFonts w:hint="eastAsia"/>
              </w:rPr>
              <w:t>0.1L</w:t>
            </w:r>
          </w:p>
        </w:tc>
        <w:tc>
          <w:tcPr>
            <w:tcW w:w="791" w:type="pct"/>
            <w:shd w:val="clear" w:color="auto" w:fill="auto"/>
            <w:vAlign w:val="center"/>
          </w:tcPr>
          <w:p w14:paraId="0E2C5CEE">
            <w:pPr>
              <w:pStyle w:val="31"/>
            </w:pPr>
            <w:r>
              <w:rPr>
                <w:rFonts w:hint="eastAsia"/>
              </w:rPr>
              <w:t>15</w:t>
            </w:r>
          </w:p>
        </w:tc>
        <w:tc>
          <w:tcPr>
            <w:tcW w:w="790" w:type="pct"/>
          </w:tcPr>
          <w:p w14:paraId="56F5BCC0">
            <w:pPr>
              <w:pStyle w:val="31"/>
            </w:pPr>
            <w:r>
              <w:rPr>
                <w:rFonts w:hint="eastAsia"/>
              </w:rPr>
              <w:t>达标</w:t>
            </w:r>
          </w:p>
        </w:tc>
      </w:tr>
      <w:tr w14:paraId="08DF9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1C8D7D8F">
            <w:pPr>
              <w:pStyle w:val="31"/>
            </w:pPr>
            <w:r>
              <w:rPr>
                <w:rFonts w:hint="eastAsia"/>
              </w:rPr>
              <w:t>41</w:t>
            </w:r>
          </w:p>
        </w:tc>
        <w:tc>
          <w:tcPr>
            <w:tcW w:w="1588" w:type="pct"/>
            <w:shd w:val="clear" w:color="auto" w:fill="auto"/>
            <w:vAlign w:val="center"/>
          </w:tcPr>
          <w:p w14:paraId="7B168999">
            <w:pPr>
              <w:pStyle w:val="31"/>
            </w:pPr>
            <w:r>
              <w:rPr>
                <w:rFonts w:hint="eastAsia"/>
              </w:rPr>
              <w:t>苯并[a]芘</w:t>
            </w:r>
          </w:p>
        </w:tc>
        <w:tc>
          <w:tcPr>
            <w:tcW w:w="564" w:type="pct"/>
            <w:shd w:val="clear" w:color="auto" w:fill="auto"/>
            <w:vAlign w:val="center"/>
          </w:tcPr>
          <w:p w14:paraId="2AA9AAB2">
            <w:pPr>
              <w:pStyle w:val="31"/>
            </w:pPr>
            <w:r>
              <w:t>mg/kg</w:t>
            </w:r>
          </w:p>
        </w:tc>
        <w:tc>
          <w:tcPr>
            <w:tcW w:w="791" w:type="pct"/>
          </w:tcPr>
          <w:p w14:paraId="4A0628BC">
            <w:pPr>
              <w:pStyle w:val="31"/>
            </w:pPr>
            <w:r>
              <w:rPr>
                <w:rFonts w:hint="eastAsia"/>
              </w:rPr>
              <w:t>0.1L</w:t>
            </w:r>
          </w:p>
        </w:tc>
        <w:tc>
          <w:tcPr>
            <w:tcW w:w="791" w:type="pct"/>
            <w:shd w:val="clear" w:color="auto" w:fill="auto"/>
            <w:vAlign w:val="center"/>
          </w:tcPr>
          <w:p w14:paraId="6955855E">
            <w:pPr>
              <w:pStyle w:val="31"/>
            </w:pPr>
            <w:r>
              <w:rPr>
                <w:rFonts w:hint="eastAsia"/>
              </w:rPr>
              <w:t>1.5</w:t>
            </w:r>
          </w:p>
        </w:tc>
        <w:tc>
          <w:tcPr>
            <w:tcW w:w="790" w:type="pct"/>
          </w:tcPr>
          <w:p w14:paraId="10EA5585">
            <w:pPr>
              <w:pStyle w:val="31"/>
            </w:pPr>
            <w:r>
              <w:rPr>
                <w:rFonts w:hint="eastAsia"/>
              </w:rPr>
              <w:t>达标</w:t>
            </w:r>
          </w:p>
        </w:tc>
      </w:tr>
      <w:tr w14:paraId="0698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04DCB290">
            <w:pPr>
              <w:pStyle w:val="31"/>
            </w:pPr>
            <w:r>
              <w:rPr>
                <w:rFonts w:hint="eastAsia"/>
              </w:rPr>
              <w:t>42</w:t>
            </w:r>
          </w:p>
        </w:tc>
        <w:tc>
          <w:tcPr>
            <w:tcW w:w="1588" w:type="pct"/>
            <w:shd w:val="clear" w:color="auto" w:fill="auto"/>
            <w:vAlign w:val="center"/>
          </w:tcPr>
          <w:p w14:paraId="21BB001A">
            <w:pPr>
              <w:pStyle w:val="31"/>
            </w:pPr>
            <w:r>
              <w:rPr>
                <w:rFonts w:hint="eastAsia"/>
              </w:rPr>
              <w:t>苯并[b]荧蒽</w:t>
            </w:r>
          </w:p>
        </w:tc>
        <w:tc>
          <w:tcPr>
            <w:tcW w:w="564" w:type="pct"/>
            <w:shd w:val="clear" w:color="auto" w:fill="auto"/>
            <w:vAlign w:val="center"/>
          </w:tcPr>
          <w:p w14:paraId="1DFFAB5B">
            <w:pPr>
              <w:pStyle w:val="31"/>
            </w:pPr>
            <w:r>
              <w:t>mg/kg</w:t>
            </w:r>
          </w:p>
        </w:tc>
        <w:tc>
          <w:tcPr>
            <w:tcW w:w="791" w:type="pct"/>
          </w:tcPr>
          <w:p w14:paraId="745D8797">
            <w:pPr>
              <w:pStyle w:val="31"/>
            </w:pPr>
            <w:r>
              <w:rPr>
                <w:rFonts w:hint="eastAsia"/>
              </w:rPr>
              <w:t>0.2L</w:t>
            </w:r>
          </w:p>
        </w:tc>
        <w:tc>
          <w:tcPr>
            <w:tcW w:w="791" w:type="pct"/>
            <w:shd w:val="clear" w:color="auto" w:fill="auto"/>
            <w:vAlign w:val="center"/>
          </w:tcPr>
          <w:p w14:paraId="43279B46">
            <w:pPr>
              <w:pStyle w:val="31"/>
            </w:pPr>
            <w:r>
              <w:rPr>
                <w:rFonts w:hint="eastAsia"/>
              </w:rPr>
              <w:t>15</w:t>
            </w:r>
          </w:p>
        </w:tc>
        <w:tc>
          <w:tcPr>
            <w:tcW w:w="790" w:type="pct"/>
          </w:tcPr>
          <w:p w14:paraId="617CAA2A">
            <w:pPr>
              <w:pStyle w:val="31"/>
            </w:pPr>
            <w:r>
              <w:rPr>
                <w:rFonts w:hint="eastAsia"/>
              </w:rPr>
              <w:t>达标</w:t>
            </w:r>
          </w:p>
        </w:tc>
      </w:tr>
      <w:tr w14:paraId="05953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343C8C5D">
            <w:pPr>
              <w:pStyle w:val="31"/>
            </w:pPr>
            <w:r>
              <w:rPr>
                <w:rFonts w:hint="eastAsia"/>
              </w:rPr>
              <w:t>43</w:t>
            </w:r>
          </w:p>
        </w:tc>
        <w:tc>
          <w:tcPr>
            <w:tcW w:w="1588" w:type="pct"/>
            <w:shd w:val="clear" w:color="auto" w:fill="auto"/>
            <w:vAlign w:val="center"/>
          </w:tcPr>
          <w:p w14:paraId="11E1AD7F">
            <w:pPr>
              <w:pStyle w:val="31"/>
            </w:pPr>
            <w:r>
              <w:rPr>
                <w:rFonts w:hint="eastAsia"/>
              </w:rPr>
              <w:t>苯并[k]荧蒽</w:t>
            </w:r>
          </w:p>
        </w:tc>
        <w:tc>
          <w:tcPr>
            <w:tcW w:w="564" w:type="pct"/>
            <w:shd w:val="clear" w:color="auto" w:fill="auto"/>
            <w:vAlign w:val="center"/>
          </w:tcPr>
          <w:p w14:paraId="19C98F38">
            <w:pPr>
              <w:pStyle w:val="31"/>
            </w:pPr>
            <w:r>
              <w:t>mg/kg</w:t>
            </w:r>
          </w:p>
        </w:tc>
        <w:tc>
          <w:tcPr>
            <w:tcW w:w="791" w:type="pct"/>
          </w:tcPr>
          <w:p w14:paraId="64882604">
            <w:pPr>
              <w:pStyle w:val="31"/>
            </w:pPr>
            <w:r>
              <w:rPr>
                <w:rFonts w:hint="eastAsia"/>
              </w:rPr>
              <w:t>0.1L</w:t>
            </w:r>
          </w:p>
        </w:tc>
        <w:tc>
          <w:tcPr>
            <w:tcW w:w="791" w:type="pct"/>
            <w:shd w:val="clear" w:color="auto" w:fill="auto"/>
            <w:vAlign w:val="center"/>
          </w:tcPr>
          <w:p w14:paraId="56275D04">
            <w:pPr>
              <w:pStyle w:val="31"/>
            </w:pPr>
            <w:r>
              <w:rPr>
                <w:rFonts w:hint="eastAsia"/>
              </w:rPr>
              <w:t>151</w:t>
            </w:r>
          </w:p>
        </w:tc>
        <w:tc>
          <w:tcPr>
            <w:tcW w:w="790" w:type="pct"/>
          </w:tcPr>
          <w:p w14:paraId="3F283C11">
            <w:pPr>
              <w:pStyle w:val="31"/>
            </w:pPr>
            <w:r>
              <w:rPr>
                <w:rFonts w:hint="eastAsia"/>
              </w:rPr>
              <w:t>达标</w:t>
            </w:r>
          </w:p>
        </w:tc>
      </w:tr>
      <w:tr w14:paraId="5B34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9110517">
            <w:pPr>
              <w:pStyle w:val="31"/>
            </w:pPr>
            <w:r>
              <w:rPr>
                <w:rFonts w:hint="eastAsia"/>
              </w:rPr>
              <w:t>44</w:t>
            </w:r>
          </w:p>
        </w:tc>
        <w:tc>
          <w:tcPr>
            <w:tcW w:w="1588" w:type="pct"/>
            <w:shd w:val="clear" w:color="auto" w:fill="auto"/>
            <w:vAlign w:val="center"/>
          </w:tcPr>
          <w:p w14:paraId="2CFD1075">
            <w:pPr>
              <w:pStyle w:val="31"/>
            </w:pPr>
            <w:r>
              <w:rPr>
                <w:rFonts w:hint="eastAsia"/>
              </w:rPr>
              <w:t>䓛</w:t>
            </w:r>
          </w:p>
        </w:tc>
        <w:tc>
          <w:tcPr>
            <w:tcW w:w="564" w:type="pct"/>
            <w:shd w:val="clear" w:color="auto" w:fill="auto"/>
            <w:vAlign w:val="center"/>
          </w:tcPr>
          <w:p w14:paraId="036D2ED3">
            <w:pPr>
              <w:pStyle w:val="31"/>
            </w:pPr>
            <w:r>
              <w:t>mg/kg</w:t>
            </w:r>
          </w:p>
        </w:tc>
        <w:tc>
          <w:tcPr>
            <w:tcW w:w="791" w:type="pct"/>
          </w:tcPr>
          <w:p w14:paraId="0EAA11B9">
            <w:pPr>
              <w:pStyle w:val="31"/>
            </w:pPr>
            <w:r>
              <w:rPr>
                <w:rFonts w:hint="eastAsia"/>
              </w:rPr>
              <w:t>0.1L</w:t>
            </w:r>
          </w:p>
        </w:tc>
        <w:tc>
          <w:tcPr>
            <w:tcW w:w="791" w:type="pct"/>
            <w:shd w:val="clear" w:color="auto" w:fill="auto"/>
            <w:vAlign w:val="center"/>
          </w:tcPr>
          <w:p w14:paraId="2D769B1C">
            <w:pPr>
              <w:pStyle w:val="31"/>
            </w:pPr>
            <w:r>
              <w:rPr>
                <w:rFonts w:hint="eastAsia"/>
              </w:rPr>
              <w:t>1293</w:t>
            </w:r>
          </w:p>
        </w:tc>
        <w:tc>
          <w:tcPr>
            <w:tcW w:w="790" w:type="pct"/>
          </w:tcPr>
          <w:p w14:paraId="3A293DCA">
            <w:pPr>
              <w:pStyle w:val="31"/>
            </w:pPr>
            <w:r>
              <w:rPr>
                <w:rFonts w:hint="eastAsia"/>
              </w:rPr>
              <w:t>达标</w:t>
            </w:r>
          </w:p>
        </w:tc>
      </w:tr>
      <w:tr w14:paraId="579E2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7F75E7DE">
            <w:pPr>
              <w:pStyle w:val="31"/>
            </w:pPr>
            <w:r>
              <w:rPr>
                <w:rFonts w:hint="eastAsia"/>
              </w:rPr>
              <w:t>45</w:t>
            </w:r>
          </w:p>
        </w:tc>
        <w:tc>
          <w:tcPr>
            <w:tcW w:w="1588" w:type="pct"/>
            <w:shd w:val="clear" w:color="auto" w:fill="auto"/>
            <w:vAlign w:val="center"/>
          </w:tcPr>
          <w:p w14:paraId="694D2B94">
            <w:pPr>
              <w:pStyle w:val="31"/>
            </w:pPr>
            <w:r>
              <w:rPr>
                <w:rFonts w:hint="eastAsia"/>
              </w:rPr>
              <w:t>二苯并[a,h]蒽</w:t>
            </w:r>
          </w:p>
        </w:tc>
        <w:tc>
          <w:tcPr>
            <w:tcW w:w="564" w:type="pct"/>
            <w:shd w:val="clear" w:color="auto" w:fill="auto"/>
            <w:vAlign w:val="center"/>
          </w:tcPr>
          <w:p w14:paraId="508DB763">
            <w:pPr>
              <w:pStyle w:val="31"/>
            </w:pPr>
            <w:r>
              <w:t>mg/kg</w:t>
            </w:r>
          </w:p>
        </w:tc>
        <w:tc>
          <w:tcPr>
            <w:tcW w:w="791" w:type="pct"/>
          </w:tcPr>
          <w:p w14:paraId="67C13D02">
            <w:pPr>
              <w:pStyle w:val="31"/>
            </w:pPr>
            <w:r>
              <w:rPr>
                <w:rFonts w:hint="eastAsia"/>
              </w:rPr>
              <w:t>0.1L</w:t>
            </w:r>
          </w:p>
        </w:tc>
        <w:tc>
          <w:tcPr>
            <w:tcW w:w="791" w:type="pct"/>
            <w:shd w:val="clear" w:color="auto" w:fill="auto"/>
            <w:vAlign w:val="center"/>
          </w:tcPr>
          <w:p w14:paraId="7B4E7314">
            <w:pPr>
              <w:pStyle w:val="31"/>
            </w:pPr>
            <w:r>
              <w:rPr>
                <w:rFonts w:hint="eastAsia"/>
              </w:rPr>
              <w:t>1.5</w:t>
            </w:r>
          </w:p>
        </w:tc>
        <w:tc>
          <w:tcPr>
            <w:tcW w:w="790" w:type="pct"/>
          </w:tcPr>
          <w:p w14:paraId="0BA1C20D">
            <w:pPr>
              <w:pStyle w:val="31"/>
            </w:pPr>
            <w:r>
              <w:rPr>
                <w:rFonts w:hint="eastAsia"/>
              </w:rPr>
              <w:t>达标</w:t>
            </w:r>
          </w:p>
        </w:tc>
      </w:tr>
      <w:tr w14:paraId="16D34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68AD918B">
            <w:pPr>
              <w:pStyle w:val="31"/>
            </w:pPr>
            <w:r>
              <w:rPr>
                <w:rFonts w:hint="eastAsia"/>
              </w:rPr>
              <w:t>46</w:t>
            </w:r>
          </w:p>
        </w:tc>
        <w:tc>
          <w:tcPr>
            <w:tcW w:w="1588" w:type="pct"/>
            <w:shd w:val="clear" w:color="auto" w:fill="auto"/>
            <w:vAlign w:val="center"/>
          </w:tcPr>
          <w:p w14:paraId="65B55FFB">
            <w:pPr>
              <w:pStyle w:val="31"/>
            </w:pPr>
            <w:r>
              <w:rPr>
                <w:rFonts w:hint="eastAsia"/>
              </w:rPr>
              <w:t>茚并[1,2,3-cd]芘</w:t>
            </w:r>
          </w:p>
        </w:tc>
        <w:tc>
          <w:tcPr>
            <w:tcW w:w="564" w:type="pct"/>
            <w:shd w:val="clear" w:color="auto" w:fill="auto"/>
            <w:vAlign w:val="center"/>
          </w:tcPr>
          <w:p w14:paraId="7A2FFBE5">
            <w:pPr>
              <w:pStyle w:val="31"/>
            </w:pPr>
            <w:r>
              <w:t>mg/kg</w:t>
            </w:r>
          </w:p>
        </w:tc>
        <w:tc>
          <w:tcPr>
            <w:tcW w:w="791" w:type="pct"/>
          </w:tcPr>
          <w:p w14:paraId="1DDF669F">
            <w:pPr>
              <w:pStyle w:val="31"/>
            </w:pPr>
            <w:r>
              <w:rPr>
                <w:rFonts w:hint="eastAsia"/>
              </w:rPr>
              <w:t>0.1L</w:t>
            </w:r>
          </w:p>
        </w:tc>
        <w:tc>
          <w:tcPr>
            <w:tcW w:w="791" w:type="pct"/>
            <w:shd w:val="clear" w:color="auto" w:fill="auto"/>
            <w:vAlign w:val="center"/>
          </w:tcPr>
          <w:p w14:paraId="1E70A0EE">
            <w:pPr>
              <w:pStyle w:val="31"/>
            </w:pPr>
            <w:r>
              <w:rPr>
                <w:rFonts w:hint="eastAsia"/>
              </w:rPr>
              <w:t>15</w:t>
            </w:r>
          </w:p>
        </w:tc>
        <w:tc>
          <w:tcPr>
            <w:tcW w:w="790" w:type="pct"/>
          </w:tcPr>
          <w:p w14:paraId="61DA82A8">
            <w:pPr>
              <w:pStyle w:val="31"/>
            </w:pPr>
            <w:r>
              <w:rPr>
                <w:rFonts w:hint="eastAsia"/>
              </w:rPr>
              <w:t>达标</w:t>
            </w:r>
          </w:p>
        </w:tc>
      </w:tr>
      <w:tr w14:paraId="2A030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6" w:type="pct"/>
          </w:tcPr>
          <w:p w14:paraId="42BFAD6C">
            <w:pPr>
              <w:pStyle w:val="31"/>
            </w:pPr>
            <w:r>
              <w:rPr>
                <w:rFonts w:hint="eastAsia"/>
              </w:rPr>
              <w:t>47</w:t>
            </w:r>
          </w:p>
        </w:tc>
        <w:tc>
          <w:tcPr>
            <w:tcW w:w="1588" w:type="pct"/>
            <w:shd w:val="clear" w:color="auto" w:fill="auto"/>
            <w:vAlign w:val="center"/>
          </w:tcPr>
          <w:p w14:paraId="4E6CEE10">
            <w:pPr>
              <w:pStyle w:val="31"/>
            </w:pPr>
            <w:r>
              <w:rPr>
                <w:rFonts w:hint="eastAsia"/>
              </w:rPr>
              <w:t>萘</w:t>
            </w:r>
          </w:p>
        </w:tc>
        <w:tc>
          <w:tcPr>
            <w:tcW w:w="564" w:type="pct"/>
            <w:shd w:val="clear" w:color="auto" w:fill="auto"/>
            <w:vAlign w:val="center"/>
          </w:tcPr>
          <w:p w14:paraId="43F5AFE2">
            <w:pPr>
              <w:pStyle w:val="31"/>
            </w:pPr>
            <w:r>
              <w:t>mg/kg</w:t>
            </w:r>
          </w:p>
        </w:tc>
        <w:tc>
          <w:tcPr>
            <w:tcW w:w="791" w:type="pct"/>
          </w:tcPr>
          <w:p w14:paraId="4369434C">
            <w:pPr>
              <w:pStyle w:val="31"/>
            </w:pPr>
            <w:r>
              <w:rPr>
                <w:rFonts w:hint="eastAsia"/>
              </w:rPr>
              <w:t>0.09L</w:t>
            </w:r>
          </w:p>
        </w:tc>
        <w:tc>
          <w:tcPr>
            <w:tcW w:w="791" w:type="pct"/>
            <w:shd w:val="clear" w:color="auto" w:fill="auto"/>
            <w:vAlign w:val="center"/>
          </w:tcPr>
          <w:p w14:paraId="38479E6A">
            <w:pPr>
              <w:pStyle w:val="31"/>
            </w:pPr>
            <w:r>
              <w:rPr>
                <w:rFonts w:hint="eastAsia"/>
              </w:rPr>
              <w:t>70</w:t>
            </w:r>
          </w:p>
        </w:tc>
        <w:tc>
          <w:tcPr>
            <w:tcW w:w="790" w:type="pct"/>
          </w:tcPr>
          <w:p w14:paraId="2E952040">
            <w:pPr>
              <w:pStyle w:val="31"/>
            </w:pPr>
            <w:r>
              <w:rPr>
                <w:rFonts w:hint="eastAsia"/>
              </w:rPr>
              <w:t>达标</w:t>
            </w:r>
          </w:p>
        </w:tc>
      </w:tr>
    </w:tbl>
    <w:p w14:paraId="0C68DA77">
      <w:pPr>
        <w:pStyle w:val="21"/>
        <w:ind w:firstLine="480"/>
      </w:pPr>
      <w:r>
        <w:rPr>
          <w:rFonts w:hint="eastAsia"/>
        </w:rPr>
        <w:t>根据监测结果可知，各监测点位所有监测因子均能满足《土壤质量标准 建设用地土壤污染风险管控标准（试行）》（GB36600-2018）第二类用地筛选值要求。</w:t>
      </w:r>
    </w:p>
    <w:p w14:paraId="5A70C6B7">
      <w:pPr>
        <w:pStyle w:val="28"/>
      </w:pPr>
      <w:bookmarkStart w:id="142" w:name="_Toc8172"/>
      <w:r>
        <w:rPr>
          <w:rFonts w:hint="eastAsia"/>
        </w:rPr>
        <w:t>4.7生态环境现状</w:t>
      </w:r>
      <w:bookmarkEnd w:id="142"/>
    </w:p>
    <w:p w14:paraId="35FA09D4">
      <w:pPr>
        <w:pStyle w:val="21"/>
        <w:ind w:firstLine="480"/>
      </w:pPr>
      <w:r>
        <w:rPr>
          <w:rFonts w:hint="eastAsia"/>
        </w:rPr>
        <w:t>（1）区域内生态系统组成、结构、功能</w:t>
      </w:r>
    </w:p>
    <w:p w14:paraId="5457DB9D">
      <w:pPr>
        <w:pStyle w:val="21"/>
        <w:ind w:firstLine="480"/>
      </w:pPr>
      <w:r>
        <w:rPr>
          <w:rFonts w:hint="eastAsia"/>
        </w:rPr>
        <w:t>项目位于三樟镇湘江旁，陆域内现状拥有大面积农田、林地，自然植被丰富，有部分水塘、沟渠，形成丰富的水网肌理，生态基底优良。</w:t>
      </w:r>
    </w:p>
    <w:p w14:paraId="4990E875">
      <w:pPr>
        <w:pStyle w:val="21"/>
        <w:ind w:firstLine="480"/>
      </w:pPr>
      <w:r>
        <w:rPr>
          <w:rFonts w:hint="eastAsia"/>
        </w:rPr>
        <w:t>项目用地范围内生态系统主要以城镇生态系统为主，区内起主导作用的生态因子为人类，由于人类活动频繁，因此该区域物质和能量流通量大，运转快，高度开放，导致区内自然系统的自动调节能力相对有限，营养结构简单，生态系统中分解者的功能微乎其微，已开发区域的人工植被绿化也不具备自然生态系统向居住者提供食物的生态功能，其作用已变为美化景观、缓解污染和净化空气。农林用地的生态系统以农村生态系统为主，区域内包括水塘、农田、林地、自然村落等，绿色植物量较多，区域内的动植物种类相比城市较丰富，自然系统具有一定的自动调节能力，生态系统相对完整。但随着城镇开发活动的推进，区域将逐渐转变为完全的城市生态系统。</w:t>
      </w:r>
    </w:p>
    <w:p w14:paraId="5732A2D9">
      <w:pPr>
        <w:pStyle w:val="21"/>
        <w:ind w:firstLine="480"/>
      </w:pPr>
      <w:r>
        <w:rPr>
          <w:rFonts w:hint="eastAsia"/>
        </w:rPr>
        <w:t>（2）区域内植被现状调查与评价</w:t>
      </w:r>
    </w:p>
    <w:p w14:paraId="4C9E5093">
      <w:pPr>
        <w:pStyle w:val="21"/>
        <w:ind w:firstLine="480"/>
      </w:pPr>
      <w:r>
        <w:rPr>
          <w:rFonts w:hint="eastAsia"/>
        </w:rPr>
        <w:t>项目所在区域属中亚热带常绿阔叶林地带，现有植被组成以人工植被为主，极小部分次生植被，山岗上多为灌木及低矮乔木，以落叶松为主，并有少量经果林。区域内分布有山坡林地、旱地、水田等，水田主要种植水稻，旱地为菜土主要种植冬瓜、丝瓜、四季豆等，供区内村民自食。</w:t>
      </w:r>
    </w:p>
    <w:p w14:paraId="7085E6E6">
      <w:pPr>
        <w:pStyle w:val="21"/>
        <w:ind w:firstLine="480"/>
      </w:pPr>
      <w:r>
        <w:rPr>
          <w:rFonts w:hint="eastAsia"/>
        </w:rPr>
        <w:t>（3）区域野生动物现状调查</w:t>
      </w:r>
    </w:p>
    <w:p w14:paraId="5BF7FB0A">
      <w:pPr>
        <w:pStyle w:val="21"/>
        <w:ind w:firstLine="480"/>
      </w:pPr>
      <w:r>
        <w:rPr>
          <w:rFonts w:hint="eastAsia"/>
        </w:rPr>
        <w:t>因项目区域人为活动頻繁，野生动物失去较适宜的栖息繁衍场所。主要动物是田鼠、青蛙、蛇、山雀等常见物种。在实地考察过程中，未见国家法定保护的野生动物。家畜以牛、羊、猪为主，家禽以鸡、鸭、鹅为主。洣水及湘江中水生鱼类资源丰富，其中以青、草、鲢、鳙四大家鱼为主。评价区域内未发现珍稀野生动、植物。</w:t>
      </w:r>
    </w:p>
    <w:p w14:paraId="5366A7A4">
      <w:pPr>
        <w:pStyle w:val="21"/>
        <w:ind w:firstLine="480"/>
      </w:pPr>
      <w:r>
        <w:rPr>
          <w:rFonts w:hint="eastAsia"/>
        </w:rPr>
        <w:t>（4）生态红线分布情况</w:t>
      </w:r>
    </w:p>
    <w:p w14:paraId="243A25D5">
      <w:pPr>
        <w:pStyle w:val="21"/>
        <w:ind w:firstLine="480"/>
      </w:pPr>
      <w:r>
        <w:rPr>
          <w:rFonts w:hint="eastAsia"/>
        </w:rPr>
        <w:t>本次评价区域内不涉及生态红线，未占用基本农田。</w:t>
      </w:r>
    </w:p>
    <w:p w14:paraId="65CA1B64">
      <w:pPr>
        <w:pStyle w:val="21"/>
        <w:ind w:firstLine="480"/>
      </w:pPr>
      <w:r>
        <w:rPr>
          <w:rFonts w:hint="eastAsia"/>
        </w:rPr>
        <w:t>（5）生态现状评价</w:t>
      </w:r>
    </w:p>
    <w:p w14:paraId="1589C251">
      <w:pPr>
        <w:pStyle w:val="21"/>
        <w:ind w:firstLine="480"/>
      </w:pPr>
      <w:r>
        <w:rPr>
          <w:rFonts w:hint="eastAsia"/>
        </w:rPr>
        <w:t>评价区域内大部分尚未开发用地为农林用地，以缓丘为主，部分山地。山体山行较为优美，植被较好。景观生态体系质量评价表明，调查区域尚未建设区域以灌木丛草地为模板，是该区域生态环境质量的控制性组分，表明区内受人类干扰较为严重，评价区域内目前以半自然生态环境为基本特征，生态环境质量一般，生态系统自动调节能力弱，易受到外界的干扰影响。因此，企业应严格落实相关环保政策及污染防治措施，确保污染物达标排放，对周围的环境影响控制在可接受的范围内，环境质量不恶化。</w:t>
      </w:r>
    </w:p>
    <w:p w14:paraId="60F061FC">
      <w:pPr>
        <w:pStyle w:val="21"/>
        <w:ind w:firstLine="480"/>
      </w:pPr>
      <w:r>
        <w:rPr>
          <w:rFonts w:hint="eastAsia"/>
        </w:rPr>
        <w:t>（6）环境教感区和重点生态功能区</w:t>
      </w:r>
    </w:p>
    <w:p w14:paraId="60DE1BEE">
      <w:pPr>
        <w:pStyle w:val="21"/>
        <w:ind w:firstLine="480"/>
      </w:pPr>
      <w:r>
        <w:rPr>
          <w:rFonts w:hint="eastAsia"/>
        </w:rPr>
        <w:t>本次扩建项目不涉及自然保护区、风景名胜区、基本农田保护区等环境敏感区，不涉及生态红线。项目西侧为湘江，该段属于湘江三樟段（渔业用水区），作为项目主要生态环境保护目标。项目用地范围不涉及重点生态功能区，位于三樟镇，将国家层面农产品主产区划为本区域的重点开发区域，符合《湖南省主体功能区划》相关要求。</w:t>
      </w:r>
    </w:p>
    <w:p w14:paraId="7C94F8E0">
      <w:pPr>
        <w:pStyle w:val="21"/>
        <w:ind w:firstLine="480"/>
      </w:pPr>
    </w:p>
    <w:p w14:paraId="54F689F7">
      <w:pPr>
        <w:pStyle w:val="21"/>
        <w:ind w:firstLine="480"/>
        <w:sectPr>
          <w:pgSz w:w="11906" w:h="16838"/>
          <w:pgMar w:top="1440" w:right="1800" w:bottom="1440" w:left="1800" w:header="851" w:footer="992" w:gutter="0"/>
          <w:pgNumType w:fmt="decimal"/>
          <w:cols w:space="425" w:num="1"/>
          <w:docGrid w:type="lines" w:linePitch="312" w:charSpace="0"/>
        </w:sectPr>
      </w:pPr>
    </w:p>
    <w:p w14:paraId="1E882A0A">
      <w:pPr>
        <w:pStyle w:val="25"/>
      </w:pPr>
      <w:bookmarkStart w:id="143" w:name="_Toc14096"/>
      <w:r>
        <w:rPr>
          <w:rFonts w:hint="eastAsia"/>
        </w:rPr>
        <w:t>5环境影响预测与评价</w:t>
      </w:r>
      <w:bookmarkEnd w:id="143"/>
    </w:p>
    <w:p w14:paraId="7CF34FCA">
      <w:pPr>
        <w:pStyle w:val="28"/>
        <w:rPr>
          <w:rFonts w:hint="eastAsia"/>
        </w:rPr>
      </w:pPr>
      <w:bookmarkStart w:id="144" w:name="_Toc11966"/>
      <w:r>
        <w:rPr>
          <w:rFonts w:hint="eastAsia"/>
        </w:rPr>
        <w:t>5.1施工期环境影响评价</w:t>
      </w:r>
      <w:bookmarkEnd w:id="144"/>
    </w:p>
    <w:p w14:paraId="06D9F17E">
      <w:pPr>
        <w:pStyle w:val="21"/>
      </w:pPr>
      <w:r>
        <w:rPr>
          <w:rFonts w:hint="eastAsia"/>
          <w:color w:val="000000" w:themeColor="text1"/>
          <w:szCs w:val="24"/>
          <w14:textFill>
            <w14:solidFill>
              <w14:schemeClr w14:val="tx1"/>
            </w14:solidFill>
          </w14:textFill>
        </w:rPr>
        <w:t>建设周期：项目计划工期202</w:t>
      </w:r>
      <w:r>
        <w:rPr>
          <w:rFonts w:hint="eastAsia"/>
          <w:color w:val="000000" w:themeColor="text1"/>
          <w:szCs w:val="24"/>
          <w:lang w:val="en-US" w:eastAsia="zh-CN"/>
          <w14:textFill>
            <w14:solidFill>
              <w14:schemeClr w14:val="tx1"/>
            </w14:solidFill>
          </w14:textFill>
        </w:rPr>
        <w:t>5</w:t>
      </w:r>
      <w:r>
        <w:rPr>
          <w:rFonts w:hint="eastAsia"/>
          <w:color w:val="000000" w:themeColor="text1"/>
          <w:szCs w:val="24"/>
          <w14:textFill>
            <w14:solidFill>
              <w14:schemeClr w14:val="tx1"/>
            </w14:solidFill>
          </w14:textFill>
        </w:rPr>
        <w:t>年</w:t>
      </w:r>
      <w:r>
        <w:rPr>
          <w:rFonts w:hint="eastAsia"/>
          <w:color w:val="000000" w:themeColor="text1"/>
          <w:szCs w:val="24"/>
          <w:lang w:val="en-US" w:eastAsia="zh-CN"/>
          <w14:textFill>
            <w14:solidFill>
              <w14:schemeClr w14:val="tx1"/>
            </w14:solidFill>
          </w14:textFill>
        </w:rPr>
        <w:t>9</w:t>
      </w:r>
      <w:r>
        <w:rPr>
          <w:rFonts w:hint="eastAsia"/>
          <w:color w:val="000000" w:themeColor="text1"/>
          <w:szCs w:val="24"/>
          <w14:textFill>
            <w14:solidFill>
              <w14:schemeClr w14:val="tx1"/>
            </w14:solidFill>
          </w14:textFill>
        </w:rPr>
        <w:t>月至</w:t>
      </w:r>
      <w:r>
        <w:rPr>
          <w:rFonts w:hint="eastAsia"/>
          <w:color w:val="000000" w:themeColor="text1"/>
          <w:szCs w:val="24"/>
          <w:lang w:val="en-US" w:eastAsia="zh-CN"/>
          <w14:textFill>
            <w14:solidFill>
              <w14:schemeClr w14:val="tx1"/>
            </w14:solidFill>
          </w14:textFill>
        </w:rPr>
        <w:t>10</w:t>
      </w:r>
      <w:r>
        <w:rPr>
          <w:rFonts w:hint="eastAsia"/>
          <w:color w:val="000000" w:themeColor="text1"/>
          <w:szCs w:val="24"/>
          <w14:textFill>
            <w14:solidFill>
              <w14:schemeClr w14:val="tx1"/>
            </w14:solidFill>
          </w14:textFill>
        </w:rPr>
        <w:t>月，工期2个月。施工期施工人员生活办公依托现有项目，施工期间环境影响主要包括，物料运输产生的道路扬尘和车辆尾气、施工安装调试设备产生的噪声、导流沟和配套设施修缮产生的少量建筑垃圾等。</w:t>
      </w:r>
    </w:p>
    <w:p w14:paraId="171BBE9C">
      <w:pPr>
        <w:pStyle w:val="33"/>
      </w:pPr>
      <w:bookmarkStart w:id="145" w:name="_Toc5399"/>
      <w:r>
        <w:rPr>
          <w:rFonts w:hint="eastAsia"/>
        </w:rPr>
        <w:t>5.1.1环境空气影响</w:t>
      </w:r>
      <w:bookmarkEnd w:id="145"/>
    </w:p>
    <w:p w14:paraId="05CF5A18">
      <w:pPr>
        <w:pStyle w:val="21"/>
        <w:ind w:firstLine="480"/>
      </w:pPr>
      <w:r>
        <w:rPr>
          <w:rFonts w:hint="eastAsia"/>
        </w:rPr>
        <w:t>施工过程中，主要大气污染源有施工扬尘、机械设备运行废气及车辆尾气，具体影响分析如下：</w:t>
      </w:r>
    </w:p>
    <w:p w14:paraId="7EBFF1FA">
      <w:pPr>
        <w:pStyle w:val="21"/>
        <w:ind w:firstLine="480"/>
      </w:pPr>
      <w:r>
        <w:rPr>
          <w:rFonts w:hint="eastAsia"/>
        </w:rPr>
        <w:t>（1）地面工程施工扬尘影响分析</w:t>
      </w:r>
    </w:p>
    <w:p w14:paraId="10261166">
      <w:pPr>
        <w:pStyle w:val="21"/>
        <w:ind w:firstLine="480"/>
      </w:pPr>
      <w:r>
        <w:rPr>
          <w:rFonts w:hint="eastAsia"/>
        </w:rPr>
        <w:t>地面工程施工扬尘，主要包括场地清理、土方开挖平整扬尘，工业场地和运输道路建设过程中裸露地表的风蚀扬尘，混凝土搅拌扬尘，建筑材料如水泥、石灰、砂子等散装物装卸扬尘、临时堆放场所的风蚀扬尘，交通运输扬尘。</w:t>
      </w:r>
    </w:p>
    <w:p w14:paraId="1D660C6A">
      <w:pPr>
        <w:pStyle w:val="21"/>
        <w:ind w:firstLine="480"/>
      </w:pPr>
      <w:r>
        <w:rPr>
          <w:rFonts w:hint="eastAsia"/>
        </w:rPr>
        <w:t>施工开挖回填过程中产生的扬尘受风速影响比较大，同时也与土壤含水率有关，施工区域除部分为表层土外，绝大部分为深层土，具有相对较大含水率，加之施工前土体未经扰动，具有一定粒径，属不易飞扬物料，扬尘产生量较小，大部分在施工场地附近降落；砂石料加工及混凝土搅拌过程中产生的粉尘与施工方法和气候条件有关，其影响范围一般在100m内，使用湿法筛分和封闭式拌和等低尘工艺，可有效减轻粉尘污染影响；建筑材料及弃土石方装卸、堆放产生的扬尘受风速影响较大，建筑材料加盖毡布，弃土石方及时清运，则扬尘污染影响较小。根据总平面布置项目各改建工程距离周边最近环境空气敏感距离均在100m以上，距离较远，地面施工扬尘对周边环境空气保护目标影响较小。</w:t>
      </w:r>
    </w:p>
    <w:p w14:paraId="7B0808E9">
      <w:pPr>
        <w:pStyle w:val="21"/>
        <w:ind w:firstLine="480"/>
      </w:pPr>
      <w:r>
        <w:rPr>
          <w:rFonts w:hint="eastAsia"/>
        </w:rPr>
        <w:t>交通运输中产生扬尘主要来自两个方面：一是汽车行驶产生的扬尘，二是装载水泥、土方等多尘物料运输时，汽车在行进中如果防护不当，物料容易散落，导致道路两侧空气中含尘量增加，对运输沿线200m范围的村庄造成一定影响。通过交通车辆减速行驶、车辆加盖苫布等措施，可以有效降低交通运输产生的扬尘影响。</w:t>
      </w:r>
    </w:p>
    <w:p w14:paraId="7E4AD132">
      <w:pPr>
        <w:pStyle w:val="21"/>
        <w:ind w:firstLine="480"/>
      </w:pPr>
      <w:r>
        <w:rPr>
          <w:rFonts w:hint="eastAsia"/>
        </w:rPr>
        <w:t>（2）机械设备运行废气及车辆尾气</w:t>
      </w:r>
    </w:p>
    <w:p w14:paraId="7E6D8650">
      <w:pPr>
        <w:pStyle w:val="21"/>
        <w:ind w:firstLine="480"/>
      </w:pPr>
      <w:r>
        <w:rPr>
          <w:rFonts w:hint="eastAsia"/>
        </w:rPr>
        <w:t>工程施工过程中使用的挖掘机、推土机、运输车辆等运行时将产生燃油废气，其主要污染物为</w:t>
      </w:r>
      <w:r>
        <w:t>SO₂、NO₂、CO、HC等，其产生量与施工机械数量及密度、耗油量、燃料</w:t>
      </w:r>
      <w:r>
        <w:rPr>
          <w:rFonts w:hint="eastAsia"/>
        </w:rPr>
        <w:t>品质及机械设备状况有关。本项目施工机械废气基本以点源形式排放，运输车辆废气沿交通路线沿程排放，由于污染物排放量较小，废气排放不连续性，并且施工区域主要位于农村地区，排放废气中污染物能够很快扩散。因此，施工机械和施工车辆废气排放不会引起局部大气环境质量恶化，排放废气对区域环境空气质量影响很小。</w:t>
      </w:r>
    </w:p>
    <w:p w14:paraId="6F965090">
      <w:pPr>
        <w:pStyle w:val="21"/>
        <w:ind w:firstLine="480"/>
      </w:pPr>
      <w:r>
        <w:rPr>
          <w:rFonts w:hint="eastAsia"/>
        </w:rPr>
        <w:t>总之，只要加强管理、切实落实好这些措施，施工场地扬尘对环境的影响将会大大降低，同时其对环境的影响也将随施工的结束而消失。</w:t>
      </w:r>
    </w:p>
    <w:p w14:paraId="7958CF2C">
      <w:pPr>
        <w:pStyle w:val="33"/>
      </w:pPr>
      <w:bookmarkStart w:id="146" w:name="_Toc11216"/>
      <w:r>
        <w:rPr>
          <w:rFonts w:hint="eastAsia"/>
        </w:rPr>
        <w:t>5.1.2地表水环境影响</w:t>
      </w:r>
      <w:bookmarkEnd w:id="146"/>
    </w:p>
    <w:p w14:paraId="6A9E9A6F">
      <w:pPr>
        <w:pStyle w:val="21"/>
        <w:ind w:firstLine="48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施工期的水环境影响主要包括运输车辆、施工设备清洗废水。</w:t>
      </w:r>
    </w:p>
    <w:p w14:paraId="59F4BD18">
      <w:pPr>
        <w:pStyle w:val="21"/>
        <w:ind w:firstLine="48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1）施工废水：施工期施工废水主要包括运输车辆、施工设备清洗废水，夹带泥沙、杂物等，主要污染物为SS、石油类。类比典型施工综合废水水质中的SS浓度为2000mg/L，石油类浓度约为30mg/L，施工废水经隔油沉淀处理后用于施工场地抑尘，不外排。</w:t>
      </w:r>
    </w:p>
    <w:p w14:paraId="70BDC32B">
      <w:pPr>
        <w:pStyle w:val="21"/>
        <w:ind w:firstLine="480"/>
      </w:pPr>
      <w:r>
        <w:rPr>
          <w:rFonts w:hint="eastAsia"/>
          <w:color w:val="000000" w:themeColor="text1"/>
          <w:szCs w:val="24"/>
          <w14:textFill>
            <w14:solidFill>
              <w14:schemeClr w14:val="tx1"/>
            </w14:solidFill>
          </w14:textFill>
        </w:rPr>
        <w:t>（2）生活污水：项目施工高峰期人员达15人，每天生活用水量以50L/人计，排污系数取0.8，则生活污水的排放量为0.6m</w:t>
      </w:r>
      <w:r>
        <w:rPr>
          <w:rFonts w:hint="eastAsia"/>
          <w:color w:val="000000" w:themeColor="text1"/>
          <w:szCs w:val="24"/>
          <w:vertAlign w:val="superscript"/>
          <w:lang w:val="en-US" w:eastAsia="zh-CN"/>
          <w14:textFill>
            <w14:solidFill>
              <w14:schemeClr w14:val="tx1"/>
            </w14:solidFill>
          </w14:textFill>
        </w:rPr>
        <w:t>3</w:t>
      </w:r>
      <w:r>
        <w:rPr>
          <w:rFonts w:hint="eastAsia"/>
          <w:color w:val="000000" w:themeColor="text1"/>
          <w:szCs w:val="24"/>
          <w14:textFill>
            <w14:solidFill>
              <w14:schemeClr w14:val="tx1"/>
            </w14:solidFill>
          </w14:textFill>
        </w:rPr>
        <w:t>/d，参考《建筑给排水设计规范》，主要污染物浓度值为COD：400mg/L、SS：220mg/L、氨氮：35mg/L、BOD5：200mg/L；经“化粪池”处理后各污染物浓度为 COD：200mg/L、SS：100mg/L、BOD</w:t>
      </w:r>
      <w:r>
        <w:rPr>
          <w:rFonts w:hint="eastAsia"/>
          <w:color w:val="000000" w:themeColor="text1"/>
          <w:szCs w:val="24"/>
          <w:vertAlign w:val="subscript"/>
          <w14:textFill>
            <w14:solidFill>
              <w14:schemeClr w14:val="tx1"/>
            </w14:solidFill>
          </w14:textFill>
        </w:rPr>
        <w:t>5</w:t>
      </w:r>
      <w:r>
        <w:rPr>
          <w:rFonts w:hint="eastAsia"/>
          <w:color w:val="000000" w:themeColor="text1"/>
          <w:szCs w:val="24"/>
          <w14:textFill>
            <w14:solidFill>
              <w14:schemeClr w14:val="tx1"/>
            </w14:solidFill>
          </w14:textFill>
        </w:rPr>
        <w:t>：100mg/L。施工期生活污水处理后用于农田施肥，对项目区域水体水质影响较小。</w:t>
      </w:r>
    </w:p>
    <w:p w14:paraId="2D3BE159">
      <w:pPr>
        <w:pStyle w:val="33"/>
      </w:pPr>
      <w:bookmarkStart w:id="147" w:name="_Toc13446"/>
      <w:r>
        <w:rPr>
          <w:rFonts w:hint="eastAsia"/>
        </w:rPr>
        <w:t>5.1.3声环境影响</w:t>
      </w:r>
      <w:bookmarkEnd w:id="147"/>
    </w:p>
    <w:p w14:paraId="6ECEA474">
      <w:pPr>
        <w:pStyle w:val="21"/>
        <w:ind w:firstLine="480"/>
      </w:pPr>
      <w:r>
        <w:rPr>
          <w:rFonts w:hint="eastAsia"/>
        </w:rPr>
        <w:t>施工期噪声主要来源于施工机械设备（如各种挖掘机、电锯等），属于临时性的噪声；施工期各种噪声源多为点源，按点源衰减规律计算施工机械噪声的距离衰减值，其公式为：</w:t>
      </w:r>
    </w:p>
    <w:p w14:paraId="0887EBEE">
      <w:pPr>
        <w:pStyle w:val="21"/>
        <w:ind w:firstLine="480"/>
        <w:jc w:val="center"/>
      </w:pPr>
      <w:r>
        <w:rPr>
          <w:rFonts w:hint="eastAsia"/>
        </w:rPr>
        <w:t>L=L</w:t>
      </w:r>
      <w:r>
        <w:rPr>
          <w:rFonts w:hint="eastAsia"/>
          <w:vertAlign w:val="subscript"/>
        </w:rPr>
        <w:t>0</w:t>
      </w:r>
      <w:r>
        <w:rPr>
          <w:rFonts w:hint="eastAsia"/>
        </w:rPr>
        <w:t>－20Lg（r/r</w:t>
      </w:r>
      <w:r>
        <w:rPr>
          <w:rFonts w:hint="eastAsia"/>
          <w:vertAlign w:val="subscript"/>
        </w:rPr>
        <w:t>0</w:t>
      </w:r>
      <w:r>
        <w:rPr>
          <w:rFonts w:hint="eastAsia"/>
        </w:rPr>
        <w:t>）－△L</w:t>
      </w:r>
    </w:p>
    <w:p w14:paraId="6172D19D">
      <w:pPr>
        <w:pStyle w:val="21"/>
        <w:ind w:firstLine="480"/>
      </w:pPr>
      <w:r>
        <w:rPr>
          <w:rFonts w:hint="eastAsia"/>
        </w:rPr>
        <w:t>式中：L—距离声源r米处的声级值，dB（A）；</w:t>
      </w:r>
    </w:p>
    <w:p w14:paraId="0CE0712B">
      <w:pPr>
        <w:pStyle w:val="21"/>
        <w:ind w:firstLine="480"/>
      </w:pPr>
      <w:r>
        <w:rPr>
          <w:rFonts w:hint="eastAsia"/>
        </w:rPr>
        <w:t>L</w:t>
      </w:r>
      <w:r>
        <w:rPr>
          <w:rFonts w:hint="eastAsia"/>
          <w:vertAlign w:val="subscript"/>
        </w:rPr>
        <w:t>0</w:t>
      </w:r>
      <w:r>
        <w:rPr>
          <w:rFonts w:hint="eastAsia"/>
        </w:rPr>
        <w:t>—距离声源r</w:t>
      </w:r>
      <w:r>
        <w:rPr>
          <w:rFonts w:hint="eastAsia"/>
          <w:vertAlign w:val="subscript"/>
        </w:rPr>
        <w:t>0</w:t>
      </w:r>
      <w:r>
        <w:rPr>
          <w:rFonts w:hint="eastAsia"/>
        </w:rPr>
        <w:t>米处的声级值，dB（A）；</w:t>
      </w:r>
    </w:p>
    <w:p w14:paraId="19623F23">
      <w:pPr>
        <w:pStyle w:val="21"/>
        <w:ind w:firstLine="480"/>
      </w:pPr>
      <w:r>
        <w:rPr>
          <w:rFonts w:hint="eastAsia"/>
        </w:rPr>
        <w:t>r—衰减距离，m；</w:t>
      </w:r>
    </w:p>
    <w:p w14:paraId="691CE440">
      <w:pPr>
        <w:pStyle w:val="21"/>
        <w:ind w:firstLine="480"/>
      </w:pPr>
      <w:r>
        <w:rPr>
          <w:rFonts w:hint="eastAsia"/>
        </w:rPr>
        <w:t>r</w:t>
      </w:r>
      <w:r>
        <w:rPr>
          <w:rFonts w:hint="eastAsia"/>
          <w:vertAlign w:val="subscript"/>
        </w:rPr>
        <w:t>0</w:t>
      </w:r>
      <w:r>
        <w:rPr>
          <w:rFonts w:hint="eastAsia"/>
        </w:rPr>
        <w:t>—距声源的初始距离，这里取</w:t>
      </w:r>
      <w:r>
        <w:t>5</w:t>
      </w:r>
      <w:r>
        <w:rPr>
          <w:rFonts w:hint="eastAsia"/>
        </w:rPr>
        <w:t>米。</w:t>
      </w:r>
    </w:p>
    <w:p w14:paraId="146D507B">
      <w:pPr>
        <w:pStyle w:val="21"/>
        <w:ind w:firstLine="480"/>
      </w:pPr>
      <w:r>
        <w:rPr>
          <w:rFonts w:hint="eastAsia"/>
        </w:rPr>
        <w:t>△L—为其它衰减作用减噪声级dB（A）</w:t>
      </w:r>
    </w:p>
    <w:p w14:paraId="1279229D">
      <w:pPr>
        <w:pStyle w:val="21"/>
        <w:ind w:firstLine="480"/>
      </w:pPr>
      <w:r>
        <w:rPr>
          <w:rFonts w:hint="eastAsia"/>
        </w:rPr>
        <w:t>施工期的噪声预测结果见下表。</w:t>
      </w:r>
    </w:p>
    <w:p w14:paraId="3B3D212B">
      <w:pPr>
        <w:pStyle w:val="23"/>
      </w:pPr>
      <w:r>
        <w:rPr>
          <w:rFonts w:hint="eastAsia"/>
        </w:rPr>
        <w:t>表5.1-1  施工期主要设备产生的噪声预测  单位：dB（A）</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3"/>
        <w:gridCol w:w="919"/>
        <w:gridCol w:w="917"/>
        <w:gridCol w:w="917"/>
        <w:gridCol w:w="1145"/>
        <w:gridCol w:w="1070"/>
        <w:gridCol w:w="1071"/>
      </w:tblGrid>
      <w:tr w14:paraId="5E950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vMerge w:val="restart"/>
            <w:tcBorders>
              <w:top w:val="single" w:color="auto" w:sz="4" w:space="0"/>
              <w:left w:val="single" w:color="auto" w:sz="4" w:space="0"/>
              <w:right w:val="single" w:color="auto" w:sz="4" w:space="0"/>
            </w:tcBorders>
            <w:vAlign w:val="center"/>
          </w:tcPr>
          <w:p w14:paraId="18D4150C">
            <w:pPr>
              <w:pStyle w:val="31"/>
            </w:pPr>
            <w:r>
              <w:rPr>
                <w:rFonts w:hint="eastAsia"/>
              </w:rPr>
              <w:t>施工机械/运输车辆</w:t>
            </w:r>
          </w:p>
        </w:tc>
        <w:tc>
          <w:tcPr>
            <w:tcW w:w="2287" w:type="pct"/>
            <w:gridSpan w:val="4"/>
            <w:tcBorders>
              <w:top w:val="single" w:color="auto" w:sz="4" w:space="0"/>
              <w:left w:val="single" w:color="auto" w:sz="4" w:space="0"/>
              <w:bottom w:val="single" w:color="auto" w:sz="4" w:space="0"/>
              <w:right w:val="single" w:color="auto" w:sz="4" w:space="0"/>
            </w:tcBorders>
            <w:vAlign w:val="center"/>
          </w:tcPr>
          <w:p w14:paraId="1B382269">
            <w:pPr>
              <w:pStyle w:val="31"/>
            </w:pPr>
            <w:r>
              <w:rPr>
                <w:rFonts w:hint="eastAsia"/>
              </w:rPr>
              <w:t>距离机械x米处声压级</w:t>
            </w:r>
          </w:p>
        </w:tc>
        <w:tc>
          <w:tcPr>
            <w:tcW w:w="1256" w:type="pct"/>
            <w:gridSpan w:val="2"/>
            <w:tcBorders>
              <w:top w:val="single" w:color="auto" w:sz="4" w:space="0"/>
              <w:left w:val="single" w:color="auto" w:sz="4" w:space="0"/>
              <w:bottom w:val="single" w:color="auto" w:sz="4" w:space="0"/>
              <w:right w:val="single" w:color="auto" w:sz="4" w:space="0"/>
            </w:tcBorders>
            <w:vAlign w:val="center"/>
          </w:tcPr>
          <w:p w14:paraId="538CE0B3">
            <w:pPr>
              <w:pStyle w:val="31"/>
            </w:pPr>
            <w:r>
              <w:rPr>
                <w:rFonts w:hint="eastAsia"/>
              </w:rPr>
              <w:t>噪声限值</w:t>
            </w:r>
          </w:p>
        </w:tc>
      </w:tr>
      <w:tr w14:paraId="7E1A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vMerge w:val="continue"/>
            <w:tcBorders>
              <w:left w:val="single" w:color="auto" w:sz="4" w:space="0"/>
              <w:bottom w:val="single" w:color="auto" w:sz="4" w:space="0"/>
              <w:right w:val="single" w:color="auto" w:sz="4" w:space="0"/>
            </w:tcBorders>
            <w:vAlign w:val="center"/>
          </w:tcPr>
          <w:p w14:paraId="1591A40A">
            <w:pPr>
              <w:pStyle w:val="31"/>
            </w:pPr>
          </w:p>
        </w:tc>
        <w:tc>
          <w:tcPr>
            <w:tcW w:w="539" w:type="pct"/>
            <w:tcBorders>
              <w:top w:val="single" w:color="auto" w:sz="4" w:space="0"/>
              <w:left w:val="single" w:color="auto" w:sz="4" w:space="0"/>
              <w:bottom w:val="single" w:color="auto" w:sz="4" w:space="0"/>
              <w:right w:val="single" w:color="auto" w:sz="4" w:space="0"/>
            </w:tcBorders>
            <w:vAlign w:val="center"/>
          </w:tcPr>
          <w:p w14:paraId="0F4EE229">
            <w:pPr>
              <w:pStyle w:val="31"/>
            </w:pPr>
            <w:r>
              <w:t>5</w:t>
            </w:r>
          </w:p>
        </w:tc>
        <w:tc>
          <w:tcPr>
            <w:tcW w:w="538" w:type="pct"/>
            <w:tcBorders>
              <w:top w:val="single" w:color="auto" w:sz="4" w:space="0"/>
              <w:left w:val="single" w:color="auto" w:sz="4" w:space="0"/>
              <w:bottom w:val="single" w:color="auto" w:sz="4" w:space="0"/>
              <w:right w:val="single" w:color="auto" w:sz="4" w:space="0"/>
            </w:tcBorders>
            <w:vAlign w:val="center"/>
          </w:tcPr>
          <w:p w14:paraId="0A1F894D">
            <w:pPr>
              <w:pStyle w:val="31"/>
            </w:pPr>
            <w:r>
              <w:t>2</w:t>
            </w:r>
            <w:r>
              <w:rPr>
                <w:rFonts w:hint="eastAsia"/>
              </w:rPr>
              <w:t>0</w:t>
            </w:r>
          </w:p>
        </w:tc>
        <w:tc>
          <w:tcPr>
            <w:tcW w:w="538" w:type="pct"/>
            <w:tcBorders>
              <w:top w:val="single" w:color="auto" w:sz="4" w:space="0"/>
              <w:left w:val="single" w:color="auto" w:sz="4" w:space="0"/>
              <w:bottom w:val="single" w:color="auto" w:sz="4" w:space="0"/>
              <w:right w:val="single" w:color="auto" w:sz="4" w:space="0"/>
            </w:tcBorders>
            <w:vAlign w:val="center"/>
          </w:tcPr>
          <w:p w14:paraId="1EDDE064">
            <w:pPr>
              <w:pStyle w:val="31"/>
            </w:pPr>
            <w:r>
              <w:t>5</w:t>
            </w:r>
            <w:r>
              <w:rPr>
                <w:rFonts w:hint="eastAsia"/>
              </w:rPr>
              <w:t>0</w:t>
            </w:r>
          </w:p>
        </w:tc>
        <w:tc>
          <w:tcPr>
            <w:tcW w:w="672" w:type="pct"/>
            <w:tcBorders>
              <w:top w:val="single" w:color="auto" w:sz="4" w:space="0"/>
              <w:left w:val="single" w:color="auto" w:sz="4" w:space="0"/>
              <w:bottom w:val="single" w:color="auto" w:sz="4" w:space="0"/>
              <w:right w:val="single" w:color="auto" w:sz="4" w:space="0"/>
            </w:tcBorders>
            <w:vAlign w:val="center"/>
          </w:tcPr>
          <w:p w14:paraId="40F61859">
            <w:pPr>
              <w:pStyle w:val="31"/>
            </w:pPr>
            <w:r>
              <w:rPr>
                <w:rFonts w:hint="eastAsia"/>
              </w:rPr>
              <w:t>1</w:t>
            </w:r>
            <w:r>
              <w:t>00</w:t>
            </w:r>
          </w:p>
        </w:tc>
        <w:tc>
          <w:tcPr>
            <w:tcW w:w="628" w:type="pct"/>
            <w:tcBorders>
              <w:top w:val="single" w:color="auto" w:sz="4" w:space="0"/>
              <w:left w:val="single" w:color="auto" w:sz="4" w:space="0"/>
              <w:bottom w:val="single" w:color="auto" w:sz="4" w:space="0"/>
              <w:right w:val="single" w:color="auto" w:sz="4" w:space="0"/>
            </w:tcBorders>
            <w:vAlign w:val="center"/>
          </w:tcPr>
          <w:p w14:paraId="3C10D4C4">
            <w:pPr>
              <w:pStyle w:val="31"/>
            </w:pPr>
            <w:r>
              <w:rPr>
                <w:rFonts w:hint="eastAsia"/>
              </w:rPr>
              <w:t>昼间</w:t>
            </w:r>
          </w:p>
        </w:tc>
        <w:tc>
          <w:tcPr>
            <w:tcW w:w="628" w:type="pct"/>
            <w:tcBorders>
              <w:top w:val="single" w:color="auto" w:sz="4" w:space="0"/>
              <w:left w:val="single" w:color="auto" w:sz="4" w:space="0"/>
              <w:bottom w:val="single" w:color="auto" w:sz="4" w:space="0"/>
              <w:right w:val="single" w:color="auto" w:sz="4" w:space="0"/>
            </w:tcBorders>
            <w:vAlign w:val="center"/>
          </w:tcPr>
          <w:p w14:paraId="6CBF3326">
            <w:pPr>
              <w:pStyle w:val="31"/>
            </w:pPr>
            <w:r>
              <w:rPr>
                <w:rFonts w:hint="eastAsia"/>
              </w:rPr>
              <w:t>夜间</w:t>
            </w:r>
          </w:p>
        </w:tc>
      </w:tr>
      <w:tr w14:paraId="52E3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tcBorders>
              <w:top w:val="single" w:color="auto" w:sz="4" w:space="0"/>
              <w:left w:val="single" w:color="auto" w:sz="4" w:space="0"/>
              <w:bottom w:val="single" w:color="auto" w:sz="4" w:space="0"/>
              <w:right w:val="single" w:color="auto" w:sz="4" w:space="0"/>
            </w:tcBorders>
            <w:vAlign w:val="center"/>
          </w:tcPr>
          <w:p w14:paraId="4DF30018">
            <w:pPr>
              <w:pStyle w:val="31"/>
            </w:pPr>
            <w:r>
              <w:rPr>
                <w:kern w:val="0"/>
              </w:rPr>
              <w:t>电钻</w:t>
            </w:r>
          </w:p>
        </w:tc>
        <w:tc>
          <w:tcPr>
            <w:tcW w:w="539" w:type="pct"/>
            <w:tcBorders>
              <w:top w:val="single" w:color="auto" w:sz="4" w:space="0"/>
              <w:left w:val="single" w:color="auto" w:sz="4" w:space="0"/>
              <w:bottom w:val="single" w:color="auto" w:sz="4" w:space="0"/>
              <w:right w:val="single" w:color="auto" w:sz="4" w:space="0"/>
            </w:tcBorders>
            <w:vAlign w:val="center"/>
          </w:tcPr>
          <w:p w14:paraId="7E5769DD">
            <w:pPr>
              <w:pStyle w:val="31"/>
            </w:pPr>
            <w:r>
              <w:rPr>
                <w:rFonts w:hint="eastAsia"/>
              </w:rPr>
              <w:t>91</w:t>
            </w:r>
          </w:p>
        </w:tc>
        <w:tc>
          <w:tcPr>
            <w:tcW w:w="538" w:type="pct"/>
            <w:tcBorders>
              <w:top w:val="single" w:color="auto" w:sz="4" w:space="0"/>
              <w:left w:val="single" w:color="auto" w:sz="4" w:space="0"/>
              <w:bottom w:val="single" w:color="auto" w:sz="4" w:space="0"/>
              <w:right w:val="single" w:color="auto" w:sz="4" w:space="0"/>
            </w:tcBorders>
            <w:vAlign w:val="center"/>
          </w:tcPr>
          <w:p w14:paraId="7A85389F">
            <w:pPr>
              <w:pStyle w:val="31"/>
            </w:pPr>
            <w:r>
              <w:rPr>
                <w:rFonts w:hint="eastAsia"/>
              </w:rPr>
              <w:t>79</w:t>
            </w:r>
          </w:p>
        </w:tc>
        <w:tc>
          <w:tcPr>
            <w:tcW w:w="538" w:type="pct"/>
            <w:tcBorders>
              <w:top w:val="single" w:color="auto" w:sz="4" w:space="0"/>
              <w:left w:val="single" w:color="auto" w:sz="4" w:space="0"/>
              <w:bottom w:val="single" w:color="auto" w:sz="4" w:space="0"/>
              <w:right w:val="single" w:color="auto" w:sz="4" w:space="0"/>
            </w:tcBorders>
            <w:vAlign w:val="center"/>
          </w:tcPr>
          <w:p w14:paraId="63DA16FB">
            <w:pPr>
              <w:pStyle w:val="31"/>
            </w:pPr>
            <w:r>
              <w:rPr>
                <w:rFonts w:hint="eastAsia"/>
              </w:rPr>
              <w:t>71</w:t>
            </w:r>
          </w:p>
        </w:tc>
        <w:tc>
          <w:tcPr>
            <w:tcW w:w="672" w:type="pct"/>
            <w:tcBorders>
              <w:top w:val="single" w:color="auto" w:sz="4" w:space="0"/>
              <w:left w:val="single" w:color="auto" w:sz="4" w:space="0"/>
              <w:bottom w:val="single" w:color="auto" w:sz="4" w:space="0"/>
              <w:right w:val="single" w:color="auto" w:sz="4" w:space="0"/>
            </w:tcBorders>
            <w:vAlign w:val="center"/>
          </w:tcPr>
          <w:p w14:paraId="40B098B0">
            <w:pPr>
              <w:pStyle w:val="31"/>
            </w:pPr>
            <w:r>
              <w:rPr>
                <w:rFonts w:hint="eastAsia"/>
              </w:rPr>
              <w:t>65</w:t>
            </w:r>
          </w:p>
        </w:tc>
        <w:tc>
          <w:tcPr>
            <w:tcW w:w="628" w:type="pct"/>
            <w:vMerge w:val="restart"/>
            <w:tcBorders>
              <w:top w:val="single" w:color="auto" w:sz="4" w:space="0"/>
              <w:left w:val="single" w:color="auto" w:sz="4" w:space="0"/>
              <w:right w:val="single" w:color="auto" w:sz="4" w:space="0"/>
            </w:tcBorders>
            <w:vAlign w:val="center"/>
          </w:tcPr>
          <w:p w14:paraId="51DE7B4B">
            <w:pPr>
              <w:pStyle w:val="31"/>
            </w:pPr>
            <w:r>
              <w:rPr>
                <w:rFonts w:hint="eastAsia"/>
              </w:rPr>
              <w:t>7</w:t>
            </w:r>
            <w:r>
              <w:t>0</w:t>
            </w:r>
          </w:p>
        </w:tc>
        <w:tc>
          <w:tcPr>
            <w:tcW w:w="628" w:type="pct"/>
            <w:vMerge w:val="restart"/>
            <w:tcBorders>
              <w:top w:val="single" w:color="auto" w:sz="4" w:space="0"/>
              <w:left w:val="single" w:color="auto" w:sz="4" w:space="0"/>
              <w:right w:val="single" w:color="auto" w:sz="4" w:space="0"/>
            </w:tcBorders>
            <w:vAlign w:val="center"/>
          </w:tcPr>
          <w:p w14:paraId="5F2CC08A">
            <w:pPr>
              <w:pStyle w:val="31"/>
            </w:pPr>
            <w:r>
              <w:rPr>
                <w:rFonts w:hint="eastAsia"/>
              </w:rPr>
              <w:t>55</w:t>
            </w:r>
          </w:p>
        </w:tc>
      </w:tr>
      <w:tr w14:paraId="694D8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tcBorders>
              <w:top w:val="single" w:color="auto" w:sz="4" w:space="0"/>
              <w:left w:val="single" w:color="auto" w:sz="4" w:space="0"/>
              <w:bottom w:val="single" w:color="auto" w:sz="4" w:space="0"/>
              <w:right w:val="single" w:color="auto" w:sz="4" w:space="0"/>
            </w:tcBorders>
            <w:vAlign w:val="center"/>
          </w:tcPr>
          <w:p w14:paraId="7649B63C">
            <w:pPr>
              <w:pStyle w:val="31"/>
            </w:pPr>
            <w:r>
              <w:rPr>
                <w:kern w:val="0"/>
              </w:rPr>
              <w:t>无齿锯</w:t>
            </w:r>
          </w:p>
        </w:tc>
        <w:tc>
          <w:tcPr>
            <w:tcW w:w="539" w:type="pct"/>
            <w:tcBorders>
              <w:top w:val="single" w:color="auto" w:sz="4" w:space="0"/>
              <w:left w:val="single" w:color="auto" w:sz="4" w:space="0"/>
              <w:bottom w:val="single" w:color="auto" w:sz="4" w:space="0"/>
              <w:right w:val="single" w:color="auto" w:sz="4" w:space="0"/>
            </w:tcBorders>
            <w:vAlign w:val="center"/>
          </w:tcPr>
          <w:p w14:paraId="04E11B07">
            <w:pPr>
              <w:pStyle w:val="31"/>
            </w:pPr>
            <w:r>
              <w:rPr>
                <w:rFonts w:hint="eastAsia"/>
              </w:rPr>
              <w:t>91</w:t>
            </w:r>
          </w:p>
        </w:tc>
        <w:tc>
          <w:tcPr>
            <w:tcW w:w="538" w:type="pct"/>
            <w:tcBorders>
              <w:top w:val="single" w:color="auto" w:sz="4" w:space="0"/>
              <w:left w:val="single" w:color="auto" w:sz="4" w:space="0"/>
              <w:bottom w:val="single" w:color="auto" w:sz="4" w:space="0"/>
              <w:right w:val="single" w:color="auto" w:sz="4" w:space="0"/>
            </w:tcBorders>
            <w:vAlign w:val="center"/>
          </w:tcPr>
          <w:p w14:paraId="4AD69F81">
            <w:pPr>
              <w:pStyle w:val="31"/>
            </w:pPr>
            <w:r>
              <w:rPr>
                <w:rFonts w:hint="eastAsia"/>
              </w:rPr>
              <w:t>79</w:t>
            </w:r>
          </w:p>
        </w:tc>
        <w:tc>
          <w:tcPr>
            <w:tcW w:w="538" w:type="pct"/>
            <w:tcBorders>
              <w:top w:val="single" w:color="auto" w:sz="4" w:space="0"/>
              <w:left w:val="single" w:color="auto" w:sz="4" w:space="0"/>
              <w:bottom w:val="single" w:color="auto" w:sz="4" w:space="0"/>
              <w:right w:val="single" w:color="auto" w:sz="4" w:space="0"/>
            </w:tcBorders>
            <w:vAlign w:val="center"/>
          </w:tcPr>
          <w:p w14:paraId="26B1E80A">
            <w:pPr>
              <w:pStyle w:val="31"/>
            </w:pPr>
            <w:r>
              <w:rPr>
                <w:rFonts w:hint="eastAsia"/>
              </w:rPr>
              <w:t>71</w:t>
            </w:r>
          </w:p>
        </w:tc>
        <w:tc>
          <w:tcPr>
            <w:tcW w:w="672" w:type="pct"/>
            <w:tcBorders>
              <w:top w:val="single" w:color="auto" w:sz="4" w:space="0"/>
              <w:left w:val="single" w:color="auto" w:sz="4" w:space="0"/>
              <w:bottom w:val="single" w:color="auto" w:sz="4" w:space="0"/>
              <w:right w:val="single" w:color="auto" w:sz="4" w:space="0"/>
            </w:tcBorders>
            <w:vAlign w:val="center"/>
          </w:tcPr>
          <w:p w14:paraId="121F88C0">
            <w:pPr>
              <w:pStyle w:val="31"/>
            </w:pPr>
            <w:r>
              <w:rPr>
                <w:rFonts w:hint="eastAsia"/>
              </w:rPr>
              <w:t>65</w:t>
            </w:r>
          </w:p>
        </w:tc>
        <w:tc>
          <w:tcPr>
            <w:tcW w:w="628" w:type="pct"/>
            <w:vMerge w:val="continue"/>
            <w:tcBorders>
              <w:left w:val="single" w:color="auto" w:sz="4" w:space="0"/>
              <w:right w:val="single" w:color="auto" w:sz="4" w:space="0"/>
            </w:tcBorders>
            <w:vAlign w:val="center"/>
          </w:tcPr>
          <w:p w14:paraId="5ECDDB4E">
            <w:pPr>
              <w:pStyle w:val="31"/>
            </w:pPr>
          </w:p>
        </w:tc>
        <w:tc>
          <w:tcPr>
            <w:tcW w:w="628" w:type="pct"/>
            <w:vMerge w:val="continue"/>
            <w:tcBorders>
              <w:left w:val="single" w:color="auto" w:sz="4" w:space="0"/>
              <w:right w:val="single" w:color="auto" w:sz="4" w:space="0"/>
            </w:tcBorders>
            <w:vAlign w:val="center"/>
          </w:tcPr>
          <w:p w14:paraId="1A6329F6">
            <w:pPr>
              <w:pStyle w:val="31"/>
            </w:pPr>
          </w:p>
        </w:tc>
      </w:tr>
      <w:tr w14:paraId="31BCA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tcBorders>
              <w:top w:val="single" w:color="auto" w:sz="4" w:space="0"/>
              <w:left w:val="single" w:color="auto" w:sz="4" w:space="0"/>
              <w:bottom w:val="single" w:color="auto" w:sz="4" w:space="0"/>
              <w:right w:val="single" w:color="auto" w:sz="4" w:space="0"/>
            </w:tcBorders>
            <w:vAlign w:val="center"/>
          </w:tcPr>
          <w:p w14:paraId="5E6931B6">
            <w:pPr>
              <w:pStyle w:val="31"/>
            </w:pPr>
            <w:r>
              <w:t>挖掘机</w:t>
            </w:r>
          </w:p>
        </w:tc>
        <w:tc>
          <w:tcPr>
            <w:tcW w:w="539" w:type="pct"/>
            <w:tcBorders>
              <w:top w:val="single" w:color="auto" w:sz="4" w:space="0"/>
              <w:left w:val="single" w:color="auto" w:sz="4" w:space="0"/>
              <w:bottom w:val="single" w:color="auto" w:sz="4" w:space="0"/>
              <w:right w:val="single" w:color="auto" w:sz="4" w:space="0"/>
            </w:tcBorders>
            <w:vAlign w:val="center"/>
          </w:tcPr>
          <w:p w14:paraId="04A50EE7">
            <w:pPr>
              <w:pStyle w:val="31"/>
            </w:pPr>
            <w:r>
              <w:rPr>
                <w:rFonts w:hint="eastAsia"/>
              </w:rPr>
              <w:t>96</w:t>
            </w:r>
          </w:p>
        </w:tc>
        <w:tc>
          <w:tcPr>
            <w:tcW w:w="538" w:type="pct"/>
            <w:tcBorders>
              <w:top w:val="single" w:color="auto" w:sz="4" w:space="0"/>
              <w:left w:val="single" w:color="auto" w:sz="4" w:space="0"/>
              <w:bottom w:val="single" w:color="auto" w:sz="4" w:space="0"/>
              <w:right w:val="single" w:color="auto" w:sz="4" w:space="0"/>
            </w:tcBorders>
            <w:vAlign w:val="center"/>
          </w:tcPr>
          <w:p w14:paraId="4B396A17">
            <w:pPr>
              <w:pStyle w:val="31"/>
            </w:pPr>
            <w:r>
              <w:rPr>
                <w:rFonts w:hint="eastAsia"/>
              </w:rPr>
              <w:t>84</w:t>
            </w:r>
          </w:p>
        </w:tc>
        <w:tc>
          <w:tcPr>
            <w:tcW w:w="538" w:type="pct"/>
            <w:tcBorders>
              <w:top w:val="single" w:color="auto" w:sz="4" w:space="0"/>
              <w:left w:val="single" w:color="auto" w:sz="4" w:space="0"/>
              <w:bottom w:val="single" w:color="auto" w:sz="4" w:space="0"/>
              <w:right w:val="single" w:color="auto" w:sz="4" w:space="0"/>
            </w:tcBorders>
            <w:vAlign w:val="center"/>
          </w:tcPr>
          <w:p w14:paraId="74A7DAB4">
            <w:pPr>
              <w:pStyle w:val="31"/>
            </w:pPr>
            <w:r>
              <w:rPr>
                <w:rFonts w:hint="eastAsia"/>
              </w:rPr>
              <w:t>76</w:t>
            </w:r>
          </w:p>
        </w:tc>
        <w:tc>
          <w:tcPr>
            <w:tcW w:w="672" w:type="pct"/>
            <w:tcBorders>
              <w:top w:val="single" w:color="auto" w:sz="4" w:space="0"/>
              <w:left w:val="single" w:color="auto" w:sz="4" w:space="0"/>
              <w:bottom w:val="single" w:color="auto" w:sz="4" w:space="0"/>
              <w:right w:val="single" w:color="auto" w:sz="4" w:space="0"/>
            </w:tcBorders>
            <w:vAlign w:val="center"/>
          </w:tcPr>
          <w:p w14:paraId="667E303D">
            <w:pPr>
              <w:pStyle w:val="31"/>
            </w:pPr>
            <w:r>
              <w:rPr>
                <w:rFonts w:hint="eastAsia"/>
              </w:rPr>
              <w:t>70</w:t>
            </w:r>
          </w:p>
        </w:tc>
        <w:tc>
          <w:tcPr>
            <w:tcW w:w="628" w:type="pct"/>
            <w:vMerge w:val="continue"/>
            <w:tcBorders>
              <w:left w:val="single" w:color="auto" w:sz="4" w:space="0"/>
              <w:right w:val="single" w:color="auto" w:sz="4" w:space="0"/>
            </w:tcBorders>
            <w:vAlign w:val="center"/>
          </w:tcPr>
          <w:p w14:paraId="120D6FF3">
            <w:pPr>
              <w:pStyle w:val="31"/>
            </w:pPr>
          </w:p>
        </w:tc>
        <w:tc>
          <w:tcPr>
            <w:tcW w:w="628" w:type="pct"/>
            <w:vMerge w:val="continue"/>
            <w:tcBorders>
              <w:left w:val="single" w:color="auto" w:sz="4" w:space="0"/>
              <w:right w:val="single" w:color="auto" w:sz="4" w:space="0"/>
            </w:tcBorders>
            <w:vAlign w:val="center"/>
          </w:tcPr>
          <w:p w14:paraId="288C8450">
            <w:pPr>
              <w:pStyle w:val="31"/>
            </w:pPr>
          </w:p>
        </w:tc>
      </w:tr>
      <w:tr w14:paraId="2B534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tcBorders>
              <w:top w:val="single" w:color="auto" w:sz="4" w:space="0"/>
              <w:left w:val="single" w:color="auto" w:sz="4" w:space="0"/>
              <w:bottom w:val="single" w:color="auto" w:sz="4" w:space="0"/>
              <w:right w:val="single" w:color="auto" w:sz="4" w:space="0"/>
            </w:tcBorders>
            <w:vAlign w:val="center"/>
          </w:tcPr>
          <w:p w14:paraId="2E2086E0">
            <w:pPr>
              <w:pStyle w:val="31"/>
            </w:pPr>
            <w:r>
              <w:rPr>
                <w:kern w:val="0"/>
              </w:rPr>
              <w:t>大型载重车</w:t>
            </w:r>
          </w:p>
        </w:tc>
        <w:tc>
          <w:tcPr>
            <w:tcW w:w="539" w:type="pct"/>
            <w:tcBorders>
              <w:top w:val="single" w:color="auto" w:sz="4" w:space="0"/>
              <w:left w:val="single" w:color="auto" w:sz="4" w:space="0"/>
              <w:bottom w:val="single" w:color="auto" w:sz="4" w:space="0"/>
              <w:right w:val="single" w:color="auto" w:sz="4" w:space="0"/>
            </w:tcBorders>
            <w:vAlign w:val="center"/>
          </w:tcPr>
          <w:p w14:paraId="30E2FC4B">
            <w:pPr>
              <w:pStyle w:val="31"/>
            </w:pPr>
            <w:r>
              <w:rPr>
                <w:rFonts w:hint="eastAsia"/>
              </w:rPr>
              <w:t>75</w:t>
            </w:r>
          </w:p>
        </w:tc>
        <w:tc>
          <w:tcPr>
            <w:tcW w:w="538" w:type="pct"/>
            <w:tcBorders>
              <w:top w:val="single" w:color="auto" w:sz="4" w:space="0"/>
              <w:left w:val="single" w:color="auto" w:sz="4" w:space="0"/>
              <w:bottom w:val="single" w:color="auto" w:sz="4" w:space="0"/>
              <w:right w:val="single" w:color="auto" w:sz="4" w:space="0"/>
            </w:tcBorders>
            <w:vAlign w:val="center"/>
          </w:tcPr>
          <w:p w14:paraId="0EF59693">
            <w:pPr>
              <w:pStyle w:val="31"/>
            </w:pPr>
            <w:r>
              <w:rPr>
                <w:rFonts w:hint="eastAsia"/>
              </w:rPr>
              <w:t>63</w:t>
            </w:r>
          </w:p>
        </w:tc>
        <w:tc>
          <w:tcPr>
            <w:tcW w:w="538" w:type="pct"/>
            <w:tcBorders>
              <w:top w:val="single" w:color="auto" w:sz="4" w:space="0"/>
              <w:left w:val="single" w:color="auto" w:sz="4" w:space="0"/>
              <w:bottom w:val="single" w:color="auto" w:sz="4" w:space="0"/>
              <w:right w:val="single" w:color="auto" w:sz="4" w:space="0"/>
            </w:tcBorders>
            <w:vAlign w:val="center"/>
          </w:tcPr>
          <w:p w14:paraId="7E9E4A42">
            <w:pPr>
              <w:pStyle w:val="31"/>
            </w:pPr>
            <w:r>
              <w:rPr>
                <w:rFonts w:hint="eastAsia"/>
              </w:rPr>
              <w:t>55</w:t>
            </w:r>
          </w:p>
        </w:tc>
        <w:tc>
          <w:tcPr>
            <w:tcW w:w="672" w:type="pct"/>
            <w:tcBorders>
              <w:top w:val="single" w:color="auto" w:sz="4" w:space="0"/>
              <w:left w:val="single" w:color="auto" w:sz="4" w:space="0"/>
              <w:bottom w:val="single" w:color="auto" w:sz="4" w:space="0"/>
              <w:right w:val="single" w:color="auto" w:sz="4" w:space="0"/>
            </w:tcBorders>
            <w:vAlign w:val="center"/>
          </w:tcPr>
          <w:p w14:paraId="1993C369">
            <w:pPr>
              <w:pStyle w:val="31"/>
            </w:pPr>
            <w:r>
              <w:rPr>
                <w:rFonts w:hint="eastAsia"/>
              </w:rPr>
              <w:t>49</w:t>
            </w:r>
          </w:p>
        </w:tc>
        <w:tc>
          <w:tcPr>
            <w:tcW w:w="628" w:type="pct"/>
            <w:vMerge w:val="continue"/>
            <w:tcBorders>
              <w:left w:val="single" w:color="auto" w:sz="4" w:space="0"/>
              <w:right w:val="single" w:color="auto" w:sz="4" w:space="0"/>
            </w:tcBorders>
            <w:vAlign w:val="center"/>
          </w:tcPr>
          <w:p w14:paraId="54BC4951">
            <w:pPr>
              <w:pStyle w:val="31"/>
            </w:pPr>
          </w:p>
        </w:tc>
        <w:tc>
          <w:tcPr>
            <w:tcW w:w="628" w:type="pct"/>
            <w:vMerge w:val="continue"/>
            <w:tcBorders>
              <w:left w:val="single" w:color="auto" w:sz="4" w:space="0"/>
              <w:right w:val="single" w:color="auto" w:sz="4" w:space="0"/>
            </w:tcBorders>
            <w:vAlign w:val="center"/>
          </w:tcPr>
          <w:p w14:paraId="56558EC7">
            <w:pPr>
              <w:pStyle w:val="31"/>
            </w:pPr>
          </w:p>
        </w:tc>
      </w:tr>
      <w:tr w14:paraId="6F85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pct"/>
            <w:tcBorders>
              <w:top w:val="single" w:color="auto" w:sz="4" w:space="0"/>
              <w:left w:val="single" w:color="auto" w:sz="4" w:space="0"/>
              <w:bottom w:val="single" w:color="auto" w:sz="4" w:space="0"/>
              <w:right w:val="single" w:color="auto" w:sz="4" w:space="0"/>
            </w:tcBorders>
            <w:vAlign w:val="center"/>
          </w:tcPr>
          <w:p w14:paraId="34CF1C02">
            <w:pPr>
              <w:pStyle w:val="31"/>
            </w:pPr>
            <w:r>
              <w:rPr>
                <w:kern w:val="0"/>
              </w:rPr>
              <w:t>轻型载重卡车</w:t>
            </w:r>
          </w:p>
        </w:tc>
        <w:tc>
          <w:tcPr>
            <w:tcW w:w="539" w:type="pct"/>
            <w:tcBorders>
              <w:top w:val="single" w:color="auto" w:sz="4" w:space="0"/>
              <w:left w:val="single" w:color="auto" w:sz="4" w:space="0"/>
              <w:bottom w:val="single" w:color="auto" w:sz="4" w:space="0"/>
              <w:right w:val="single" w:color="auto" w:sz="4" w:space="0"/>
            </w:tcBorders>
            <w:vAlign w:val="center"/>
          </w:tcPr>
          <w:p w14:paraId="087238CB">
            <w:pPr>
              <w:pStyle w:val="31"/>
            </w:pPr>
            <w:r>
              <w:rPr>
                <w:rFonts w:hint="eastAsia"/>
              </w:rPr>
              <w:t>66</w:t>
            </w:r>
          </w:p>
        </w:tc>
        <w:tc>
          <w:tcPr>
            <w:tcW w:w="538" w:type="pct"/>
            <w:tcBorders>
              <w:top w:val="single" w:color="auto" w:sz="4" w:space="0"/>
              <w:left w:val="single" w:color="auto" w:sz="4" w:space="0"/>
              <w:bottom w:val="single" w:color="auto" w:sz="4" w:space="0"/>
              <w:right w:val="single" w:color="auto" w:sz="4" w:space="0"/>
            </w:tcBorders>
            <w:vAlign w:val="center"/>
          </w:tcPr>
          <w:p w14:paraId="20F982D7">
            <w:pPr>
              <w:pStyle w:val="31"/>
            </w:pPr>
            <w:r>
              <w:rPr>
                <w:rFonts w:hint="eastAsia"/>
              </w:rPr>
              <w:t>54</w:t>
            </w:r>
          </w:p>
        </w:tc>
        <w:tc>
          <w:tcPr>
            <w:tcW w:w="538" w:type="pct"/>
            <w:tcBorders>
              <w:top w:val="single" w:color="auto" w:sz="4" w:space="0"/>
              <w:left w:val="single" w:color="auto" w:sz="4" w:space="0"/>
              <w:bottom w:val="single" w:color="auto" w:sz="4" w:space="0"/>
              <w:right w:val="single" w:color="auto" w:sz="4" w:space="0"/>
            </w:tcBorders>
            <w:vAlign w:val="center"/>
          </w:tcPr>
          <w:p w14:paraId="1F1D2356">
            <w:pPr>
              <w:pStyle w:val="31"/>
            </w:pPr>
            <w:r>
              <w:rPr>
                <w:rFonts w:hint="eastAsia"/>
              </w:rPr>
              <w:t>46</w:t>
            </w:r>
          </w:p>
        </w:tc>
        <w:tc>
          <w:tcPr>
            <w:tcW w:w="672" w:type="pct"/>
            <w:tcBorders>
              <w:top w:val="single" w:color="auto" w:sz="4" w:space="0"/>
              <w:left w:val="single" w:color="auto" w:sz="4" w:space="0"/>
              <w:bottom w:val="single" w:color="auto" w:sz="4" w:space="0"/>
              <w:right w:val="single" w:color="auto" w:sz="4" w:space="0"/>
            </w:tcBorders>
            <w:vAlign w:val="center"/>
          </w:tcPr>
          <w:p w14:paraId="3BE15AAE">
            <w:pPr>
              <w:pStyle w:val="31"/>
            </w:pPr>
            <w:r>
              <w:rPr>
                <w:rFonts w:hint="eastAsia"/>
              </w:rPr>
              <w:t>40</w:t>
            </w:r>
          </w:p>
        </w:tc>
        <w:tc>
          <w:tcPr>
            <w:tcW w:w="628" w:type="pct"/>
            <w:vMerge w:val="continue"/>
            <w:tcBorders>
              <w:left w:val="single" w:color="auto" w:sz="4" w:space="0"/>
              <w:right w:val="single" w:color="auto" w:sz="4" w:space="0"/>
            </w:tcBorders>
            <w:vAlign w:val="center"/>
          </w:tcPr>
          <w:p w14:paraId="4F60A724">
            <w:pPr>
              <w:pStyle w:val="31"/>
            </w:pPr>
          </w:p>
        </w:tc>
        <w:tc>
          <w:tcPr>
            <w:tcW w:w="628" w:type="pct"/>
            <w:vMerge w:val="continue"/>
            <w:tcBorders>
              <w:left w:val="single" w:color="auto" w:sz="4" w:space="0"/>
              <w:right w:val="single" w:color="auto" w:sz="4" w:space="0"/>
            </w:tcBorders>
            <w:vAlign w:val="center"/>
          </w:tcPr>
          <w:p w14:paraId="49F8F96D">
            <w:pPr>
              <w:pStyle w:val="31"/>
            </w:pPr>
          </w:p>
        </w:tc>
      </w:tr>
    </w:tbl>
    <w:p w14:paraId="1DECD11E">
      <w:pPr>
        <w:pStyle w:val="21"/>
        <w:ind w:firstLine="480"/>
      </w:pPr>
      <w:r>
        <w:rPr>
          <w:rFonts w:hint="eastAsia"/>
        </w:rPr>
        <w:t>由上表预测结果可知，施工设备和运输车辆5m处噪声值大部分依旧超过《建筑施工场界环境噪声排放标准》(GB12523-2011），昼间5～26dB(A)，夜间11～36dB(A)，1</w:t>
      </w:r>
      <w:r>
        <w:t>00</w:t>
      </w:r>
      <w:r>
        <w:rPr>
          <w:rFonts w:hint="eastAsia"/>
        </w:rPr>
        <w:t>m处昼间预测值已满足排放标准，且厂区周围100m范围内无居民点，虽不会扰民，但</w:t>
      </w:r>
      <w:r>
        <w:t>为减轻施工期噪声影响</w:t>
      </w:r>
      <w:r>
        <w:rPr>
          <w:rFonts w:hint="eastAsia"/>
        </w:rPr>
        <w:t>满足达标排放</w:t>
      </w:r>
      <w:r>
        <w:t>，建议建设单位采取以下措施：</w:t>
      </w:r>
    </w:p>
    <w:p w14:paraId="211F3614">
      <w:pPr>
        <w:pStyle w:val="21"/>
        <w:ind w:firstLine="480"/>
      </w:pPr>
      <w:r>
        <w:rPr>
          <w:rFonts w:hint="eastAsia"/>
        </w:rPr>
        <w:t>（1）</w:t>
      </w:r>
      <w:r>
        <w:t>降低设备声级</w:t>
      </w:r>
    </w:p>
    <w:p w14:paraId="456A705C">
      <w:pPr>
        <w:pStyle w:val="21"/>
        <w:ind w:firstLine="480"/>
      </w:pPr>
      <w:r>
        <w:rPr>
          <w:rFonts w:hint="eastAsia"/>
        </w:rPr>
        <w:t>①</w:t>
      </w:r>
      <w:r>
        <w:t>选用低噪声设备和工艺，以液压机械代替燃油机械，有效降低噪声影响；</w:t>
      </w:r>
    </w:p>
    <w:p w14:paraId="1F65641F">
      <w:pPr>
        <w:pStyle w:val="21"/>
        <w:ind w:firstLine="480"/>
      </w:pPr>
      <w:r>
        <w:rPr>
          <w:rFonts w:hint="eastAsia"/>
        </w:rPr>
        <w:t>②</w:t>
      </w:r>
      <w:r>
        <w:t>要加强设备安装过程中的减振措施，整体设备应安放稳固，并与地面保持良好接触，有条件的应使用减振机座，降低噪声。施工过程中加强检查、维护和保养机械设备，保持润滑，紧固各部件，减少运行震动噪声。</w:t>
      </w:r>
    </w:p>
    <w:p w14:paraId="0FBEC5EB">
      <w:pPr>
        <w:pStyle w:val="21"/>
        <w:ind w:firstLine="480"/>
      </w:pPr>
      <w:r>
        <w:rPr>
          <w:rFonts w:hint="eastAsia"/>
        </w:rPr>
        <w:t>③</w:t>
      </w:r>
      <w:r>
        <w:t>及时修理和改进施工机械，加强文明施工，杜绝施工机械在运行过程中因维护不当而产生的其它噪声。</w:t>
      </w:r>
    </w:p>
    <w:p w14:paraId="24BB74E1">
      <w:pPr>
        <w:pStyle w:val="21"/>
        <w:ind w:firstLine="480"/>
      </w:pPr>
      <w:r>
        <w:rPr>
          <w:rFonts w:hint="eastAsia"/>
        </w:rPr>
        <w:t>（2）</w:t>
      </w:r>
      <w:r>
        <w:t>合理安排施工时间和布局施工现场</w:t>
      </w:r>
    </w:p>
    <w:p w14:paraId="467FB188">
      <w:pPr>
        <w:pStyle w:val="21"/>
        <w:ind w:firstLine="480"/>
      </w:pPr>
      <w:r>
        <w:t>严禁</w:t>
      </w:r>
      <w:r>
        <w:rPr>
          <w:rFonts w:hint="eastAsia"/>
          <w:lang w:eastAsia="zh-CN"/>
        </w:rPr>
        <w:t>晚上10</w:t>
      </w:r>
      <w:r>
        <w:t>:00～凌晨6:00以及中午12:00～14:30进行可能产生噪声扰民问题的施工活动，尽可能避免大量高噪声设备同时施工，以避免局部声级过高</w:t>
      </w:r>
      <w:r>
        <w:rPr>
          <w:rFonts w:hint="eastAsia"/>
        </w:rPr>
        <w:t>。</w:t>
      </w:r>
      <w:r>
        <w:t>高噪声设备施工时间尽量安排在日间，禁止夜间施工。针对施工过程中具有噪声突发、不规则、不连续、高强度等特点的施工活动，应合理安排施工工序加以缓解。同时，施工场地布置时备应尽量远离声环境敏感点，并应在高噪声设备周围和施工场界设隔声屏障，以缓解噪声影响。</w:t>
      </w:r>
    </w:p>
    <w:p w14:paraId="2BCA876C">
      <w:pPr>
        <w:pStyle w:val="21"/>
        <w:ind w:firstLine="480"/>
      </w:pPr>
      <w:r>
        <w:rPr>
          <w:rFonts w:hint="eastAsia"/>
        </w:rPr>
        <w:t>（3）</w:t>
      </w:r>
      <w:r>
        <w:t>个人防护</w:t>
      </w:r>
    </w:p>
    <w:p w14:paraId="13BA0BFC">
      <w:pPr>
        <w:pStyle w:val="21"/>
        <w:ind w:firstLine="480"/>
      </w:pPr>
      <w:r>
        <w:t>施工单位应合理安排工作人员轮流操作产生高强噪声的施工机械，减少接触高噪声的时间，或穿插安排高噪声和低噪声的工作。加强对施工人员的个人防护，对高噪声设备附近工作的施工人员，可采取配备、使用耳塞、耳机、防声头盔等防噪用具。</w:t>
      </w:r>
    </w:p>
    <w:p w14:paraId="636A7C8A">
      <w:pPr>
        <w:pStyle w:val="21"/>
        <w:ind w:firstLine="480"/>
      </w:pPr>
      <w:r>
        <w:rPr>
          <w:rFonts w:hint="eastAsia"/>
        </w:rPr>
        <w:t>（4）</w:t>
      </w:r>
      <w:r>
        <w:t>减少运输过程的交通噪声</w:t>
      </w:r>
    </w:p>
    <w:p w14:paraId="0738AA9B">
      <w:pPr>
        <w:pStyle w:val="21"/>
        <w:ind w:firstLine="480"/>
      </w:pPr>
      <w:r>
        <w:t>选用符合《</w:t>
      </w:r>
      <w:r>
        <w:rPr>
          <w:rFonts w:hint="eastAsia"/>
        </w:rPr>
        <w:t>汽车加速行驶车外噪声限值及测量方法</w:t>
      </w:r>
      <w:r>
        <w:t>》</w:t>
      </w:r>
      <w:r>
        <w:rPr>
          <w:rFonts w:hint="eastAsia"/>
        </w:rPr>
        <w:t>（GB</w:t>
      </w:r>
      <w:r>
        <w:t>1495-2002</w:t>
      </w:r>
      <w:r>
        <w:rPr>
          <w:rFonts w:hint="eastAsia"/>
        </w:rPr>
        <w:t>）</w:t>
      </w:r>
      <w:r>
        <w:t>的施工车辆，禁止不符合国家噪声排放标准的运输车辆进入</w:t>
      </w:r>
      <w:r>
        <w:rPr>
          <w:rFonts w:hint="eastAsia"/>
        </w:rPr>
        <w:t>施</w:t>
      </w:r>
      <w:r>
        <w:t>工区，尽量减少夜间运输量，限制车速，进入居民区时应限速，对运输、施工车辆定期维修、养护，减少或杜绝鸣笛。</w:t>
      </w:r>
    </w:p>
    <w:p w14:paraId="0F2AA323">
      <w:pPr>
        <w:pStyle w:val="21"/>
        <w:ind w:firstLine="480"/>
      </w:pPr>
      <w:r>
        <w:t>施工期环境影响为短期影响，施工结束后即可消除。但考虑施工期对周围环境的影响，要求建设单位在建设过程中必须认真遵守各项管理制度，落实本报告提出的防治措施及建议，做到文明施工、严格管理、缩短工期，力争将项目建设过程中对周围环境产生的影响降到最低限度。</w:t>
      </w:r>
    </w:p>
    <w:p w14:paraId="122A7127">
      <w:pPr>
        <w:pStyle w:val="33"/>
      </w:pPr>
      <w:bookmarkStart w:id="148" w:name="_Toc29999"/>
      <w:r>
        <w:rPr>
          <w:rFonts w:hint="eastAsia"/>
        </w:rPr>
        <w:t>5.1.4固体废物影响</w:t>
      </w:r>
      <w:bookmarkEnd w:id="148"/>
    </w:p>
    <w:p w14:paraId="499E8894">
      <w:pPr>
        <w:pStyle w:val="21"/>
        <w:ind w:firstLine="480"/>
      </w:pPr>
      <w:r>
        <w:rPr>
          <w:rFonts w:hint="eastAsia"/>
        </w:rPr>
        <w:t>本次扩建项目主要对已水泥硬化的工作船台重新布局，修建雨水导流沟，修缮应急池、隔油沉淀池和土坝上方构筑物，因此施工过程中固体废物主要来自施工过程产生的建筑垃圾和施工人员产生的生活垃圾。</w:t>
      </w:r>
    </w:p>
    <w:p w14:paraId="61EA7D77">
      <w:pPr>
        <w:pStyle w:val="21"/>
        <w:ind w:firstLine="480"/>
      </w:pPr>
      <w:r>
        <w:rPr>
          <w:rFonts w:hint="eastAsia"/>
        </w:rPr>
        <w:t>（1）建筑垃圾</w:t>
      </w:r>
    </w:p>
    <w:p w14:paraId="7BDC270D">
      <w:pPr>
        <w:pStyle w:val="21"/>
        <w:ind w:firstLine="480"/>
      </w:pPr>
      <w:r>
        <w:rPr>
          <w:rFonts w:hint="eastAsia"/>
        </w:rPr>
        <w:t>本次扩建项目产生的建筑垃圾为建筑材料损耗产生的垃圾和施工过程中产生的废弃建筑材料（主要包括砂石、水泥、钢筋、铁丝等）。根据类比调查，每平方米建筑面积产生建筑垃圾按0.02t/m</w:t>
      </w:r>
      <w:r>
        <w:rPr>
          <w:rFonts w:hint="eastAsia"/>
          <w:vertAlign w:val="superscript"/>
        </w:rPr>
        <w:t>2</w:t>
      </w:r>
      <w:r>
        <w:rPr>
          <w:rFonts w:hint="eastAsia"/>
        </w:rPr>
        <w:t>，预计本次项目总建筑面积约564m</w:t>
      </w:r>
      <w:r>
        <w:rPr>
          <w:rFonts w:hint="eastAsia"/>
          <w:vertAlign w:val="superscript"/>
        </w:rPr>
        <w:t>2</w:t>
      </w:r>
      <w:r>
        <w:rPr>
          <w:rFonts w:hint="eastAsia"/>
        </w:rPr>
        <w:t>，则建筑垃圾产生量约为11.28t。</w:t>
      </w:r>
    </w:p>
    <w:p w14:paraId="47D32258">
      <w:pPr>
        <w:pStyle w:val="21"/>
        <w:ind w:firstLine="480"/>
      </w:pPr>
      <w:r>
        <w:rPr>
          <w:rFonts w:hint="eastAsia"/>
        </w:rPr>
        <w:t>建设单位拟对建筑垃圾进行分类，</w:t>
      </w:r>
      <w:r>
        <w:t>拆迁建筑垃圾</w:t>
      </w:r>
      <w:r>
        <w:rPr>
          <w:rFonts w:hint="eastAsia"/>
        </w:rPr>
        <w:t>可回收利用的交由废品回收站综合利用，</w:t>
      </w:r>
      <w:r>
        <w:t>不能回用的运至政府指定的城市建筑垃圾处理场处理，</w:t>
      </w:r>
      <w:r>
        <w:rPr>
          <w:rFonts w:hint="eastAsia"/>
        </w:rPr>
        <w:t>其余无法回收的均按照《湖南省城市建筑垃圾管理实施细则（暂行）》要求，建设单位应严格落实渣土审批5条硬性措施，具体包括落实渣土运输公司化专营管理机制，坚决打击无从业资质个体渣土运输行为；车辆必须加盖密闭化运输，车辆破损必须修复，原则上不得跨区域运输；渣土施工现场必须有市容渣土执法人员全程监管等。根据新规，即日起在全市范围内，白天、雨天禁止运输建筑材料、化工原料、沙砾、石灰浆等散体物料，运输时间必须在每晚(不包含雨天)8：00至次日凌晨5：30之间进行。采取上述措施后，施工产生的建筑垃圾妥善处置对环境影响较小。</w:t>
      </w:r>
    </w:p>
    <w:p w14:paraId="09D9774B">
      <w:pPr>
        <w:pStyle w:val="21"/>
        <w:ind w:firstLine="480"/>
      </w:pPr>
      <w:r>
        <w:rPr>
          <w:rFonts w:hint="eastAsia"/>
        </w:rPr>
        <w:t>（2）生活垃圾</w:t>
      </w:r>
    </w:p>
    <w:p w14:paraId="7DB76166">
      <w:pPr>
        <w:pStyle w:val="21"/>
        <w:ind w:firstLine="480"/>
      </w:pPr>
      <w:r>
        <w:rPr>
          <w:rFonts w:hint="eastAsia"/>
        </w:rPr>
        <w:t>本次扩建项目依托现有项目无需设置施工营地，</w:t>
      </w:r>
      <w:r>
        <w:t>施工人员</w:t>
      </w:r>
      <w:r>
        <w:rPr>
          <w:rFonts w:hint="eastAsia"/>
        </w:rPr>
        <w:t>约为5人，</w:t>
      </w:r>
      <w:r>
        <w:t>垃圾产生量按0.5kg/(人·d)计</w:t>
      </w:r>
      <w:r>
        <w:rPr>
          <w:rFonts w:hint="eastAsia"/>
        </w:rPr>
        <w:t>，生活垃圾产生量为0.15t，集中收集至厂区垃圾桶由当地环卫部门</w:t>
      </w:r>
      <w:r>
        <w:t>定期清运</w:t>
      </w:r>
      <w:r>
        <w:rPr>
          <w:rFonts w:hint="eastAsia"/>
        </w:rPr>
        <w:t>处置，</w:t>
      </w:r>
      <w:r>
        <w:t>严禁乱丢乱弃，</w:t>
      </w:r>
      <w:r>
        <w:rPr>
          <w:rFonts w:hint="eastAsia"/>
        </w:rPr>
        <w:t>对外界不会产生不利影响。</w:t>
      </w:r>
    </w:p>
    <w:p w14:paraId="6379ED48">
      <w:pPr>
        <w:pStyle w:val="33"/>
      </w:pPr>
      <w:bookmarkStart w:id="149" w:name="_Toc7810"/>
      <w:r>
        <w:rPr>
          <w:rFonts w:hint="eastAsia"/>
        </w:rPr>
        <w:t>5.1.5生态环境影响</w:t>
      </w:r>
      <w:bookmarkEnd w:id="149"/>
    </w:p>
    <w:p w14:paraId="71D79873">
      <w:pPr>
        <w:pStyle w:val="21"/>
        <w:ind w:firstLine="480"/>
        <w:rPr>
          <w:rFonts w:hint="eastAsia"/>
        </w:rPr>
      </w:pPr>
      <w:r>
        <w:rPr>
          <w:rFonts w:hint="eastAsia"/>
        </w:rPr>
        <w:t>根据工程分析，本项目在现有厂区红线范围内改建，无需进行大规模的土石方开挖，项目改建工程做好施工期料场的及时遮盖，避开雨季施工，基本能把水土流失控制在厂区内，对施工场以外的环境水土流失影响不大。</w:t>
      </w:r>
    </w:p>
    <w:p w14:paraId="06026B32">
      <w:pPr>
        <w:pStyle w:val="33"/>
        <w:bidi w:val="0"/>
        <w:rPr>
          <w:rFonts w:hint="eastAsia"/>
          <w:lang w:val="en-US" w:eastAsia="zh-CN"/>
        </w:rPr>
      </w:pPr>
      <w:bookmarkStart w:id="150" w:name="_Toc11662"/>
      <w:r>
        <w:rPr>
          <w:rFonts w:hint="eastAsia"/>
          <w:lang w:val="en-US" w:eastAsia="zh-CN"/>
        </w:rPr>
        <w:t>5.1.6施工期环境影响小结</w:t>
      </w:r>
      <w:bookmarkEnd w:id="150"/>
    </w:p>
    <w:p w14:paraId="773770EA">
      <w:pPr>
        <w:pStyle w:val="21"/>
        <w:rPr>
          <w:rFonts w:hint="default"/>
          <w:lang w:val="en-US" w:eastAsia="zh-CN"/>
        </w:rPr>
      </w:pPr>
      <w:r>
        <w:rPr>
          <w:color w:val="000000" w:themeColor="text1"/>
          <w:szCs w:val="24"/>
          <w14:textFill>
            <w14:solidFill>
              <w14:schemeClr w14:val="tx1"/>
            </w14:solidFill>
          </w14:textFill>
        </w:rPr>
        <w:t>施工期污染源主要是扬尘、施工噪声、建筑垃圾、施工人员产生的生活污染源</w:t>
      </w:r>
      <w:r>
        <w:rPr>
          <w:rFonts w:hint="eastAsia"/>
          <w:color w:val="000000" w:themeColor="text1"/>
          <w:szCs w:val="24"/>
          <w14:textFill>
            <w14:solidFill>
              <w14:schemeClr w14:val="tx1"/>
            </w14:solidFill>
          </w14:textFill>
        </w:rPr>
        <w:t>等</w:t>
      </w:r>
      <w:r>
        <w:rPr>
          <w:color w:val="000000" w:themeColor="text1"/>
          <w:szCs w:val="24"/>
          <w14:textFill>
            <w14:solidFill>
              <w14:schemeClr w14:val="tx1"/>
            </w14:solidFill>
          </w14:textFill>
        </w:rPr>
        <w:t>。在落实本次环评提出的措施的前提下，项目施工扬尘可以得到有效控制，</w:t>
      </w:r>
      <w:r>
        <w:rPr>
          <w:rFonts w:hint="eastAsia"/>
          <w:color w:val="000000" w:themeColor="text1"/>
          <w:szCs w:val="24"/>
          <w14:textFill>
            <w14:solidFill>
              <w14:schemeClr w14:val="tx1"/>
            </w14:solidFill>
          </w14:textFill>
        </w:rPr>
        <w:t>施工人员产生生活污染源依托现有项目设施均可以得到有效处置，</w:t>
      </w:r>
      <w:r>
        <w:rPr>
          <w:color w:val="000000" w:themeColor="text1"/>
          <w:szCs w:val="24"/>
          <w14:textFill>
            <w14:solidFill>
              <w14:schemeClr w14:val="tx1"/>
            </w14:solidFill>
          </w14:textFill>
        </w:rPr>
        <w:t>施工场地场界噪声能够达标排放。同时环评建议建设单位需加强与</w:t>
      </w:r>
      <w:r>
        <w:rPr>
          <w:rFonts w:hint="eastAsia"/>
          <w:color w:val="000000" w:themeColor="text1"/>
          <w:szCs w:val="24"/>
          <w14:textFill>
            <w14:solidFill>
              <w14:schemeClr w14:val="tx1"/>
            </w14:solidFill>
          </w14:textFill>
        </w:rPr>
        <w:t>村委会</w:t>
      </w:r>
      <w:r>
        <w:rPr>
          <w:color w:val="000000" w:themeColor="text1"/>
          <w:szCs w:val="24"/>
          <w14:textFill>
            <w14:solidFill>
              <w14:schemeClr w14:val="tx1"/>
            </w14:solidFill>
          </w14:textFill>
        </w:rPr>
        <w:t>的沟通，并做好施工期现场公示工作，避免在周边</w:t>
      </w:r>
      <w:r>
        <w:rPr>
          <w:rFonts w:hint="eastAsia"/>
          <w:color w:val="000000" w:themeColor="text1"/>
          <w:szCs w:val="24"/>
          <w14:textFill>
            <w14:solidFill>
              <w14:schemeClr w14:val="tx1"/>
            </w14:solidFill>
          </w14:textFill>
        </w:rPr>
        <w:t>人员</w:t>
      </w:r>
      <w:r>
        <w:rPr>
          <w:color w:val="000000" w:themeColor="text1"/>
          <w:szCs w:val="24"/>
          <w14:textFill>
            <w14:solidFill>
              <w14:schemeClr w14:val="tx1"/>
            </w14:solidFill>
          </w14:textFill>
        </w:rPr>
        <w:t>不知情的情况进行开工建设，在落实以上要求的前提下，项目施工期对外环境的影响较小。</w:t>
      </w:r>
    </w:p>
    <w:p w14:paraId="37057504">
      <w:pPr>
        <w:pStyle w:val="28"/>
      </w:pPr>
      <w:bookmarkStart w:id="151" w:name="_Toc14478"/>
      <w:r>
        <w:rPr>
          <w:rFonts w:hint="eastAsia"/>
        </w:rPr>
        <w:t>5.2运营期环境影响预测与评价</w:t>
      </w:r>
      <w:bookmarkEnd w:id="151"/>
    </w:p>
    <w:p w14:paraId="3D038D86">
      <w:pPr>
        <w:pStyle w:val="33"/>
      </w:pPr>
      <w:bookmarkStart w:id="152" w:name="_Toc9111"/>
      <w:r>
        <w:rPr>
          <w:rFonts w:hint="eastAsia"/>
        </w:rPr>
        <w:t>5.2.1环境空气影响</w:t>
      </w:r>
      <w:bookmarkEnd w:id="152"/>
    </w:p>
    <w:p w14:paraId="31DA95AB">
      <w:pPr>
        <w:pStyle w:val="36"/>
        <w:bidi w:val="0"/>
        <w:rPr>
          <w:rFonts w:hint="eastAsia"/>
          <w:lang w:val="en-US" w:eastAsia="zh-CN"/>
        </w:rPr>
      </w:pPr>
      <w:r>
        <w:rPr>
          <w:rFonts w:hint="eastAsia"/>
          <w:lang w:val="en-US" w:eastAsia="zh-CN"/>
        </w:rPr>
        <w:t>5.2.1.1大气估算与评价等级判定</w:t>
      </w:r>
    </w:p>
    <w:p w14:paraId="4FAAAE41">
      <w:pPr>
        <w:pStyle w:val="39"/>
        <w:ind w:firstLine="480"/>
      </w:pPr>
      <w:r>
        <w:rPr>
          <w:rFonts w:hint="eastAsia"/>
        </w:rPr>
        <w:t>依据《环境影响评价技术导则-大气环境》(HJ2.2-2018)中5.3节工作等级的确定方法，结合项目工程分析结果，选择正常排放的主要污染物及排放参数，采用附录A推荐模型中的AERSCREEN模式计算项目污染源的最大环境影响，根据评价工作分级判据进行分级。</w:t>
      </w:r>
    </w:p>
    <w:p w14:paraId="61EBD82A">
      <w:pPr>
        <w:pStyle w:val="39"/>
        <w:ind w:firstLine="480"/>
      </w:pPr>
      <w:r>
        <w:rPr>
          <w:rFonts w:hint="eastAsia"/>
        </w:rPr>
        <w:t>①</w:t>
      </w:r>
      <w:r>
        <w:t>Pmax及D10%的确定</w:t>
      </w:r>
    </w:p>
    <w:p w14:paraId="2FD0BA52">
      <w:pPr>
        <w:pStyle w:val="39"/>
        <w:ind w:firstLine="480"/>
      </w:pPr>
      <w:r>
        <w:t>依据《环境影响评价技术导则 大气环境》(HJ2.2-20</w:t>
      </w:r>
      <w:r>
        <w:rPr>
          <w:rFonts w:hint="eastAsia"/>
        </w:rPr>
        <w:t>1</w:t>
      </w:r>
      <w:r>
        <w:t>8)中最大地面浓度占标率Pi定义如下：</w:t>
      </w:r>
    </w:p>
    <w:p w14:paraId="7588A750">
      <w:pPr>
        <w:spacing w:line="276" w:lineRule="auto"/>
        <w:ind w:firstLine="369" w:firstLineChars="176"/>
        <w:jc w:val="center"/>
        <w:rPr>
          <w:rFonts w:ascii="Times New Roman" w:hAnsi="Times New Roman"/>
        </w:rPr>
      </w:pPr>
      <m:oMathPara>
        <m:oMath>
          <m:sSub>
            <m:sSubPr>
              <m:ctrlPr>
                <w:rPr>
                  <w:rFonts w:ascii="Cambria Math" w:hAnsi="Cambria Math"/>
                </w:rPr>
              </m:ctrlPr>
            </m:sSubPr>
            <m:e>
              <m:r>
                <m:rPr/>
                <w:rPr>
                  <w:rFonts w:ascii="Cambria Math" w:hAnsi="Cambria Math"/>
                </w:rPr>
                <m:t>P</m:t>
              </m:r>
              <m:ctrlPr>
                <w:rPr>
                  <w:rFonts w:ascii="Cambria Math" w:hAnsi="Cambria Math"/>
                </w:rPr>
              </m:ctrlPr>
            </m:e>
            <m:sub>
              <m:r>
                <m:rPr/>
                <w:rPr>
                  <w:rFonts w:ascii="Cambria Math" w:hAnsi="Cambria Math"/>
                </w:rPr>
                <m:t>i</m:t>
              </m:r>
              <m:ctrlPr>
                <w:rPr>
                  <w:rFonts w:ascii="Cambria Math" w:hAnsi="Cambria Math"/>
                </w:rPr>
              </m:ctrlPr>
            </m:sub>
          </m:sSub>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0i</m:t>
                  </m:r>
                  <m:ctrlPr>
                    <w:rPr>
                      <w:rFonts w:ascii="Cambria Math" w:hAnsi="Cambria Math"/>
                      <w:i/>
                    </w:rPr>
                  </m:ctrlPr>
                </m:sub>
              </m:sSub>
              <m:ctrlPr>
                <w:rPr>
                  <w:rFonts w:ascii="Cambria Math" w:hAnsi="Cambria Math"/>
                </w:rPr>
              </m:ctrlPr>
            </m:den>
          </m:f>
          <m:r>
            <m:rPr/>
            <w:rPr>
              <w:rFonts w:ascii="Cambria Math" w:hAnsi="Cambria Math"/>
            </w:rPr>
            <m:t>×100%</m:t>
          </m:r>
        </m:oMath>
      </m:oMathPara>
    </w:p>
    <w:p w14:paraId="1687ABDD">
      <w:pPr>
        <w:pStyle w:val="39"/>
        <w:ind w:firstLine="480"/>
      </w:pPr>
      <m:oMath>
        <m:sSub>
          <m:sSubPr>
            <m:ctrlPr>
              <w:rPr>
                <w:rFonts w:ascii="Cambria Math" w:hAnsi="Cambria Math"/>
              </w:rPr>
            </m:ctrlPr>
          </m:sSubPr>
          <m:e>
            <m:r>
              <m:rPr/>
              <w:rPr>
                <w:rFonts w:ascii="Cambria Math" w:hAnsi="Cambria Math"/>
              </w:rPr>
              <m:t>P</m:t>
            </m:r>
            <m:ctrlPr>
              <w:rPr>
                <w:rFonts w:ascii="Cambria Math" w:hAnsi="Cambria Math"/>
              </w:rPr>
            </m:ctrlPr>
          </m:e>
          <m:sub>
            <m:r>
              <m:rPr/>
              <w:rPr>
                <w:rFonts w:ascii="Cambria Math" w:hAnsi="Cambria Math"/>
              </w:rPr>
              <m:t>i</m:t>
            </m:r>
            <m:ctrlPr>
              <w:rPr>
                <w:rFonts w:ascii="Cambria Math" w:hAnsi="Cambria Math"/>
              </w:rPr>
            </m:ctrlPr>
          </m:sub>
        </m:sSub>
      </m:oMath>
      <w:r>
        <w:t xml:space="preserve"> ——第i个污染物的最大地面空气质量浓度 占标率，%；</w:t>
      </w:r>
    </w:p>
    <w:p w14:paraId="6DD9043D">
      <w:pPr>
        <w:pStyle w:val="39"/>
        <w:ind w:firstLine="48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i</m:t>
            </m:r>
            <m:ctrlPr>
              <w:rPr>
                <w:rFonts w:ascii="Cambria Math" w:hAnsi="Cambria Math"/>
                <w:i/>
              </w:rPr>
            </m:ctrlPr>
          </m:sub>
        </m:sSub>
      </m:oMath>
      <w:r>
        <w:t>——采用估算模型计算出的第i个污染物的最大1h地面空气质量浓度，μg/m</w:t>
      </w:r>
      <w:r>
        <w:rPr>
          <w:vertAlign w:val="superscript"/>
        </w:rPr>
        <w:t>3</w:t>
      </w:r>
      <w:r>
        <w:t>；</w:t>
      </w:r>
    </w:p>
    <w:p w14:paraId="398498E3">
      <w:pPr>
        <w:pStyle w:val="39"/>
        <w:ind w:firstLine="48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0i</m:t>
            </m:r>
            <m:ctrlPr>
              <w:rPr>
                <w:rFonts w:ascii="Cambria Math" w:hAnsi="Cambria Math"/>
                <w:i/>
              </w:rPr>
            </m:ctrlPr>
          </m:sub>
        </m:sSub>
      </m:oMath>
      <w:r>
        <w:t>——第i个污染物的环境空气质量浓度标准，μg/m</w:t>
      </w:r>
      <w:r>
        <w:rPr>
          <w:vertAlign w:val="superscript"/>
        </w:rPr>
        <w:t>3</w:t>
      </w:r>
      <w:r>
        <w:t>。</w:t>
      </w:r>
    </w:p>
    <w:p w14:paraId="2EEA18B4">
      <w:pPr>
        <w:pStyle w:val="39"/>
        <w:ind w:firstLine="480"/>
      </w:pPr>
      <w:r>
        <w:rPr>
          <w:rFonts w:hint="eastAsia"/>
        </w:rPr>
        <w:t>②</w:t>
      </w:r>
      <w:r>
        <w:t>评价等级判别表</w:t>
      </w:r>
    </w:p>
    <w:p w14:paraId="65C27BDE">
      <w:pPr>
        <w:pStyle w:val="39"/>
        <w:ind w:firstLine="480"/>
      </w:pPr>
      <w:r>
        <w:t>评价等级按下表的分级判据进行划分</w:t>
      </w:r>
    </w:p>
    <w:p w14:paraId="7116E29D">
      <w:pPr>
        <w:pStyle w:val="23"/>
        <w:ind w:firstLine="480"/>
      </w:pPr>
      <w:r>
        <w:t>表</w:t>
      </w:r>
      <w:r>
        <w:rPr>
          <w:rFonts w:hint="eastAsia"/>
        </w:rPr>
        <w:t>5.2</w:t>
      </w:r>
      <w:r>
        <w:t>-1  评价等级判别表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31"/>
        <w:gridCol w:w="4791"/>
      </w:tblGrid>
      <w:tr w14:paraId="38404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89" w:type="pct"/>
            <w:shd w:val="clear" w:color="auto" w:fill="auto"/>
            <w:vAlign w:val="center"/>
          </w:tcPr>
          <w:p w14:paraId="1600A19D">
            <w:pPr>
              <w:pStyle w:val="47"/>
              <w:ind w:firstLine="482"/>
              <w:rPr>
                <w:b/>
                <w:bCs/>
              </w:rPr>
            </w:pPr>
            <w:r>
              <w:rPr>
                <w:b/>
                <w:bCs/>
              </w:rPr>
              <w:t>评价工作等级</w:t>
            </w:r>
          </w:p>
        </w:tc>
        <w:tc>
          <w:tcPr>
            <w:tcW w:w="2811" w:type="pct"/>
            <w:shd w:val="clear" w:color="auto" w:fill="auto"/>
            <w:vAlign w:val="center"/>
          </w:tcPr>
          <w:p w14:paraId="3144D230">
            <w:pPr>
              <w:pStyle w:val="47"/>
              <w:ind w:firstLine="482"/>
              <w:rPr>
                <w:b/>
                <w:bCs/>
              </w:rPr>
            </w:pPr>
            <w:r>
              <w:rPr>
                <w:b/>
                <w:bCs/>
              </w:rPr>
              <w:t>评价工作分级判据</w:t>
            </w:r>
          </w:p>
        </w:tc>
      </w:tr>
      <w:tr w14:paraId="30CF5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89" w:type="pct"/>
            <w:shd w:val="clear" w:color="auto" w:fill="auto"/>
            <w:vAlign w:val="center"/>
          </w:tcPr>
          <w:p w14:paraId="13EC9ACF">
            <w:pPr>
              <w:pStyle w:val="47"/>
              <w:ind w:firstLine="480"/>
            </w:pPr>
            <w:r>
              <w:t>一级评价</w:t>
            </w:r>
          </w:p>
        </w:tc>
        <w:tc>
          <w:tcPr>
            <w:tcW w:w="2811" w:type="pct"/>
            <w:shd w:val="clear" w:color="auto" w:fill="auto"/>
            <w:vAlign w:val="center"/>
          </w:tcPr>
          <w:p w14:paraId="76FBB157">
            <w:pPr>
              <w:pStyle w:val="47"/>
              <w:ind w:firstLine="480"/>
            </w:pPr>
            <w:r>
              <w:t>Pmax</w:t>
            </w:r>
            <w:r>
              <w:rPr>
                <w:rFonts w:hint="eastAsia"/>
              </w:rPr>
              <w:t>≧</w:t>
            </w:r>
            <w:r>
              <w:t>10%</w:t>
            </w:r>
          </w:p>
        </w:tc>
      </w:tr>
      <w:tr w14:paraId="25C78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89" w:type="pct"/>
            <w:shd w:val="clear" w:color="auto" w:fill="auto"/>
            <w:vAlign w:val="center"/>
          </w:tcPr>
          <w:p w14:paraId="1CFD180D">
            <w:pPr>
              <w:pStyle w:val="47"/>
              <w:ind w:firstLine="480"/>
            </w:pPr>
            <w:r>
              <w:t>二级评价</w:t>
            </w:r>
          </w:p>
        </w:tc>
        <w:tc>
          <w:tcPr>
            <w:tcW w:w="2811" w:type="pct"/>
            <w:shd w:val="clear" w:color="auto" w:fill="auto"/>
            <w:vAlign w:val="center"/>
          </w:tcPr>
          <w:p w14:paraId="34907AE6">
            <w:pPr>
              <w:pStyle w:val="47"/>
              <w:ind w:firstLine="480"/>
            </w:pPr>
            <w:r>
              <w:t>1%</w:t>
            </w:r>
            <w:r>
              <w:rPr>
                <w:rFonts w:hint="eastAsia"/>
              </w:rPr>
              <w:t>≦</w:t>
            </w:r>
            <w:r>
              <w:t>Pmax&lt;10%</w:t>
            </w:r>
          </w:p>
        </w:tc>
      </w:tr>
      <w:tr w14:paraId="3299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89" w:type="pct"/>
            <w:shd w:val="clear" w:color="auto" w:fill="auto"/>
            <w:vAlign w:val="center"/>
          </w:tcPr>
          <w:p w14:paraId="731F960A">
            <w:pPr>
              <w:pStyle w:val="47"/>
              <w:ind w:firstLine="480"/>
            </w:pPr>
            <w:r>
              <w:t>三级评价</w:t>
            </w:r>
          </w:p>
        </w:tc>
        <w:tc>
          <w:tcPr>
            <w:tcW w:w="2811" w:type="pct"/>
            <w:shd w:val="clear" w:color="auto" w:fill="auto"/>
            <w:vAlign w:val="center"/>
          </w:tcPr>
          <w:p w14:paraId="1DCBE842">
            <w:pPr>
              <w:pStyle w:val="47"/>
              <w:ind w:firstLine="480"/>
            </w:pPr>
            <w:r>
              <w:t>Pmax&lt;1%</w:t>
            </w:r>
          </w:p>
        </w:tc>
      </w:tr>
    </w:tbl>
    <w:p w14:paraId="56DB9742">
      <w:pPr>
        <w:pStyle w:val="39"/>
        <w:ind w:firstLine="480"/>
      </w:pPr>
      <w:r>
        <w:rPr>
          <w:rFonts w:hint="eastAsia"/>
        </w:rPr>
        <w:t>③</w:t>
      </w:r>
      <w:r>
        <w:t>污染物评价标准</w:t>
      </w:r>
    </w:p>
    <w:p w14:paraId="41469046">
      <w:pPr>
        <w:pStyle w:val="39"/>
        <w:ind w:firstLine="480"/>
      </w:pPr>
      <w:r>
        <w:t>污染物评价标准和来源见下表。</w:t>
      </w:r>
    </w:p>
    <w:p w14:paraId="4B19AA57">
      <w:pPr>
        <w:pStyle w:val="23"/>
        <w:ind w:firstLine="480"/>
      </w:pPr>
      <w:r>
        <w:t>表</w:t>
      </w:r>
      <w:r>
        <w:rPr>
          <w:rFonts w:hint="eastAsia"/>
        </w:rPr>
        <w:t>5.2</w:t>
      </w:r>
      <w:r>
        <w:t>-2  污染物评价标准</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2"/>
        <w:gridCol w:w="1127"/>
        <w:gridCol w:w="1004"/>
        <w:gridCol w:w="1517"/>
        <w:gridCol w:w="3852"/>
      </w:tblGrid>
      <w:tr w14:paraId="72683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14:paraId="32A8AE70">
            <w:pPr>
              <w:pStyle w:val="31"/>
            </w:pPr>
            <w:r>
              <w:t>污染物名称</w:t>
            </w:r>
          </w:p>
        </w:tc>
        <w:tc>
          <w:tcPr>
            <w:tcW w:w="661" w:type="pct"/>
            <w:vAlign w:val="center"/>
          </w:tcPr>
          <w:p w14:paraId="0C38C892">
            <w:pPr>
              <w:pStyle w:val="31"/>
            </w:pPr>
            <w:r>
              <w:t>功能区</w:t>
            </w:r>
          </w:p>
        </w:tc>
        <w:tc>
          <w:tcPr>
            <w:tcW w:w="589" w:type="pct"/>
            <w:vAlign w:val="center"/>
          </w:tcPr>
          <w:p w14:paraId="79734042">
            <w:pPr>
              <w:pStyle w:val="31"/>
            </w:pPr>
            <w:r>
              <w:t>取值时间</w:t>
            </w:r>
          </w:p>
        </w:tc>
        <w:tc>
          <w:tcPr>
            <w:tcW w:w="890" w:type="pct"/>
            <w:vAlign w:val="center"/>
          </w:tcPr>
          <w:p w14:paraId="55751F28">
            <w:pPr>
              <w:pStyle w:val="31"/>
            </w:pPr>
            <w:r>
              <w:t>标准值(mg/m³)</w:t>
            </w:r>
          </w:p>
        </w:tc>
        <w:tc>
          <w:tcPr>
            <w:tcW w:w="2260" w:type="pct"/>
            <w:vAlign w:val="center"/>
          </w:tcPr>
          <w:p w14:paraId="0939330D">
            <w:pPr>
              <w:pStyle w:val="31"/>
            </w:pPr>
            <w:r>
              <w:t>标准来源</w:t>
            </w:r>
          </w:p>
        </w:tc>
      </w:tr>
      <w:tr w14:paraId="4F8C0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14:paraId="22ABE2EA">
            <w:pPr>
              <w:pStyle w:val="31"/>
            </w:pPr>
            <w:r>
              <w:t>NMHC</w:t>
            </w:r>
          </w:p>
        </w:tc>
        <w:tc>
          <w:tcPr>
            <w:tcW w:w="661" w:type="pct"/>
            <w:vAlign w:val="center"/>
          </w:tcPr>
          <w:p w14:paraId="372CFC9B">
            <w:pPr>
              <w:pStyle w:val="31"/>
            </w:pPr>
            <w:r>
              <w:rPr>
                <w:rFonts w:hint="eastAsia"/>
              </w:rPr>
              <w:t>2类</w:t>
            </w:r>
          </w:p>
        </w:tc>
        <w:tc>
          <w:tcPr>
            <w:tcW w:w="589" w:type="pct"/>
            <w:vAlign w:val="center"/>
          </w:tcPr>
          <w:p w14:paraId="53E398BB">
            <w:pPr>
              <w:pStyle w:val="31"/>
            </w:pPr>
            <w:r>
              <w:rPr>
                <w:rFonts w:hint="eastAsia"/>
              </w:rPr>
              <w:t>一小时</w:t>
            </w:r>
          </w:p>
        </w:tc>
        <w:tc>
          <w:tcPr>
            <w:tcW w:w="890" w:type="pct"/>
            <w:vAlign w:val="center"/>
          </w:tcPr>
          <w:p w14:paraId="5D671047">
            <w:pPr>
              <w:pStyle w:val="31"/>
            </w:pPr>
            <w:r>
              <w:rPr>
                <w:rFonts w:hint="eastAsia"/>
              </w:rPr>
              <w:t>2.0</w:t>
            </w:r>
          </w:p>
        </w:tc>
        <w:tc>
          <w:tcPr>
            <w:tcW w:w="2260" w:type="pct"/>
            <w:vAlign w:val="center"/>
          </w:tcPr>
          <w:p w14:paraId="55E86588">
            <w:pPr>
              <w:pStyle w:val="31"/>
            </w:pPr>
            <w:r>
              <w:rPr>
                <w:rFonts w:hint="eastAsia"/>
              </w:rPr>
              <w:t>《大气污染物综合排放标准详解》</w:t>
            </w:r>
            <w:r>
              <w:t>中的环境质量标准一次浓度</w:t>
            </w:r>
            <w:r>
              <w:rPr>
                <w:rFonts w:hint="eastAsia"/>
              </w:rPr>
              <w:t>（2.0mg/m</w:t>
            </w:r>
            <w:r>
              <w:rPr>
                <w:rFonts w:hint="eastAsia"/>
                <w:vertAlign w:val="superscript"/>
              </w:rPr>
              <w:t>3</w:t>
            </w:r>
            <w:r>
              <w:rPr>
                <w:rFonts w:hint="eastAsia"/>
              </w:rPr>
              <w:t>）</w:t>
            </w:r>
          </w:p>
        </w:tc>
      </w:tr>
      <w:tr w14:paraId="617C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14:paraId="4A260E31">
            <w:pPr>
              <w:pStyle w:val="31"/>
            </w:pPr>
            <w:r>
              <w:rPr>
                <w:rFonts w:hint="eastAsia"/>
              </w:rPr>
              <w:t>TSP</w:t>
            </w:r>
          </w:p>
        </w:tc>
        <w:tc>
          <w:tcPr>
            <w:tcW w:w="661" w:type="pct"/>
            <w:vAlign w:val="center"/>
          </w:tcPr>
          <w:p w14:paraId="30FB4073">
            <w:pPr>
              <w:pStyle w:val="31"/>
            </w:pPr>
            <w:r>
              <w:rPr>
                <w:rFonts w:hint="eastAsia"/>
              </w:rPr>
              <w:t>2类</w:t>
            </w:r>
          </w:p>
        </w:tc>
        <w:tc>
          <w:tcPr>
            <w:tcW w:w="589" w:type="pct"/>
            <w:vAlign w:val="center"/>
          </w:tcPr>
          <w:p w14:paraId="31E43CAB">
            <w:pPr>
              <w:pStyle w:val="31"/>
            </w:pPr>
            <w:r>
              <w:rPr>
                <w:rFonts w:hint="eastAsia"/>
              </w:rPr>
              <w:t>一小时</w:t>
            </w:r>
          </w:p>
        </w:tc>
        <w:tc>
          <w:tcPr>
            <w:tcW w:w="890" w:type="pct"/>
            <w:vAlign w:val="center"/>
          </w:tcPr>
          <w:p w14:paraId="1BF82B23">
            <w:pPr>
              <w:pStyle w:val="31"/>
            </w:pPr>
            <w:r>
              <w:rPr>
                <w:rFonts w:hint="eastAsia"/>
              </w:rPr>
              <w:t>0.9</w:t>
            </w:r>
          </w:p>
        </w:tc>
        <w:tc>
          <w:tcPr>
            <w:tcW w:w="2260" w:type="pct"/>
            <w:vAlign w:val="center"/>
          </w:tcPr>
          <w:p w14:paraId="1A9BAE57">
            <w:pPr>
              <w:pStyle w:val="31"/>
            </w:pPr>
            <w:r>
              <w:rPr>
                <w:rFonts w:hint="eastAsia"/>
              </w:rPr>
              <w:t>《环境空气质量标准》（GB3095-2012）二级标准，按日均值的3倍折算成小时均值</w:t>
            </w:r>
          </w:p>
        </w:tc>
      </w:tr>
    </w:tbl>
    <w:p w14:paraId="3614224E">
      <w:pPr>
        <w:pStyle w:val="21"/>
      </w:pPr>
      <w:r>
        <w:rPr>
          <w:rFonts w:hint="eastAsia"/>
          <w:lang w:val="en-US" w:eastAsia="zh-CN"/>
        </w:rPr>
        <w:t>④</w:t>
      </w:r>
      <w:r>
        <w:t>污染源参数</w:t>
      </w:r>
    </w:p>
    <w:p w14:paraId="6BD488A5">
      <w:pPr>
        <w:pStyle w:val="23"/>
      </w:pPr>
      <w:r>
        <w:t>表</w:t>
      </w:r>
      <w:r>
        <w:rPr>
          <w:rFonts w:hint="eastAsia"/>
        </w:rPr>
        <w:t>5.2</w:t>
      </w:r>
      <w:r>
        <w:t>-</w:t>
      </w:r>
      <w:r>
        <w:rPr>
          <w:rFonts w:hint="eastAsia"/>
        </w:rPr>
        <w:t>3</w:t>
      </w:r>
      <w:r>
        <w:t xml:space="preserve">  主要废气污染源参数一览表</w:t>
      </w:r>
      <w:r>
        <w:rPr>
          <w:rFonts w:hint="eastAsia"/>
        </w:rPr>
        <w:t>（矩形面源）</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13"/>
        <w:gridCol w:w="980"/>
        <w:gridCol w:w="494"/>
        <w:gridCol w:w="469"/>
        <w:gridCol w:w="748"/>
        <w:gridCol w:w="514"/>
        <w:gridCol w:w="514"/>
        <w:gridCol w:w="983"/>
        <w:gridCol w:w="748"/>
        <w:gridCol w:w="514"/>
        <w:gridCol w:w="1041"/>
        <w:gridCol w:w="844"/>
      </w:tblGrid>
      <w:tr w14:paraId="35B93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8" w:type="pct"/>
            <w:vMerge w:val="restart"/>
            <w:vAlign w:val="center"/>
          </w:tcPr>
          <w:p w14:paraId="538B17BA">
            <w:pPr>
              <w:pStyle w:val="31"/>
            </w:pPr>
            <w:r>
              <w:rPr>
                <w:rFonts w:hint="eastAsia"/>
              </w:rPr>
              <w:t>序号</w:t>
            </w:r>
          </w:p>
        </w:tc>
        <w:tc>
          <w:tcPr>
            <w:tcW w:w="597" w:type="pct"/>
            <w:vMerge w:val="restart"/>
            <w:vAlign w:val="center"/>
          </w:tcPr>
          <w:p w14:paraId="1A1A2918">
            <w:pPr>
              <w:pStyle w:val="31"/>
            </w:pPr>
            <w:r>
              <w:rPr>
                <w:rFonts w:hint="eastAsia"/>
              </w:rPr>
              <w:t>名称</w:t>
            </w:r>
          </w:p>
        </w:tc>
        <w:tc>
          <w:tcPr>
            <w:tcW w:w="597" w:type="pct"/>
            <w:gridSpan w:val="2"/>
            <w:vAlign w:val="center"/>
          </w:tcPr>
          <w:p w14:paraId="5FC77D55">
            <w:pPr>
              <w:pStyle w:val="31"/>
            </w:pPr>
            <w:r>
              <w:rPr>
                <w:rFonts w:hint="eastAsia"/>
              </w:rPr>
              <w:t>面源起点</w:t>
            </w:r>
          </w:p>
          <w:p w14:paraId="78A72E1F">
            <w:pPr>
              <w:pStyle w:val="31"/>
            </w:pPr>
            <w:r>
              <w:rPr>
                <w:rFonts w:hint="eastAsia"/>
              </w:rPr>
              <w:t>坐标/m</w:t>
            </w:r>
          </w:p>
        </w:tc>
        <w:tc>
          <w:tcPr>
            <w:tcW w:w="458" w:type="pct"/>
            <w:vMerge w:val="restart"/>
            <w:vAlign w:val="center"/>
          </w:tcPr>
          <w:p w14:paraId="01BE1830">
            <w:pPr>
              <w:pStyle w:val="31"/>
            </w:pPr>
            <w:r>
              <w:t>海拔高</w:t>
            </w:r>
          </w:p>
          <w:p w14:paraId="40A14223">
            <w:pPr>
              <w:pStyle w:val="31"/>
            </w:pPr>
            <w:r>
              <w:t>度(m)</w:t>
            </w:r>
          </w:p>
        </w:tc>
        <w:tc>
          <w:tcPr>
            <w:tcW w:w="1234" w:type="pct"/>
            <w:gridSpan w:val="3"/>
            <w:vAlign w:val="center"/>
          </w:tcPr>
          <w:p w14:paraId="057321B1">
            <w:pPr>
              <w:pStyle w:val="31"/>
            </w:pPr>
            <w:r>
              <w:t>矩形面源</w:t>
            </w:r>
          </w:p>
        </w:tc>
        <w:tc>
          <w:tcPr>
            <w:tcW w:w="458" w:type="pct"/>
            <w:vMerge w:val="restart"/>
            <w:vAlign w:val="center"/>
          </w:tcPr>
          <w:p w14:paraId="2CE04923">
            <w:pPr>
              <w:pStyle w:val="31"/>
            </w:pPr>
            <w:r>
              <w:rPr>
                <w:rFonts w:hint="eastAsia"/>
              </w:rPr>
              <w:t>年排放</w:t>
            </w:r>
          </w:p>
          <w:p w14:paraId="33628248">
            <w:pPr>
              <w:pStyle w:val="31"/>
            </w:pPr>
            <w:r>
              <w:rPr>
                <w:rFonts w:hint="eastAsia"/>
              </w:rPr>
              <w:t>小时数</w:t>
            </w:r>
          </w:p>
        </w:tc>
        <w:tc>
          <w:tcPr>
            <w:tcW w:w="318" w:type="pct"/>
            <w:vMerge w:val="restart"/>
            <w:vAlign w:val="center"/>
          </w:tcPr>
          <w:p w14:paraId="0157BB69">
            <w:pPr>
              <w:pStyle w:val="31"/>
            </w:pPr>
            <w:r>
              <w:rPr>
                <w:rFonts w:hint="eastAsia"/>
              </w:rPr>
              <w:t>排放</w:t>
            </w:r>
          </w:p>
          <w:p w14:paraId="652CD155">
            <w:pPr>
              <w:pStyle w:val="31"/>
            </w:pPr>
            <w:r>
              <w:rPr>
                <w:rFonts w:hint="eastAsia"/>
              </w:rPr>
              <w:t>工况</w:t>
            </w:r>
          </w:p>
        </w:tc>
        <w:tc>
          <w:tcPr>
            <w:tcW w:w="1017" w:type="pct"/>
            <w:gridSpan w:val="2"/>
            <w:vAlign w:val="center"/>
          </w:tcPr>
          <w:p w14:paraId="2AFC68EE">
            <w:pPr>
              <w:pStyle w:val="31"/>
            </w:pPr>
            <w:r>
              <w:t>污染物排放速率</w:t>
            </w:r>
          </w:p>
          <w:p w14:paraId="00C9F82D">
            <w:pPr>
              <w:pStyle w:val="31"/>
            </w:pPr>
            <w:r>
              <w:t>(kg/h)</w:t>
            </w:r>
          </w:p>
        </w:tc>
      </w:tr>
      <w:tr w14:paraId="54D4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8" w:type="pct"/>
            <w:vMerge w:val="continue"/>
            <w:vAlign w:val="center"/>
          </w:tcPr>
          <w:p w14:paraId="1D48D751">
            <w:pPr>
              <w:pStyle w:val="31"/>
            </w:pPr>
          </w:p>
        </w:tc>
        <w:tc>
          <w:tcPr>
            <w:tcW w:w="597" w:type="pct"/>
            <w:vMerge w:val="continue"/>
            <w:vAlign w:val="center"/>
          </w:tcPr>
          <w:p w14:paraId="0E78F786">
            <w:pPr>
              <w:pStyle w:val="31"/>
            </w:pPr>
          </w:p>
        </w:tc>
        <w:tc>
          <w:tcPr>
            <w:tcW w:w="298" w:type="pct"/>
            <w:vAlign w:val="center"/>
          </w:tcPr>
          <w:p w14:paraId="51BC92E4">
            <w:pPr>
              <w:pStyle w:val="31"/>
            </w:pPr>
            <w:r>
              <w:rPr>
                <w:rFonts w:hint="eastAsia"/>
              </w:rPr>
              <w:t>X</w:t>
            </w:r>
          </w:p>
        </w:tc>
        <w:tc>
          <w:tcPr>
            <w:tcW w:w="298" w:type="pct"/>
            <w:vAlign w:val="center"/>
          </w:tcPr>
          <w:p w14:paraId="4A5C0C0B">
            <w:pPr>
              <w:pStyle w:val="31"/>
            </w:pPr>
            <w:r>
              <w:rPr>
                <w:rFonts w:hint="eastAsia"/>
              </w:rPr>
              <w:t>Y</w:t>
            </w:r>
          </w:p>
        </w:tc>
        <w:tc>
          <w:tcPr>
            <w:tcW w:w="458" w:type="pct"/>
            <w:vMerge w:val="continue"/>
            <w:vAlign w:val="center"/>
          </w:tcPr>
          <w:p w14:paraId="4846EC52">
            <w:pPr>
              <w:pStyle w:val="31"/>
            </w:pPr>
          </w:p>
        </w:tc>
        <w:tc>
          <w:tcPr>
            <w:tcW w:w="318" w:type="pct"/>
            <w:vAlign w:val="center"/>
          </w:tcPr>
          <w:p w14:paraId="17ED3B57">
            <w:pPr>
              <w:pStyle w:val="31"/>
            </w:pPr>
            <w:r>
              <w:t>长度</w:t>
            </w:r>
          </w:p>
          <w:p w14:paraId="63E4D5F6">
            <w:pPr>
              <w:pStyle w:val="31"/>
            </w:pPr>
            <w:r>
              <w:t>(m)</w:t>
            </w:r>
          </w:p>
        </w:tc>
        <w:tc>
          <w:tcPr>
            <w:tcW w:w="318" w:type="pct"/>
            <w:vAlign w:val="center"/>
          </w:tcPr>
          <w:p w14:paraId="174FBA68">
            <w:pPr>
              <w:pStyle w:val="31"/>
            </w:pPr>
            <w:r>
              <w:t>宽度</w:t>
            </w:r>
          </w:p>
          <w:p w14:paraId="5CF125D7">
            <w:pPr>
              <w:pStyle w:val="31"/>
            </w:pPr>
            <w:r>
              <w:t>(m)</w:t>
            </w:r>
          </w:p>
        </w:tc>
        <w:tc>
          <w:tcPr>
            <w:tcW w:w="597" w:type="pct"/>
            <w:vAlign w:val="center"/>
          </w:tcPr>
          <w:p w14:paraId="2EC29F7E">
            <w:pPr>
              <w:pStyle w:val="31"/>
            </w:pPr>
            <w:r>
              <w:t>有效高度</w:t>
            </w:r>
          </w:p>
          <w:p w14:paraId="2A45A364">
            <w:pPr>
              <w:pStyle w:val="31"/>
            </w:pPr>
            <w:r>
              <w:t>(m)</w:t>
            </w:r>
          </w:p>
        </w:tc>
        <w:tc>
          <w:tcPr>
            <w:tcW w:w="458" w:type="pct"/>
            <w:vMerge w:val="continue"/>
            <w:vAlign w:val="center"/>
          </w:tcPr>
          <w:p w14:paraId="4C99F796">
            <w:pPr>
              <w:pStyle w:val="31"/>
            </w:pPr>
          </w:p>
        </w:tc>
        <w:tc>
          <w:tcPr>
            <w:tcW w:w="318" w:type="pct"/>
            <w:vMerge w:val="continue"/>
            <w:vAlign w:val="center"/>
          </w:tcPr>
          <w:p w14:paraId="49BC218A">
            <w:pPr>
              <w:pStyle w:val="31"/>
            </w:pPr>
          </w:p>
        </w:tc>
        <w:tc>
          <w:tcPr>
            <w:tcW w:w="633" w:type="pct"/>
            <w:vAlign w:val="center"/>
          </w:tcPr>
          <w:p w14:paraId="515F8220">
            <w:pPr>
              <w:pStyle w:val="31"/>
            </w:pPr>
            <w:r>
              <w:rPr>
                <w:rFonts w:hint="eastAsia"/>
              </w:rPr>
              <w:t>N</w:t>
            </w:r>
            <w:r>
              <w:t>MHC</w:t>
            </w:r>
          </w:p>
        </w:tc>
        <w:tc>
          <w:tcPr>
            <w:tcW w:w="383" w:type="pct"/>
            <w:vAlign w:val="center"/>
          </w:tcPr>
          <w:p w14:paraId="580FDB0B">
            <w:pPr>
              <w:pStyle w:val="31"/>
            </w:pPr>
            <w:r>
              <w:rPr>
                <w:rFonts w:hint="eastAsia"/>
              </w:rPr>
              <w:t>TSP</w:t>
            </w:r>
          </w:p>
        </w:tc>
      </w:tr>
      <w:tr w14:paraId="5CFD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8" w:type="pct"/>
            <w:vAlign w:val="center"/>
          </w:tcPr>
          <w:p w14:paraId="3C61CAF4">
            <w:pPr>
              <w:pStyle w:val="31"/>
            </w:pPr>
            <w:r>
              <w:rPr>
                <w:rFonts w:hint="eastAsia"/>
              </w:rPr>
              <w:t>1</w:t>
            </w:r>
          </w:p>
        </w:tc>
        <w:tc>
          <w:tcPr>
            <w:tcW w:w="597" w:type="pct"/>
            <w:vAlign w:val="center"/>
          </w:tcPr>
          <w:p w14:paraId="0EB3C42A">
            <w:pPr>
              <w:pStyle w:val="31"/>
            </w:pPr>
            <w:r>
              <w:rPr>
                <w:rFonts w:hint="eastAsia"/>
              </w:rPr>
              <w:t>拆解船台</w:t>
            </w:r>
          </w:p>
        </w:tc>
        <w:tc>
          <w:tcPr>
            <w:tcW w:w="298" w:type="pct"/>
            <w:vAlign w:val="center"/>
          </w:tcPr>
          <w:p w14:paraId="21794AB6">
            <w:pPr>
              <w:pStyle w:val="31"/>
              <w:rPr>
                <w:rFonts w:hint="default" w:eastAsia="宋体"/>
                <w:lang w:val="en-US" w:eastAsia="zh-CN"/>
              </w:rPr>
            </w:pPr>
            <w:r>
              <w:rPr>
                <w:rFonts w:hint="eastAsia"/>
                <w:lang w:val="en-US" w:eastAsia="zh-CN"/>
              </w:rPr>
              <w:t>-38.5</w:t>
            </w:r>
          </w:p>
        </w:tc>
        <w:tc>
          <w:tcPr>
            <w:tcW w:w="298" w:type="pct"/>
            <w:vAlign w:val="center"/>
          </w:tcPr>
          <w:p w14:paraId="4533FE96">
            <w:pPr>
              <w:pStyle w:val="31"/>
              <w:rPr>
                <w:rFonts w:hint="default" w:eastAsia="宋体"/>
                <w:lang w:val="en-US" w:eastAsia="zh-CN"/>
              </w:rPr>
            </w:pPr>
            <w:r>
              <w:rPr>
                <w:rFonts w:hint="eastAsia"/>
                <w:lang w:val="en-US" w:eastAsia="zh-CN"/>
              </w:rPr>
              <w:t>-31</w:t>
            </w:r>
          </w:p>
        </w:tc>
        <w:tc>
          <w:tcPr>
            <w:tcW w:w="458" w:type="pct"/>
            <w:vAlign w:val="center"/>
          </w:tcPr>
          <w:p w14:paraId="76BA8B7E">
            <w:pPr>
              <w:pStyle w:val="31"/>
              <w:rPr>
                <w:rFonts w:hint="default" w:eastAsia="宋体"/>
                <w:lang w:val="en-US" w:eastAsia="zh-CN"/>
              </w:rPr>
            </w:pPr>
            <w:r>
              <w:rPr>
                <w:rFonts w:hint="eastAsia"/>
              </w:rPr>
              <w:t>44</w:t>
            </w:r>
            <w:r>
              <w:rPr>
                <w:rFonts w:hint="eastAsia"/>
                <w:lang w:val="en-US" w:eastAsia="zh-CN"/>
              </w:rPr>
              <w:t>.5</w:t>
            </w:r>
          </w:p>
        </w:tc>
        <w:tc>
          <w:tcPr>
            <w:tcW w:w="318" w:type="pct"/>
            <w:vAlign w:val="center"/>
          </w:tcPr>
          <w:p w14:paraId="6D865A28">
            <w:pPr>
              <w:pStyle w:val="31"/>
            </w:pPr>
            <w:r>
              <w:rPr>
                <w:rFonts w:hint="eastAsia"/>
              </w:rPr>
              <w:t>75</w:t>
            </w:r>
          </w:p>
        </w:tc>
        <w:tc>
          <w:tcPr>
            <w:tcW w:w="318" w:type="pct"/>
            <w:vAlign w:val="center"/>
          </w:tcPr>
          <w:p w14:paraId="563D9443">
            <w:pPr>
              <w:pStyle w:val="31"/>
            </w:pPr>
            <w:r>
              <w:rPr>
                <w:rFonts w:hint="eastAsia"/>
              </w:rPr>
              <w:t>45</w:t>
            </w:r>
          </w:p>
        </w:tc>
        <w:tc>
          <w:tcPr>
            <w:tcW w:w="597" w:type="pct"/>
            <w:vAlign w:val="center"/>
          </w:tcPr>
          <w:p w14:paraId="136D9F31">
            <w:pPr>
              <w:pStyle w:val="31"/>
            </w:pPr>
            <w:r>
              <w:rPr>
                <w:rFonts w:hint="eastAsia"/>
              </w:rPr>
              <w:t>3</w:t>
            </w:r>
          </w:p>
        </w:tc>
        <w:tc>
          <w:tcPr>
            <w:tcW w:w="458" w:type="pct"/>
            <w:vAlign w:val="center"/>
          </w:tcPr>
          <w:p w14:paraId="6F80CDE6">
            <w:pPr>
              <w:pStyle w:val="31"/>
            </w:pPr>
            <w:r>
              <w:rPr>
                <w:rFonts w:hint="eastAsia"/>
              </w:rPr>
              <w:t>1600</w:t>
            </w:r>
          </w:p>
        </w:tc>
        <w:tc>
          <w:tcPr>
            <w:tcW w:w="318" w:type="pct"/>
            <w:vAlign w:val="center"/>
          </w:tcPr>
          <w:p w14:paraId="081C08FB">
            <w:pPr>
              <w:pStyle w:val="31"/>
            </w:pPr>
            <w:r>
              <w:rPr>
                <w:rFonts w:hint="eastAsia"/>
              </w:rPr>
              <w:t>正常</w:t>
            </w:r>
          </w:p>
          <w:p w14:paraId="3B67EC1D">
            <w:pPr>
              <w:pStyle w:val="31"/>
            </w:pPr>
            <w:r>
              <w:rPr>
                <w:rFonts w:hint="eastAsia"/>
              </w:rPr>
              <w:t>工况</w:t>
            </w:r>
          </w:p>
        </w:tc>
        <w:tc>
          <w:tcPr>
            <w:tcW w:w="633" w:type="pct"/>
            <w:vAlign w:val="center"/>
          </w:tcPr>
          <w:p w14:paraId="1CD9DC3E">
            <w:pPr>
              <w:pStyle w:val="31"/>
              <w:rPr>
                <w:rFonts w:hint="default" w:eastAsia="宋体"/>
                <w:lang w:val="en-US" w:eastAsia="zh-CN"/>
              </w:rPr>
            </w:pPr>
            <w:r>
              <w:rPr>
                <w:rFonts w:hint="eastAsia"/>
                <w:lang w:val="en-US" w:eastAsia="zh-CN"/>
              </w:rPr>
              <w:t>0.00025</w:t>
            </w:r>
          </w:p>
        </w:tc>
        <w:tc>
          <w:tcPr>
            <w:tcW w:w="383" w:type="pct"/>
            <w:vAlign w:val="center"/>
          </w:tcPr>
          <w:p w14:paraId="6CE309D7">
            <w:pPr>
              <w:pStyle w:val="31"/>
              <w:rPr>
                <w:rFonts w:hint="default" w:eastAsia="宋体"/>
                <w:lang w:val="en-US" w:eastAsia="zh-CN"/>
              </w:rPr>
            </w:pPr>
            <w:r>
              <w:rPr>
                <w:rFonts w:hint="eastAsia"/>
                <w:lang w:val="en-US" w:eastAsia="zh-CN"/>
              </w:rPr>
              <w:t>0.000625</w:t>
            </w:r>
          </w:p>
        </w:tc>
      </w:tr>
      <w:tr w14:paraId="0709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18" w:type="pct"/>
            <w:vAlign w:val="center"/>
          </w:tcPr>
          <w:p w14:paraId="74B5805F">
            <w:pPr>
              <w:pStyle w:val="31"/>
            </w:pPr>
            <w:r>
              <w:rPr>
                <w:rFonts w:hint="eastAsia"/>
              </w:rPr>
              <w:t>4</w:t>
            </w:r>
          </w:p>
        </w:tc>
        <w:tc>
          <w:tcPr>
            <w:tcW w:w="597" w:type="pct"/>
            <w:vAlign w:val="center"/>
          </w:tcPr>
          <w:p w14:paraId="720AB31F">
            <w:pPr>
              <w:pStyle w:val="31"/>
            </w:pPr>
            <w:r>
              <w:rPr>
                <w:rFonts w:hint="eastAsia"/>
              </w:rPr>
              <w:t>危废暂存间</w:t>
            </w:r>
          </w:p>
        </w:tc>
        <w:tc>
          <w:tcPr>
            <w:tcW w:w="298" w:type="pct"/>
            <w:vAlign w:val="center"/>
          </w:tcPr>
          <w:p w14:paraId="1F869AC9">
            <w:pPr>
              <w:pStyle w:val="31"/>
            </w:pPr>
          </w:p>
        </w:tc>
        <w:tc>
          <w:tcPr>
            <w:tcW w:w="298" w:type="pct"/>
            <w:vAlign w:val="center"/>
          </w:tcPr>
          <w:p w14:paraId="09ECC180">
            <w:pPr>
              <w:pStyle w:val="31"/>
            </w:pPr>
          </w:p>
        </w:tc>
        <w:tc>
          <w:tcPr>
            <w:tcW w:w="458" w:type="pct"/>
            <w:vAlign w:val="center"/>
          </w:tcPr>
          <w:p w14:paraId="5AC812FB">
            <w:pPr>
              <w:pStyle w:val="31"/>
              <w:rPr>
                <w:rFonts w:hint="default" w:eastAsia="宋体"/>
                <w:lang w:val="en-US" w:eastAsia="zh-CN"/>
              </w:rPr>
            </w:pPr>
            <w:r>
              <w:rPr>
                <w:rFonts w:hint="eastAsia"/>
              </w:rPr>
              <w:t>44</w:t>
            </w:r>
            <w:r>
              <w:rPr>
                <w:rFonts w:hint="eastAsia"/>
                <w:lang w:val="en-US" w:eastAsia="zh-CN"/>
              </w:rPr>
              <w:t>.5</w:t>
            </w:r>
          </w:p>
        </w:tc>
        <w:tc>
          <w:tcPr>
            <w:tcW w:w="318" w:type="pct"/>
            <w:vAlign w:val="center"/>
          </w:tcPr>
          <w:p w14:paraId="488D0BF6">
            <w:pPr>
              <w:pStyle w:val="31"/>
            </w:pPr>
            <w:r>
              <w:rPr>
                <w:rFonts w:hint="eastAsia"/>
              </w:rPr>
              <w:t>25</w:t>
            </w:r>
          </w:p>
        </w:tc>
        <w:tc>
          <w:tcPr>
            <w:tcW w:w="318" w:type="pct"/>
            <w:vAlign w:val="center"/>
          </w:tcPr>
          <w:p w14:paraId="6610C1F8">
            <w:pPr>
              <w:pStyle w:val="31"/>
            </w:pPr>
            <w:r>
              <w:rPr>
                <w:rFonts w:hint="eastAsia"/>
              </w:rPr>
              <w:t>4</w:t>
            </w:r>
          </w:p>
        </w:tc>
        <w:tc>
          <w:tcPr>
            <w:tcW w:w="597" w:type="pct"/>
            <w:vAlign w:val="center"/>
          </w:tcPr>
          <w:p w14:paraId="2BEE2CA0">
            <w:pPr>
              <w:pStyle w:val="31"/>
            </w:pPr>
            <w:r>
              <w:rPr>
                <w:rFonts w:hint="eastAsia"/>
              </w:rPr>
              <w:t>5</w:t>
            </w:r>
          </w:p>
        </w:tc>
        <w:tc>
          <w:tcPr>
            <w:tcW w:w="458" w:type="pct"/>
            <w:vAlign w:val="center"/>
          </w:tcPr>
          <w:p w14:paraId="6B32AE52">
            <w:pPr>
              <w:pStyle w:val="31"/>
            </w:pPr>
            <w:r>
              <w:rPr>
                <w:rFonts w:hint="eastAsia"/>
              </w:rPr>
              <w:t>8760</w:t>
            </w:r>
          </w:p>
        </w:tc>
        <w:tc>
          <w:tcPr>
            <w:tcW w:w="318" w:type="pct"/>
            <w:vAlign w:val="center"/>
          </w:tcPr>
          <w:p w14:paraId="2EF27726">
            <w:pPr>
              <w:pStyle w:val="31"/>
            </w:pPr>
            <w:r>
              <w:rPr>
                <w:rFonts w:hint="eastAsia"/>
              </w:rPr>
              <w:t>正常</w:t>
            </w:r>
          </w:p>
          <w:p w14:paraId="12566279">
            <w:pPr>
              <w:pStyle w:val="31"/>
            </w:pPr>
            <w:r>
              <w:rPr>
                <w:rFonts w:hint="eastAsia"/>
              </w:rPr>
              <w:t>工况</w:t>
            </w:r>
          </w:p>
        </w:tc>
        <w:tc>
          <w:tcPr>
            <w:tcW w:w="633" w:type="pct"/>
            <w:vAlign w:val="center"/>
          </w:tcPr>
          <w:p w14:paraId="170C77FA">
            <w:pPr>
              <w:pStyle w:val="31"/>
              <w:rPr>
                <w:rFonts w:hint="default" w:eastAsia="宋体"/>
                <w:lang w:val="en-US" w:eastAsia="zh-CN"/>
              </w:rPr>
            </w:pPr>
            <w:r>
              <w:rPr>
                <w:rFonts w:hint="eastAsia"/>
                <w:lang w:val="en-US" w:eastAsia="zh-CN"/>
              </w:rPr>
              <w:t>0.00457</w:t>
            </w:r>
          </w:p>
        </w:tc>
        <w:tc>
          <w:tcPr>
            <w:tcW w:w="383" w:type="pct"/>
            <w:vAlign w:val="center"/>
          </w:tcPr>
          <w:p w14:paraId="54637841">
            <w:pPr>
              <w:pStyle w:val="31"/>
            </w:pPr>
            <w:r>
              <w:rPr>
                <w:rFonts w:hint="eastAsia"/>
              </w:rPr>
              <w:t>/</w:t>
            </w:r>
          </w:p>
        </w:tc>
      </w:tr>
    </w:tbl>
    <w:p w14:paraId="22933CE1">
      <w:pPr>
        <w:pStyle w:val="21"/>
        <w:rPr>
          <w:rFonts w:hint="eastAsia"/>
          <w:lang w:val="en-US" w:eastAsia="zh-CN"/>
        </w:rPr>
      </w:pPr>
      <w:r>
        <w:rPr>
          <w:rFonts w:hint="eastAsia"/>
          <w:lang w:val="en-US" w:eastAsia="zh-CN"/>
        </w:rPr>
        <w:t>⑤估算模型参数</w:t>
      </w:r>
    </w:p>
    <w:p w14:paraId="2D7B8378">
      <w:pPr>
        <w:pStyle w:val="23"/>
        <w:rPr>
          <w:snapToGrid w:val="0"/>
        </w:rPr>
      </w:pPr>
      <w:r>
        <w:rPr>
          <w:rFonts w:cs="Times New Roman"/>
          <w:snapToGrid w:val="0"/>
        </w:rPr>
        <w:t>表</w:t>
      </w:r>
      <w:r>
        <w:rPr>
          <w:rFonts w:hint="eastAsia" w:cs="Times New Roman"/>
          <w:snapToGrid w:val="0"/>
          <w:lang w:val="en-US" w:eastAsia="zh-CN"/>
        </w:rPr>
        <w:t>5.2-4</w:t>
      </w:r>
      <w:r>
        <w:rPr>
          <w:rFonts w:cs="Times New Roman"/>
          <w:snapToGrid w:val="0"/>
        </w:rPr>
        <w:t>项</w:t>
      </w:r>
      <w:r>
        <w:rPr>
          <w:snapToGrid w:val="0"/>
        </w:rPr>
        <w:t>目估算模型参数表</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7"/>
        <w:gridCol w:w="3107"/>
        <w:gridCol w:w="2516"/>
      </w:tblGrid>
      <w:tr w14:paraId="71F4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523" w:type="pct"/>
            <w:gridSpan w:val="2"/>
            <w:vAlign w:val="center"/>
          </w:tcPr>
          <w:p w14:paraId="7E88042F">
            <w:pPr>
              <w:pStyle w:val="31"/>
            </w:pPr>
            <w:r>
              <w:t>参数</w:t>
            </w:r>
          </w:p>
        </w:tc>
        <w:tc>
          <w:tcPr>
            <w:tcW w:w="1476" w:type="pct"/>
            <w:vAlign w:val="center"/>
          </w:tcPr>
          <w:p w14:paraId="34A59002">
            <w:pPr>
              <w:pStyle w:val="31"/>
            </w:pPr>
            <w:r>
              <w:t>取值</w:t>
            </w:r>
          </w:p>
        </w:tc>
      </w:tr>
      <w:tr w14:paraId="61BD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0CB607B5">
            <w:pPr>
              <w:pStyle w:val="31"/>
            </w:pPr>
            <w:r>
              <w:t>城市/农村选项</w:t>
            </w:r>
          </w:p>
        </w:tc>
        <w:tc>
          <w:tcPr>
            <w:tcW w:w="1822" w:type="pct"/>
            <w:vAlign w:val="center"/>
          </w:tcPr>
          <w:p w14:paraId="6D592E3E">
            <w:pPr>
              <w:pStyle w:val="31"/>
            </w:pPr>
            <w:r>
              <w:t>城市/农村</w:t>
            </w:r>
          </w:p>
        </w:tc>
        <w:tc>
          <w:tcPr>
            <w:tcW w:w="1476" w:type="pct"/>
            <w:vAlign w:val="center"/>
          </w:tcPr>
          <w:p w14:paraId="5E0EBD72">
            <w:pPr>
              <w:pStyle w:val="31"/>
            </w:pPr>
            <w:r>
              <w:rPr>
                <w:rFonts w:hint="eastAsia" w:ascii="宋体" w:hAnsi="宋体" w:cs="宋体"/>
              </w:rPr>
              <w:t>农村</w:t>
            </w:r>
          </w:p>
        </w:tc>
      </w:tr>
      <w:tr w14:paraId="7824B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6042A7E7">
            <w:pPr>
              <w:pStyle w:val="31"/>
            </w:pPr>
          </w:p>
        </w:tc>
        <w:tc>
          <w:tcPr>
            <w:tcW w:w="1822" w:type="pct"/>
            <w:vAlign w:val="center"/>
          </w:tcPr>
          <w:p w14:paraId="63737B75">
            <w:pPr>
              <w:pStyle w:val="31"/>
            </w:pPr>
            <w:r>
              <w:t>人口数（城市选项时）</w:t>
            </w:r>
          </w:p>
        </w:tc>
        <w:tc>
          <w:tcPr>
            <w:tcW w:w="1476" w:type="pct"/>
            <w:shd w:val="clear" w:color="auto" w:fill="auto"/>
            <w:vAlign w:val="center"/>
          </w:tcPr>
          <w:p w14:paraId="01AF1A87">
            <w:pPr>
              <w:pStyle w:val="31"/>
            </w:pPr>
            <w:r>
              <w:rPr>
                <w:rFonts w:eastAsia="Times New Roman"/>
              </w:rPr>
              <w:t>/</w:t>
            </w:r>
          </w:p>
        </w:tc>
      </w:tr>
      <w:tr w14:paraId="5964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3D86B176">
            <w:pPr>
              <w:pStyle w:val="31"/>
            </w:pPr>
            <w:r>
              <w:t>最高环境温度/℃</w:t>
            </w:r>
          </w:p>
        </w:tc>
        <w:tc>
          <w:tcPr>
            <w:tcW w:w="1476" w:type="pct"/>
            <w:shd w:val="clear" w:color="auto" w:fill="auto"/>
            <w:vAlign w:val="center"/>
          </w:tcPr>
          <w:p w14:paraId="705236D1">
            <w:pPr>
              <w:pStyle w:val="31"/>
              <w:rPr>
                <w:rFonts w:cs="Times New Roman"/>
              </w:rPr>
            </w:pPr>
            <w:r>
              <w:rPr>
                <w:rFonts w:hint="eastAsia" w:cs="Times New Roman"/>
                <w:color w:val="000000"/>
              </w:rPr>
              <w:t>41.30</w:t>
            </w:r>
            <w:r>
              <w:rPr>
                <w:rFonts w:cs="Times New Roman"/>
                <w:color w:val="000000"/>
              </w:rPr>
              <w:t>℃</w:t>
            </w:r>
          </w:p>
        </w:tc>
      </w:tr>
      <w:tr w14:paraId="10F5F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1176B77B">
            <w:pPr>
              <w:pStyle w:val="31"/>
            </w:pPr>
            <w:r>
              <w:t>最低环境温度/℃</w:t>
            </w:r>
          </w:p>
        </w:tc>
        <w:tc>
          <w:tcPr>
            <w:tcW w:w="1476" w:type="pct"/>
            <w:shd w:val="clear" w:color="auto" w:fill="auto"/>
            <w:vAlign w:val="center"/>
          </w:tcPr>
          <w:p w14:paraId="1B67B2F3">
            <w:pPr>
              <w:pStyle w:val="31"/>
              <w:rPr>
                <w:rFonts w:cs="Times New Roman"/>
              </w:rPr>
            </w:pPr>
            <w:r>
              <w:rPr>
                <w:rFonts w:cs="Times New Roman"/>
                <w:color w:val="000000"/>
              </w:rPr>
              <w:t>-7.</w:t>
            </w:r>
            <w:r>
              <w:rPr>
                <w:rFonts w:hint="eastAsia" w:cs="Times New Roman"/>
                <w:color w:val="000000"/>
              </w:rPr>
              <w:t>90</w:t>
            </w:r>
            <w:r>
              <w:rPr>
                <w:rFonts w:cs="Times New Roman"/>
                <w:color w:val="000000"/>
              </w:rPr>
              <w:t>℃</w:t>
            </w:r>
          </w:p>
        </w:tc>
      </w:tr>
      <w:tr w14:paraId="59AE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601E142B">
            <w:pPr>
              <w:pStyle w:val="31"/>
            </w:pPr>
            <w:r>
              <w:t>地表类型</w:t>
            </w:r>
          </w:p>
        </w:tc>
        <w:tc>
          <w:tcPr>
            <w:tcW w:w="1476" w:type="pct"/>
            <w:shd w:val="clear" w:color="auto" w:fill="auto"/>
            <w:vAlign w:val="center"/>
          </w:tcPr>
          <w:p w14:paraId="08F4086F">
            <w:pPr>
              <w:pStyle w:val="31"/>
            </w:pPr>
            <w:r>
              <w:rPr>
                <w:rFonts w:hint="eastAsia" w:ascii="宋体" w:hAnsi="宋体" w:cs="宋体"/>
              </w:rPr>
              <w:t>建设用地</w:t>
            </w:r>
            <w:r>
              <w:rPr>
                <w:rFonts w:hint="eastAsia" w:eastAsia="Times New Roman"/>
              </w:rPr>
              <w:t>/</w:t>
            </w:r>
            <w:r>
              <w:rPr>
                <w:rFonts w:hint="eastAsia" w:ascii="宋体" w:hAnsi="宋体" w:cs="宋体"/>
              </w:rPr>
              <w:t>农作地</w:t>
            </w:r>
          </w:p>
        </w:tc>
      </w:tr>
      <w:tr w14:paraId="5314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pct"/>
            <w:gridSpan w:val="2"/>
            <w:vAlign w:val="center"/>
          </w:tcPr>
          <w:p w14:paraId="5EDB4CC1">
            <w:pPr>
              <w:pStyle w:val="31"/>
            </w:pPr>
            <w:r>
              <w:t>区域湿度条件</w:t>
            </w:r>
          </w:p>
        </w:tc>
        <w:tc>
          <w:tcPr>
            <w:tcW w:w="1476" w:type="pct"/>
            <w:vAlign w:val="center"/>
          </w:tcPr>
          <w:p w14:paraId="005165CD">
            <w:pPr>
              <w:pStyle w:val="31"/>
            </w:pPr>
            <w:r>
              <w:rPr>
                <w:rFonts w:hint="eastAsia" w:ascii="宋体" w:hAnsi="宋体" w:cs="宋体"/>
              </w:rPr>
              <w:t>潮湿气候</w:t>
            </w:r>
          </w:p>
        </w:tc>
      </w:tr>
      <w:tr w14:paraId="43B3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2B95D1A3">
            <w:pPr>
              <w:pStyle w:val="31"/>
            </w:pPr>
            <w:r>
              <w:t>是否考虑地形</w:t>
            </w:r>
          </w:p>
        </w:tc>
        <w:tc>
          <w:tcPr>
            <w:tcW w:w="1822" w:type="pct"/>
            <w:vAlign w:val="center"/>
          </w:tcPr>
          <w:p w14:paraId="6B92D8AF">
            <w:pPr>
              <w:pStyle w:val="31"/>
            </w:pPr>
            <w:r>
              <w:t>考虑地形</w:t>
            </w:r>
          </w:p>
        </w:tc>
        <w:tc>
          <w:tcPr>
            <w:tcW w:w="1476" w:type="pct"/>
            <w:vAlign w:val="center"/>
          </w:tcPr>
          <w:p w14:paraId="7F816A14">
            <w:pPr>
              <w:pStyle w:val="31"/>
            </w:pPr>
            <w:r>
              <w:rPr>
                <w:rFonts w:hint="eastAsia" w:ascii="宋体" w:hAnsi="宋体" w:cs="宋体"/>
              </w:rPr>
              <w:t>是</w:t>
            </w:r>
          </w:p>
        </w:tc>
      </w:tr>
      <w:tr w14:paraId="39C2D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73774DBA">
            <w:pPr>
              <w:pStyle w:val="31"/>
            </w:pPr>
          </w:p>
        </w:tc>
        <w:tc>
          <w:tcPr>
            <w:tcW w:w="1822" w:type="pct"/>
            <w:vAlign w:val="center"/>
          </w:tcPr>
          <w:p w14:paraId="55D2F805">
            <w:pPr>
              <w:pStyle w:val="31"/>
            </w:pPr>
            <w:r>
              <w:t>地形数据分辨率/m</w:t>
            </w:r>
          </w:p>
        </w:tc>
        <w:tc>
          <w:tcPr>
            <w:tcW w:w="1476" w:type="pct"/>
            <w:vAlign w:val="center"/>
          </w:tcPr>
          <w:p w14:paraId="74C342FA">
            <w:pPr>
              <w:pStyle w:val="31"/>
            </w:pPr>
            <w:r>
              <w:rPr>
                <w:rFonts w:cs="Times New Roman"/>
              </w:rPr>
              <w:t>90</w:t>
            </w:r>
          </w:p>
        </w:tc>
      </w:tr>
      <w:tr w14:paraId="1B504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restart"/>
            <w:vAlign w:val="center"/>
          </w:tcPr>
          <w:p w14:paraId="712DE049">
            <w:pPr>
              <w:pStyle w:val="31"/>
            </w:pPr>
            <w:r>
              <w:t>是否考虑岸线熏烟</w:t>
            </w:r>
          </w:p>
        </w:tc>
        <w:tc>
          <w:tcPr>
            <w:tcW w:w="1822" w:type="pct"/>
            <w:vAlign w:val="center"/>
          </w:tcPr>
          <w:p w14:paraId="4352B70C">
            <w:pPr>
              <w:pStyle w:val="31"/>
            </w:pPr>
            <w:r>
              <w:t>考虑岸线熏烟</w:t>
            </w:r>
          </w:p>
        </w:tc>
        <w:tc>
          <w:tcPr>
            <w:tcW w:w="1476" w:type="pct"/>
            <w:vAlign w:val="center"/>
          </w:tcPr>
          <w:p w14:paraId="07C4AEAF">
            <w:pPr>
              <w:pStyle w:val="31"/>
            </w:pPr>
            <w:r>
              <w:rPr>
                <w:rFonts w:eastAsia="Times New Roman"/>
              </w:rPr>
              <w:t>——</w:t>
            </w:r>
          </w:p>
        </w:tc>
      </w:tr>
      <w:tr w14:paraId="46C9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77544CCD">
            <w:pPr>
              <w:pStyle w:val="31"/>
            </w:pPr>
          </w:p>
        </w:tc>
        <w:tc>
          <w:tcPr>
            <w:tcW w:w="1822" w:type="pct"/>
            <w:vAlign w:val="center"/>
          </w:tcPr>
          <w:p w14:paraId="31A34121">
            <w:pPr>
              <w:pStyle w:val="31"/>
            </w:pPr>
            <w:r>
              <w:t>岸线距离/km</w:t>
            </w:r>
          </w:p>
        </w:tc>
        <w:tc>
          <w:tcPr>
            <w:tcW w:w="1476" w:type="pct"/>
            <w:vAlign w:val="center"/>
          </w:tcPr>
          <w:p w14:paraId="2F595744">
            <w:pPr>
              <w:pStyle w:val="31"/>
            </w:pPr>
            <w:r>
              <w:rPr>
                <w:rFonts w:eastAsia="Times New Roman"/>
              </w:rPr>
              <w:t>——</w:t>
            </w:r>
          </w:p>
        </w:tc>
      </w:tr>
      <w:tr w14:paraId="0C2B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0" w:type="pct"/>
            <w:vMerge w:val="continue"/>
            <w:vAlign w:val="center"/>
          </w:tcPr>
          <w:p w14:paraId="1B9EEEAB">
            <w:pPr>
              <w:pStyle w:val="31"/>
            </w:pPr>
          </w:p>
        </w:tc>
        <w:tc>
          <w:tcPr>
            <w:tcW w:w="1822" w:type="pct"/>
            <w:vAlign w:val="center"/>
          </w:tcPr>
          <w:p w14:paraId="62ED8858">
            <w:pPr>
              <w:pStyle w:val="31"/>
            </w:pPr>
            <w:r>
              <w:t>岸线方向/°</w:t>
            </w:r>
          </w:p>
        </w:tc>
        <w:tc>
          <w:tcPr>
            <w:tcW w:w="1476" w:type="pct"/>
            <w:vAlign w:val="center"/>
          </w:tcPr>
          <w:p w14:paraId="5C694965">
            <w:pPr>
              <w:pStyle w:val="31"/>
            </w:pPr>
            <w:r>
              <w:rPr>
                <w:rFonts w:eastAsia="Times New Roman"/>
              </w:rPr>
              <w:t>——</w:t>
            </w:r>
          </w:p>
        </w:tc>
      </w:tr>
    </w:tbl>
    <w:p w14:paraId="51963D6B">
      <w:pPr>
        <w:pStyle w:val="21"/>
        <w:rPr>
          <w:rFonts w:hint="eastAsia"/>
          <w:lang w:val="en-US" w:eastAsia="zh-CN"/>
        </w:rPr>
      </w:pPr>
      <w:r>
        <w:rPr>
          <w:rFonts w:hint="eastAsia"/>
          <w:lang w:val="en-US" w:eastAsia="zh-CN"/>
        </w:rPr>
        <w:t>⑥估算结果</w:t>
      </w:r>
    </w:p>
    <w:p w14:paraId="44AC71BF">
      <w:pPr>
        <w:pStyle w:val="23"/>
        <w:bidi w:val="0"/>
        <w:rPr>
          <w:rFonts w:hint="eastAsia"/>
          <w:lang w:val="en-US" w:eastAsia="zh-CN"/>
        </w:rPr>
      </w:pPr>
      <w:r>
        <w:rPr>
          <w:rFonts w:hint="eastAsia"/>
          <w:lang w:val="en-US" w:eastAsia="zh-CN"/>
        </w:rPr>
        <w:t>表5.2-5  估算结果表</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83"/>
        <w:gridCol w:w="694"/>
        <w:gridCol w:w="1758"/>
        <w:gridCol w:w="1117"/>
        <w:gridCol w:w="1758"/>
        <w:gridCol w:w="1117"/>
      </w:tblGrid>
      <w:tr w14:paraId="4DF9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Merge w:val="restart"/>
            <w:vAlign w:val="center"/>
          </w:tcPr>
          <w:p w14:paraId="5105B84E">
            <w:pPr>
              <w:pStyle w:val="31"/>
              <w:bidi w:val="0"/>
              <w:jc w:val="center"/>
              <w:rPr>
                <w:rFonts w:hint="default"/>
                <w:lang w:val="en-US" w:eastAsia="zh-CN"/>
              </w:rPr>
            </w:pPr>
            <w:r>
              <w:rPr>
                <w:rFonts w:hint="eastAsia"/>
                <w:lang w:val="en-US" w:eastAsia="zh-CN"/>
              </w:rPr>
              <w:t>序号</w:t>
            </w:r>
          </w:p>
        </w:tc>
        <w:tc>
          <w:tcPr>
            <w:tcW w:w="811" w:type="pct"/>
            <w:vMerge w:val="restart"/>
            <w:vAlign w:val="center"/>
          </w:tcPr>
          <w:p w14:paraId="59C8D68B">
            <w:pPr>
              <w:pStyle w:val="31"/>
              <w:bidi w:val="0"/>
              <w:jc w:val="center"/>
              <w:rPr>
                <w:rFonts w:hint="default"/>
                <w:lang w:val="en-US" w:eastAsia="zh-CN"/>
              </w:rPr>
            </w:pPr>
            <w:r>
              <w:rPr>
                <w:rFonts w:hint="eastAsia"/>
                <w:lang w:val="en-US" w:eastAsia="zh-CN"/>
              </w:rPr>
              <w:t>污染源名称</w:t>
            </w:r>
          </w:p>
        </w:tc>
        <w:tc>
          <w:tcPr>
            <w:tcW w:w="407" w:type="pct"/>
            <w:vMerge w:val="restart"/>
            <w:vAlign w:val="center"/>
          </w:tcPr>
          <w:p w14:paraId="54ABE1C7">
            <w:pPr>
              <w:pStyle w:val="31"/>
              <w:bidi w:val="0"/>
              <w:jc w:val="center"/>
              <w:rPr>
                <w:rFonts w:hint="eastAsia"/>
                <w:lang w:val="en-US" w:eastAsia="zh-CN"/>
              </w:rPr>
            </w:pPr>
            <w:r>
              <w:rPr>
                <w:rFonts w:hint="eastAsia"/>
                <w:lang w:val="en-US" w:eastAsia="zh-CN"/>
              </w:rPr>
              <w:t>距离</w:t>
            </w:r>
          </w:p>
          <w:p w14:paraId="02A3EA2A">
            <w:pPr>
              <w:pStyle w:val="31"/>
              <w:bidi w:val="0"/>
              <w:jc w:val="center"/>
              <w:rPr>
                <w:rFonts w:hint="default"/>
                <w:lang w:val="en-US" w:eastAsia="zh-CN"/>
              </w:rPr>
            </w:pPr>
            <w:r>
              <w:rPr>
                <w:rFonts w:hint="eastAsia"/>
                <w:lang w:val="en-US" w:eastAsia="zh-CN"/>
              </w:rPr>
              <w:t>m</w:t>
            </w:r>
          </w:p>
        </w:tc>
        <w:tc>
          <w:tcPr>
            <w:tcW w:w="1686" w:type="pct"/>
            <w:gridSpan w:val="2"/>
            <w:vAlign w:val="center"/>
          </w:tcPr>
          <w:p w14:paraId="4A1CF994">
            <w:pPr>
              <w:pStyle w:val="31"/>
              <w:bidi w:val="0"/>
              <w:jc w:val="center"/>
              <w:rPr>
                <w:rFonts w:hint="default"/>
                <w:lang w:val="en-US" w:eastAsia="zh-CN"/>
              </w:rPr>
            </w:pPr>
            <w:r>
              <w:rPr>
                <w:rFonts w:hint="eastAsia"/>
                <w:lang w:val="en-US" w:eastAsia="zh-CN"/>
              </w:rPr>
              <w:t>TSP</w:t>
            </w:r>
          </w:p>
        </w:tc>
        <w:tc>
          <w:tcPr>
            <w:tcW w:w="1686" w:type="pct"/>
            <w:gridSpan w:val="2"/>
            <w:vAlign w:val="center"/>
          </w:tcPr>
          <w:p w14:paraId="539E3944">
            <w:pPr>
              <w:pStyle w:val="31"/>
              <w:bidi w:val="0"/>
              <w:jc w:val="center"/>
              <w:rPr>
                <w:rFonts w:hint="eastAsia"/>
                <w:lang w:val="en-US" w:eastAsia="zh-CN"/>
              </w:rPr>
            </w:pPr>
            <w:r>
              <w:rPr>
                <w:rFonts w:hint="eastAsia"/>
                <w:lang w:val="en-US" w:eastAsia="zh-CN"/>
              </w:rPr>
              <w:t>NMHC</w:t>
            </w:r>
          </w:p>
        </w:tc>
      </w:tr>
      <w:tr w14:paraId="2829E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Merge w:val="continue"/>
            <w:vAlign w:val="center"/>
          </w:tcPr>
          <w:p w14:paraId="4A03E2F0">
            <w:pPr>
              <w:pStyle w:val="31"/>
              <w:bidi w:val="0"/>
              <w:jc w:val="center"/>
              <w:rPr>
                <w:rFonts w:hint="default"/>
                <w:lang w:val="en-US" w:eastAsia="zh-CN"/>
              </w:rPr>
            </w:pPr>
          </w:p>
        </w:tc>
        <w:tc>
          <w:tcPr>
            <w:tcW w:w="811" w:type="pct"/>
            <w:vMerge w:val="continue"/>
            <w:vAlign w:val="center"/>
          </w:tcPr>
          <w:p w14:paraId="28075835">
            <w:pPr>
              <w:pStyle w:val="31"/>
              <w:bidi w:val="0"/>
              <w:jc w:val="center"/>
              <w:rPr>
                <w:rFonts w:hint="default"/>
                <w:lang w:val="en-US" w:eastAsia="zh-CN"/>
              </w:rPr>
            </w:pPr>
          </w:p>
        </w:tc>
        <w:tc>
          <w:tcPr>
            <w:tcW w:w="407" w:type="pct"/>
            <w:vMerge w:val="continue"/>
            <w:vAlign w:val="center"/>
          </w:tcPr>
          <w:p w14:paraId="218CA0B8">
            <w:pPr>
              <w:pStyle w:val="31"/>
              <w:bidi w:val="0"/>
              <w:jc w:val="center"/>
              <w:rPr>
                <w:rFonts w:hint="default"/>
                <w:lang w:val="en-US" w:eastAsia="zh-CN"/>
              </w:rPr>
            </w:pPr>
          </w:p>
        </w:tc>
        <w:tc>
          <w:tcPr>
            <w:tcW w:w="1031" w:type="pct"/>
            <w:vAlign w:val="center"/>
          </w:tcPr>
          <w:p w14:paraId="5E26F681">
            <w:pPr>
              <w:pStyle w:val="31"/>
              <w:bidi w:val="0"/>
              <w:jc w:val="center"/>
              <w:rPr>
                <w:rFonts w:hint="default"/>
                <w:vertAlign w:val="superscript"/>
                <w:lang w:val="en-US" w:eastAsia="zh-CN"/>
              </w:rPr>
            </w:pPr>
            <w:r>
              <w:rPr>
                <w:rFonts w:hint="eastAsia"/>
                <w:lang w:val="en-US" w:eastAsia="zh-CN"/>
              </w:rPr>
              <w:t>最大浓度ug/m</w:t>
            </w:r>
            <w:r>
              <w:rPr>
                <w:rFonts w:hint="eastAsia"/>
                <w:vertAlign w:val="superscript"/>
                <w:lang w:val="en-US" w:eastAsia="zh-CN"/>
              </w:rPr>
              <w:t>3</w:t>
            </w:r>
          </w:p>
        </w:tc>
        <w:tc>
          <w:tcPr>
            <w:tcW w:w="654" w:type="pct"/>
            <w:vAlign w:val="center"/>
          </w:tcPr>
          <w:p w14:paraId="65FF206A">
            <w:pPr>
              <w:pStyle w:val="31"/>
              <w:bidi w:val="0"/>
              <w:jc w:val="center"/>
              <w:rPr>
                <w:rFonts w:hint="default"/>
                <w:lang w:val="en-US" w:eastAsia="zh-CN"/>
              </w:rPr>
            </w:pPr>
            <w:r>
              <w:rPr>
                <w:rFonts w:hint="eastAsia"/>
                <w:lang w:val="en-US" w:eastAsia="zh-CN"/>
              </w:rPr>
              <w:t>占标率%</w:t>
            </w:r>
          </w:p>
        </w:tc>
        <w:tc>
          <w:tcPr>
            <w:tcW w:w="1031" w:type="pct"/>
            <w:shd w:val="clear" w:color="auto" w:fill="auto"/>
            <w:vAlign w:val="center"/>
          </w:tcPr>
          <w:p w14:paraId="0247A855">
            <w:pPr>
              <w:pStyle w:val="31"/>
              <w:bidi w:val="0"/>
              <w:ind w:firstLine="0" w:firstLineChars="0"/>
              <w:jc w:val="center"/>
              <w:rPr>
                <w:rFonts w:hint="default" w:ascii="Times New Roman" w:hAnsi="Times New Roman" w:eastAsia="宋体" w:cstheme="minorBidi"/>
                <w:kern w:val="2"/>
                <w:sz w:val="21"/>
                <w:szCs w:val="21"/>
                <w:vertAlign w:val="superscript"/>
                <w:lang w:val="en-US" w:eastAsia="zh-CN" w:bidi="ar-SA"/>
                <w14:ligatures w14:val="standardContextual"/>
              </w:rPr>
            </w:pPr>
            <w:r>
              <w:rPr>
                <w:rFonts w:hint="eastAsia"/>
                <w:lang w:val="en-US" w:eastAsia="zh-CN"/>
              </w:rPr>
              <w:t>最大浓度ug/m</w:t>
            </w:r>
            <w:r>
              <w:rPr>
                <w:rFonts w:hint="eastAsia"/>
                <w:vertAlign w:val="superscript"/>
                <w:lang w:val="en-US" w:eastAsia="zh-CN"/>
              </w:rPr>
              <w:t>3</w:t>
            </w:r>
          </w:p>
        </w:tc>
        <w:tc>
          <w:tcPr>
            <w:tcW w:w="654" w:type="pct"/>
            <w:shd w:val="clear" w:color="auto" w:fill="auto"/>
            <w:vAlign w:val="center"/>
          </w:tcPr>
          <w:p w14:paraId="7C591A5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占标率%</w:t>
            </w:r>
          </w:p>
        </w:tc>
      </w:tr>
      <w:tr w14:paraId="0F031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99AE4DF">
            <w:pPr>
              <w:pStyle w:val="31"/>
              <w:bidi w:val="0"/>
              <w:jc w:val="center"/>
              <w:rPr>
                <w:rFonts w:hint="default"/>
                <w:lang w:val="en-US" w:eastAsia="zh-CN"/>
              </w:rPr>
            </w:pPr>
            <w:r>
              <w:rPr>
                <w:rFonts w:hint="eastAsia"/>
                <w:lang w:val="en-US" w:eastAsia="zh-CN"/>
              </w:rPr>
              <w:t>1</w:t>
            </w:r>
          </w:p>
        </w:tc>
        <w:tc>
          <w:tcPr>
            <w:tcW w:w="811" w:type="pct"/>
            <w:vAlign w:val="center"/>
          </w:tcPr>
          <w:p w14:paraId="03C0BAC0">
            <w:pPr>
              <w:pStyle w:val="31"/>
              <w:bidi w:val="0"/>
              <w:jc w:val="center"/>
              <w:rPr>
                <w:rFonts w:hint="default"/>
                <w:lang w:val="en-US" w:eastAsia="zh-CN"/>
              </w:rPr>
            </w:pPr>
            <w:r>
              <w:rPr>
                <w:rFonts w:hint="eastAsia"/>
                <w:lang w:val="en-US" w:eastAsia="zh-CN"/>
              </w:rPr>
              <w:t>拆解船台</w:t>
            </w:r>
          </w:p>
        </w:tc>
        <w:tc>
          <w:tcPr>
            <w:tcW w:w="407" w:type="pct"/>
            <w:vAlign w:val="center"/>
          </w:tcPr>
          <w:p w14:paraId="6B8A88A6">
            <w:pPr>
              <w:pStyle w:val="31"/>
              <w:bidi w:val="0"/>
              <w:jc w:val="center"/>
              <w:rPr>
                <w:rFonts w:hint="default"/>
                <w:lang w:val="en-US" w:eastAsia="zh-CN"/>
              </w:rPr>
            </w:pPr>
            <w:r>
              <w:rPr>
                <w:rFonts w:hint="eastAsia"/>
                <w:lang w:val="en-US" w:eastAsia="zh-CN"/>
              </w:rPr>
              <w:t>73</w:t>
            </w:r>
          </w:p>
        </w:tc>
        <w:tc>
          <w:tcPr>
            <w:tcW w:w="1031" w:type="pct"/>
            <w:vAlign w:val="center"/>
          </w:tcPr>
          <w:p w14:paraId="21CC1BC0">
            <w:pPr>
              <w:pStyle w:val="31"/>
              <w:bidi w:val="0"/>
              <w:jc w:val="center"/>
              <w:rPr>
                <w:rFonts w:hint="default"/>
                <w:lang w:val="en-US" w:eastAsia="zh-CN"/>
              </w:rPr>
            </w:pPr>
            <w:r>
              <w:rPr>
                <w:rFonts w:hint="eastAsia"/>
                <w:lang w:val="en-US" w:eastAsia="zh-CN"/>
              </w:rPr>
              <w:t>1.7051</w:t>
            </w:r>
          </w:p>
        </w:tc>
        <w:tc>
          <w:tcPr>
            <w:tcW w:w="654" w:type="pct"/>
            <w:vAlign w:val="center"/>
          </w:tcPr>
          <w:p w14:paraId="7F7EFB4F">
            <w:pPr>
              <w:pStyle w:val="31"/>
              <w:bidi w:val="0"/>
              <w:jc w:val="center"/>
              <w:rPr>
                <w:rFonts w:hint="default"/>
                <w:lang w:val="en-US" w:eastAsia="zh-CN"/>
              </w:rPr>
            </w:pPr>
            <w:r>
              <w:rPr>
                <w:rFonts w:hint="eastAsia"/>
                <w:lang w:val="en-US" w:eastAsia="zh-CN"/>
              </w:rPr>
              <w:t>0.19</w:t>
            </w:r>
          </w:p>
        </w:tc>
        <w:tc>
          <w:tcPr>
            <w:tcW w:w="1031" w:type="pct"/>
            <w:vAlign w:val="center"/>
          </w:tcPr>
          <w:p w14:paraId="7FADD62D">
            <w:pPr>
              <w:pStyle w:val="31"/>
              <w:bidi w:val="0"/>
              <w:jc w:val="center"/>
              <w:rPr>
                <w:rFonts w:hint="default"/>
                <w:lang w:val="en-US" w:eastAsia="zh-CN"/>
              </w:rPr>
            </w:pPr>
            <w:r>
              <w:rPr>
                <w:rFonts w:hint="eastAsia"/>
                <w:lang w:val="en-US" w:eastAsia="zh-CN"/>
              </w:rPr>
              <w:t>0.6820</w:t>
            </w:r>
          </w:p>
        </w:tc>
        <w:tc>
          <w:tcPr>
            <w:tcW w:w="654" w:type="pct"/>
            <w:vAlign w:val="center"/>
          </w:tcPr>
          <w:p w14:paraId="1F04B5AC">
            <w:pPr>
              <w:pStyle w:val="31"/>
              <w:bidi w:val="0"/>
              <w:jc w:val="center"/>
              <w:rPr>
                <w:rFonts w:hint="default"/>
                <w:lang w:val="en-US" w:eastAsia="zh-CN"/>
              </w:rPr>
            </w:pPr>
            <w:r>
              <w:rPr>
                <w:rFonts w:hint="eastAsia"/>
                <w:lang w:val="en-US" w:eastAsia="zh-CN"/>
              </w:rPr>
              <w:t>0.03</w:t>
            </w:r>
          </w:p>
        </w:tc>
      </w:tr>
      <w:tr w14:paraId="71C68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4A28DD4D">
            <w:pPr>
              <w:pStyle w:val="31"/>
              <w:bidi w:val="0"/>
              <w:jc w:val="center"/>
              <w:rPr>
                <w:rFonts w:hint="default"/>
                <w:lang w:val="en-US" w:eastAsia="zh-CN"/>
              </w:rPr>
            </w:pPr>
            <w:r>
              <w:rPr>
                <w:rFonts w:hint="eastAsia"/>
                <w:lang w:val="en-US" w:eastAsia="zh-CN"/>
              </w:rPr>
              <w:t>2</w:t>
            </w:r>
          </w:p>
        </w:tc>
        <w:tc>
          <w:tcPr>
            <w:tcW w:w="811" w:type="pct"/>
            <w:vAlign w:val="center"/>
          </w:tcPr>
          <w:p w14:paraId="3B354A3C">
            <w:pPr>
              <w:pStyle w:val="31"/>
              <w:bidi w:val="0"/>
              <w:jc w:val="center"/>
              <w:rPr>
                <w:rFonts w:hint="default"/>
                <w:lang w:val="en-US" w:eastAsia="zh-CN"/>
              </w:rPr>
            </w:pPr>
            <w:r>
              <w:rPr>
                <w:rFonts w:hint="eastAsia"/>
                <w:lang w:val="en-US" w:eastAsia="zh-CN"/>
              </w:rPr>
              <w:t>危废暂存间</w:t>
            </w:r>
          </w:p>
        </w:tc>
        <w:tc>
          <w:tcPr>
            <w:tcW w:w="407" w:type="pct"/>
            <w:vAlign w:val="center"/>
          </w:tcPr>
          <w:p w14:paraId="4A39D906">
            <w:pPr>
              <w:pStyle w:val="31"/>
              <w:bidi w:val="0"/>
              <w:jc w:val="center"/>
              <w:rPr>
                <w:rFonts w:hint="default"/>
                <w:lang w:val="en-US" w:eastAsia="zh-CN"/>
              </w:rPr>
            </w:pPr>
            <w:r>
              <w:rPr>
                <w:rFonts w:hint="eastAsia"/>
                <w:lang w:val="en-US" w:eastAsia="zh-CN"/>
              </w:rPr>
              <w:t>10</w:t>
            </w:r>
          </w:p>
        </w:tc>
        <w:tc>
          <w:tcPr>
            <w:tcW w:w="1031" w:type="pct"/>
            <w:vAlign w:val="center"/>
          </w:tcPr>
          <w:p w14:paraId="2CD904E4">
            <w:pPr>
              <w:pStyle w:val="31"/>
              <w:bidi w:val="0"/>
              <w:jc w:val="center"/>
              <w:rPr>
                <w:rFonts w:hint="default"/>
                <w:lang w:val="en-US" w:eastAsia="zh-CN"/>
              </w:rPr>
            </w:pPr>
            <w:r>
              <w:rPr>
                <w:rFonts w:hint="eastAsia"/>
                <w:lang w:val="en-US" w:eastAsia="zh-CN"/>
              </w:rPr>
              <w:t>0</w:t>
            </w:r>
          </w:p>
        </w:tc>
        <w:tc>
          <w:tcPr>
            <w:tcW w:w="654" w:type="pct"/>
            <w:vAlign w:val="center"/>
          </w:tcPr>
          <w:p w14:paraId="02196424">
            <w:pPr>
              <w:pStyle w:val="31"/>
              <w:bidi w:val="0"/>
              <w:jc w:val="center"/>
              <w:rPr>
                <w:rFonts w:hint="default"/>
                <w:lang w:val="en-US" w:eastAsia="zh-CN"/>
              </w:rPr>
            </w:pPr>
            <w:r>
              <w:rPr>
                <w:rFonts w:hint="eastAsia"/>
                <w:lang w:val="en-US" w:eastAsia="zh-CN"/>
              </w:rPr>
              <w:t>0</w:t>
            </w:r>
          </w:p>
        </w:tc>
        <w:tc>
          <w:tcPr>
            <w:tcW w:w="1031" w:type="pct"/>
            <w:vAlign w:val="center"/>
          </w:tcPr>
          <w:p w14:paraId="4E56473A">
            <w:pPr>
              <w:pStyle w:val="31"/>
              <w:bidi w:val="0"/>
              <w:jc w:val="center"/>
              <w:rPr>
                <w:rFonts w:hint="default"/>
                <w:lang w:val="en-US" w:eastAsia="zh-CN"/>
              </w:rPr>
            </w:pPr>
            <w:r>
              <w:rPr>
                <w:rFonts w:hint="eastAsia"/>
                <w:lang w:val="en-US" w:eastAsia="zh-CN"/>
              </w:rPr>
              <w:t>28.0460</w:t>
            </w:r>
          </w:p>
        </w:tc>
        <w:tc>
          <w:tcPr>
            <w:tcW w:w="654" w:type="pct"/>
            <w:vAlign w:val="center"/>
          </w:tcPr>
          <w:p w14:paraId="7B15EF57">
            <w:pPr>
              <w:pStyle w:val="31"/>
              <w:bidi w:val="0"/>
              <w:jc w:val="center"/>
              <w:rPr>
                <w:rFonts w:hint="default"/>
                <w:lang w:val="en-US" w:eastAsia="zh-CN"/>
              </w:rPr>
            </w:pPr>
            <w:r>
              <w:rPr>
                <w:rFonts w:hint="eastAsia"/>
                <w:lang w:val="en-US" w:eastAsia="zh-CN"/>
              </w:rPr>
              <w:t>1.40</w:t>
            </w:r>
          </w:p>
        </w:tc>
      </w:tr>
    </w:tbl>
    <w:p w14:paraId="13220002">
      <w:pPr>
        <w:pStyle w:val="21"/>
        <w:bidi w:val="0"/>
        <w:rPr>
          <w:rFonts w:hint="eastAsia"/>
          <w:vertAlign w:val="baseline"/>
          <w:lang w:val="en-US" w:eastAsia="zh-CN"/>
        </w:rPr>
      </w:pPr>
      <w:r>
        <w:rPr>
          <w:rFonts w:hint="eastAsia"/>
          <w:lang w:val="en-US" w:eastAsia="zh-CN"/>
        </w:rPr>
        <w:t>根据估算结果可知，最大占标率为危废暂存间排放的NMHC，最大浓度为28.046ug/m</w:t>
      </w:r>
      <w:r>
        <w:rPr>
          <w:rFonts w:hint="eastAsia"/>
          <w:vertAlign w:val="superscript"/>
          <w:lang w:val="en-US" w:eastAsia="zh-CN"/>
        </w:rPr>
        <w:t>3</w:t>
      </w:r>
      <w:r>
        <w:rPr>
          <w:rFonts w:hint="eastAsia"/>
          <w:vertAlign w:val="baseline"/>
          <w:lang w:val="en-US" w:eastAsia="zh-CN"/>
        </w:rPr>
        <w:t>，最大占标率为1.40%，因此本项目大气评价工作等级为二级，评价范围为以项目厂址为中心，边长为5km的矩形范围。</w:t>
      </w:r>
    </w:p>
    <w:p w14:paraId="57020CCB">
      <w:pPr>
        <w:pStyle w:val="36"/>
        <w:bidi w:val="0"/>
        <w:rPr>
          <w:rFonts w:hint="eastAsia"/>
          <w:lang w:val="en-US" w:eastAsia="zh-CN"/>
        </w:rPr>
      </w:pPr>
      <w:r>
        <w:rPr>
          <w:rFonts w:hint="eastAsia"/>
          <w:lang w:val="en-US" w:eastAsia="zh-CN"/>
        </w:rPr>
        <w:t>5.2.1.2大气污染物排放量核算</w:t>
      </w:r>
    </w:p>
    <w:p w14:paraId="1D62F182">
      <w:pPr>
        <w:pStyle w:val="21"/>
        <w:ind w:firstLine="480"/>
      </w:pPr>
      <w:r>
        <w:rPr>
          <w:rFonts w:hint="eastAsia"/>
        </w:rPr>
        <w:t>本项目污染物排放量核算主要包括有组织排放量核算、无组织排放量核算、大气污染物年排放量核算、非正常排放量核算。具体情况见下表5.2-6~表5.2-7</w:t>
      </w:r>
      <w:r>
        <w:t>。</w:t>
      </w:r>
    </w:p>
    <w:p w14:paraId="72A646F8">
      <w:pPr>
        <w:pStyle w:val="23"/>
      </w:pPr>
      <w:r>
        <w:rPr>
          <w:rFonts w:hint="eastAsia"/>
        </w:rPr>
        <w:t xml:space="preserve">表5.2-6  </w:t>
      </w:r>
      <w:r>
        <w:t>大气污染物无组织排放量核算表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06"/>
        <w:gridCol w:w="1233"/>
        <w:gridCol w:w="748"/>
        <w:gridCol w:w="1366"/>
        <w:gridCol w:w="2286"/>
        <w:gridCol w:w="1233"/>
        <w:gridCol w:w="990"/>
      </w:tblGrid>
      <w:tr w14:paraId="4AB9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303" w:type="pct"/>
            <w:vMerge w:val="restart"/>
            <w:vAlign w:val="center"/>
          </w:tcPr>
          <w:p w14:paraId="6FFD9C6A">
            <w:pPr>
              <w:pStyle w:val="31"/>
            </w:pPr>
            <w:r>
              <w:t>序号</w:t>
            </w:r>
          </w:p>
        </w:tc>
        <w:tc>
          <w:tcPr>
            <w:tcW w:w="737" w:type="pct"/>
            <w:vMerge w:val="restart"/>
            <w:vAlign w:val="center"/>
          </w:tcPr>
          <w:p w14:paraId="6F668651">
            <w:pPr>
              <w:pStyle w:val="31"/>
            </w:pPr>
            <w:r>
              <w:t>产污</w:t>
            </w:r>
          </w:p>
          <w:p w14:paraId="4B3BBC59">
            <w:pPr>
              <w:pStyle w:val="31"/>
            </w:pPr>
            <w:r>
              <w:t>环节</w:t>
            </w:r>
          </w:p>
        </w:tc>
        <w:tc>
          <w:tcPr>
            <w:tcW w:w="447" w:type="pct"/>
            <w:vMerge w:val="restart"/>
            <w:vAlign w:val="center"/>
          </w:tcPr>
          <w:p w14:paraId="4DB583F7">
            <w:pPr>
              <w:pStyle w:val="31"/>
            </w:pPr>
            <w:r>
              <w:t>污染物</w:t>
            </w:r>
          </w:p>
        </w:tc>
        <w:tc>
          <w:tcPr>
            <w:tcW w:w="817" w:type="pct"/>
            <w:vMerge w:val="restart"/>
            <w:vAlign w:val="center"/>
          </w:tcPr>
          <w:p w14:paraId="47946835">
            <w:pPr>
              <w:pStyle w:val="31"/>
            </w:pPr>
            <w:r>
              <w:t>主要污染</w:t>
            </w:r>
          </w:p>
          <w:p w14:paraId="236E8C0D">
            <w:pPr>
              <w:pStyle w:val="31"/>
            </w:pPr>
            <w:r>
              <w:t>防治措施</w:t>
            </w:r>
          </w:p>
        </w:tc>
        <w:tc>
          <w:tcPr>
            <w:tcW w:w="2104" w:type="pct"/>
            <w:gridSpan w:val="2"/>
            <w:vAlign w:val="center"/>
          </w:tcPr>
          <w:p w14:paraId="62FF9D8C">
            <w:pPr>
              <w:pStyle w:val="31"/>
            </w:pPr>
            <w:r>
              <w:t>国家或地方污染物排放标准</w:t>
            </w:r>
          </w:p>
        </w:tc>
        <w:tc>
          <w:tcPr>
            <w:tcW w:w="592" w:type="pct"/>
            <w:vMerge w:val="restart"/>
            <w:vAlign w:val="center"/>
          </w:tcPr>
          <w:p w14:paraId="034BE100">
            <w:pPr>
              <w:pStyle w:val="31"/>
            </w:pPr>
            <w:r>
              <w:t>年排放量</w:t>
            </w:r>
          </w:p>
          <w:p w14:paraId="11036803">
            <w:pPr>
              <w:pStyle w:val="31"/>
            </w:pPr>
            <w:r>
              <w:t>（t/a</w:t>
            </w:r>
            <w:r>
              <w:rPr>
                <w:rFonts w:hint="eastAsia"/>
              </w:rPr>
              <w:t>）</w:t>
            </w:r>
          </w:p>
        </w:tc>
      </w:tr>
      <w:tr w14:paraId="02FD8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303" w:type="pct"/>
            <w:vMerge w:val="continue"/>
            <w:vAlign w:val="center"/>
          </w:tcPr>
          <w:p w14:paraId="5B834805">
            <w:pPr>
              <w:pStyle w:val="31"/>
            </w:pPr>
          </w:p>
        </w:tc>
        <w:tc>
          <w:tcPr>
            <w:tcW w:w="737" w:type="pct"/>
            <w:vMerge w:val="continue"/>
            <w:vAlign w:val="center"/>
          </w:tcPr>
          <w:p w14:paraId="566ECF5E">
            <w:pPr>
              <w:pStyle w:val="31"/>
            </w:pPr>
          </w:p>
        </w:tc>
        <w:tc>
          <w:tcPr>
            <w:tcW w:w="447" w:type="pct"/>
            <w:vMerge w:val="continue"/>
            <w:vAlign w:val="center"/>
          </w:tcPr>
          <w:p w14:paraId="74162409">
            <w:pPr>
              <w:pStyle w:val="31"/>
            </w:pPr>
          </w:p>
        </w:tc>
        <w:tc>
          <w:tcPr>
            <w:tcW w:w="817" w:type="pct"/>
            <w:vMerge w:val="continue"/>
            <w:vAlign w:val="center"/>
          </w:tcPr>
          <w:p w14:paraId="107153C6">
            <w:pPr>
              <w:pStyle w:val="31"/>
            </w:pPr>
          </w:p>
        </w:tc>
        <w:tc>
          <w:tcPr>
            <w:tcW w:w="1367" w:type="pct"/>
            <w:vAlign w:val="center"/>
          </w:tcPr>
          <w:p w14:paraId="66A798FC">
            <w:pPr>
              <w:pStyle w:val="31"/>
            </w:pPr>
            <w:r>
              <w:t>标准名称</w:t>
            </w:r>
          </w:p>
        </w:tc>
        <w:tc>
          <w:tcPr>
            <w:tcW w:w="737" w:type="pct"/>
            <w:vAlign w:val="center"/>
          </w:tcPr>
          <w:p w14:paraId="46A4F561">
            <w:pPr>
              <w:pStyle w:val="31"/>
            </w:pPr>
            <w:r>
              <w:t>排放浓度</w:t>
            </w:r>
          </w:p>
          <w:p w14:paraId="4166716A">
            <w:pPr>
              <w:pStyle w:val="31"/>
            </w:pPr>
            <w:r>
              <w:t>（mg/m</w:t>
            </w:r>
            <w:r>
              <w:rPr>
                <w:vertAlign w:val="superscript"/>
              </w:rPr>
              <w:t>3</w:t>
            </w:r>
            <w:r>
              <w:rPr>
                <w:rFonts w:hint="eastAsia"/>
              </w:rPr>
              <w:t>）</w:t>
            </w:r>
          </w:p>
        </w:tc>
        <w:tc>
          <w:tcPr>
            <w:tcW w:w="592" w:type="pct"/>
            <w:vMerge w:val="continue"/>
            <w:vAlign w:val="center"/>
          </w:tcPr>
          <w:p w14:paraId="1219CDEC">
            <w:pPr>
              <w:pStyle w:val="31"/>
            </w:pPr>
          </w:p>
        </w:tc>
      </w:tr>
      <w:tr w14:paraId="2CD77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303" w:type="pct"/>
            <w:vMerge w:val="restart"/>
            <w:vAlign w:val="center"/>
          </w:tcPr>
          <w:p w14:paraId="52E89415">
            <w:pPr>
              <w:pStyle w:val="31"/>
            </w:pPr>
            <w:r>
              <w:t>1</w:t>
            </w:r>
          </w:p>
        </w:tc>
        <w:tc>
          <w:tcPr>
            <w:tcW w:w="737" w:type="pct"/>
            <w:vMerge w:val="restart"/>
            <w:vAlign w:val="center"/>
          </w:tcPr>
          <w:p w14:paraId="3F85CEB6">
            <w:pPr>
              <w:pStyle w:val="31"/>
            </w:pPr>
            <w:r>
              <w:rPr>
                <w:rFonts w:hint="eastAsia"/>
              </w:rPr>
              <w:t>拆解船台</w:t>
            </w:r>
          </w:p>
        </w:tc>
        <w:tc>
          <w:tcPr>
            <w:tcW w:w="447" w:type="pct"/>
            <w:vAlign w:val="center"/>
          </w:tcPr>
          <w:p w14:paraId="0B57E7E0">
            <w:pPr>
              <w:pStyle w:val="31"/>
            </w:pPr>
            <w:r>
              <w:rPr>
                <w:rFonts w:hint="eastAsia"/>
              </w:rPr>
              <w:t>颗粒物</w:t>
            </w:r>
          </w:p>
        </w:tc>
        <w:tc>
          <w:tcPr>
            <w:tcW w:w="817" w:type="pct"/>
            <w:vMerge w:val="restart"/>
            <w:vAlign w:val="center"/>
          </w:tcPr>
          <w:p w14:paraId="466721FD">
            <w:pPr>
              <w:pStyle w:val="31"/>
            </w:pPr>
            <w:r>
              <w:rPr>
                <w:rFonts w:hint="eastAsia"/>
              </w:rPr>
              <w:t>局部封闭，负压收集</w:t>
            </w:r>
          </w:p>
        </w:tc>
        <w:tc>
          <w:tcPr>
            <w:tcW w:w="1367" w:type="pct"/>
            <w:vMerge w:val="restart"/>
            <w:vAlign w:val="center"/>
          </w:tcPr>
          <w:p w14:paraId="7D8FC7CA">
            <w:pPr>
              <w:pStyle w:val="31"/>
            </w:pPr>
            <w:r>
              <w:rPr>
                <w:rFonts w:hint="eastAsia"/>
              </w:rPr>
              <w:t>《大气污染物综合排放标准》（GB16297-1996）</w:t>
            </w:r>
          </w:p>
        </w:tc>
        <w:tc>
          <w:tcPr>
            <w:tcW w:w="737" w:type="pct"/>
            <w:vAlign w:val="center"/>
          </w:tcPr>
          <w:p w14:paraId="0FF08B45">
            <w:pPr>
              <w:pStyle w:val="31"/>
            </w:pPr>
            <w:r>
              <w:rPr>
                <w:rFonts w:hint="eastAsia"/>
              </w:rPr>
              <w:t>1.0</w:t>
            </w:r>
          </w:p>
        </w:tc>
        <w:tc>
          <w:tcPr>
            <w:tcW w:w="592" w:type="pct"/>
            <w:vAlign w:val="center"/>
          </w:tcPr>
          <w:p w14:paraId="1A1B8559">
            <w:pPr>
              <w:pStyle w:val="31"/>
              <w:rPr>
                <w:rFonts w:hint="default" w:eastAsia="宋体"/>
                <w:lang w:val="en-US" w:eastAsia="zh-CN"/>
              </w:rPr>
            </w:pPr>
            <w:r>
              <w:rPr>
                <w:rFonts w:hint="eastAsia"/>
                <w:lang w:val="en-US" w:eastAsia="zh-CN"/>
              </w:rPr>
              <w:t>0.001</w:t>
            </w:r>
          </w:p>
        </w:tc>
      </w:tr>
      <w:tr w14:paraId="735F4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303" w:type="pct"/>
            <w:vMerge w:val="continue"/>
            <w:vAlign w:val="center"/>
          </w:tcPr>
          <w:p w14:paraId="604D0022">
            <w:pPr>
              <w:pStyle w:val="31"/>
            </w:pPr>
          </w:p>
        </w:tc>
        <w:tc>
          <w:tcPr>
            <w:tcW w:w="737" w:type="pct"/>
            <w:vMerge w:val="continue"/>
            <w:vAlign w:val="center"/>
          </w:tcPr>
          <w:p w14:paraId="050AF7F7">
            <w:pPr>
              <w:pStyle w:val="31"/>
            </w:pPr>
          </w:p>
        </w:tc>
        <w:tc>
          <w:tcPr>
            <w:tcW w:w="447" w:type="pct"/>
            <w:vAlign w:val="center"/>
          </w:tcPr>
          <w:p w14:paraId="10D76985">
            <w:pPr>
              <w:pStyle w:val="31"/>
            </w:pPr>
            <w:r>
              <w:rPr>
                <w:rFonts w:hint="eastAsia"/>
              </w:rPr>
              <w:t>NMHC</w:t>
            </w:r>
          </w:p>
        </w:tc>
        <w:tc>
          <w:tcPr>
            <w:tcW w:w="817" w:type="pct"/>
            <w:vMerge w:val="continue"/>
            <w:vAlign w:val="center"/>
          </w:tcPr>
          <w:p w14:paraId="32F7BBEE">
            <w:pPr>
              <w:pStyle w:val="31"/>
            </w:pPr>
          </w:p>
        </w:tc>
        <w:tc>
          <w:tcPr>
            <w:tcW w:w="1367" w:type="pct"/>
            <w:vMerge w:val="continue"/>
            <w:vAlign w:val="center"/>
          </w:tcPr>
          <w:p w14:paraId="64F15E2B">
            <w:pPr>
              <w:pStyle w:val="31"/>
            </w:pPr>
          </w:p>
        </w:tc>
        <w:tc>
          <w:tcPr>
            <w:tcW w:w="737" w:type="pct"/>
            <w:vAlign w:val="center"/>
          </w:tcPr>
          <w:p w14:paraId="1AB6871E">
            <w:pPr>
              <w:pStyle w:val="31"/>
            </w:pPr>
            <w:r>
              <w:rPr>
                <w:rFonts w:hint="eastAsia"/>
              </w:rPr>
              <w:t>4.0</w:t>
            </w:r>
          </w:p>
        </w:tc>
        <w:tc>
          <w:tcPr>
            <w:tcW w:w="592" w:type="pct"/>
            <w:vAlign w:val="center"/>
          </w:tcPr>
          <w:p w14:paraId="676A4829">
            <w:pPr>
              <w:pStyle w:val="31"/>
              <w:rPr>
                <w:rFonts w:hint="default" w:eastAsia="宋体"/>
                <w:lang w:val="en-US" w:eastAsia="zh-CN"/>
              </w:rPr>
            </w:pPr>
            <w:r>
              <w:rPr>
                <w:rFonts w:hint="eastAsia"/>
                <w:lang w:val="en-US" w:eastAsia="zh-CN"/>
              </w:rPr>
              <w:t>0.0004</w:t>
            </w:r>
          </w:p>
        </w:tc>
      </w:tr>
      <w:tr w14:paraId="5D9F3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303" w:type="pct"/>
            <w:vAlign w:val="center"/>
          </w:tcPr>
          <w:p w14:paraId="086A5506">
            <w:pPr>
              <w:pStyle w:val="31"/>
            </w:pPr>
            <w:r>
              <w:t>2</w:t>
            </w:r>
          </w:p>
        </w:tc>
        <w:tc>
          <w:tcPr>
            <w:tcW w:w="737" w:type="pct"/>
            <w:vAlign w:val="center"/>
          </w:tcPr>
          <w:p w14:paraId="724C75DB">
            <w:pPr>
              <w:pStyle w:val="31"/>
            </w:pPr>
            <w:r>
              <w:rPr>
                <w:rFonts w:hint="eastAsia"/>
              </w:rPr>
              <w:t>危废暂存间</w:t>
            </w:r>
          </w:p>
        </w:tc>
        <w:tc>
          <w:tcPr>
            <w:tcW w:w="447" w:type="pct"/>
            <w:vAlign w:val="center"/>
          </w:tcPr>
          <w:p w14:paraId="7A5258FA">
            <w:pPr>
              <w:pStyle w:val="31"/>
            </w:pPr>
            <w:r>
              <w:rPr>
                <w:rFonts w:hint="eastAsia"/>
              </w:rPr>
              <w:t>NMHC</w:t>
            </w:r>
          </w:p>
        </w:tc>
        <w:tc>
          <w:tcPr>
            <w:tcW w:w="817" w:type="pct"/>
            <w:vAlign w:val="center"/>
          </w:tcPr>
          <w:p w14:paraId="442C69ED">
            <w:pPr>
              <w:pStyle w:val="31"/>
            </w:pPr>
            <w:r>
              <w:rPr>
                <w:rFonts w:hint="eastAsia"/>
              </w:rPr>
              <w:t>局部封闭，负压收集</w:t>
            </w:r>
          </w:p>
        </w:tc>
        <w:tc>
          <w:tcPr>
            <w:tcW w:w="1367" w:type="pct"/>
            <w:vAlign w:val="center"/>
          </w:tcPr>
          <w:p w14:paraId="76E893B8">
            <w:pPr>
              <w:pStyle w:val="31"/>
            </w:pPr>
            <w:r>
              <w:rPr>
                <w:rFonts w:hint="eastAsia"/>
              </w:rPr>
              <w:t>《大气污染物综合排放标准》（GB16297-1996）</w:t>
            </w:r>
          </w:p>
        </w:tc>
        <w:tc>
          <w:tcPr>
            <w:tcW w:w="737" w:type="pct"/>
            <w:vAlign w:val="center"/>
          </w:tcPr>
          <w:p w14:paraId="5377E5E4">
            <w:pPr>
              <w:pStyle w:val="31"/>
            </w:pPr>
            <w:r>
              <w:rPr>
                <w:rFonts w:hint="eastAsia"/>
              </w:rPr>
              <w:t>4.0</w:t>
            </w:r>
          </w:p>
        </w:tc>
        <w:tc>
          <w:tcPr>
            <w:tcW w:w="592" w:type="pct"/>
            <w:vAlign w:val="center"/>
          </w:tcPr>
          <w:p w14:paraId="39BB32F8">
            <w:pPr>
              <w:pStyle w:val="31"/>
              <w:rPr>
                <w:rFonts w:hint="default" w:eastAsia="宋体"/>
                <w:lang w:val="en-US" w:eastAsia="zh-CN"/>
              </w:rPr>
            </w:pPr>
            <w:r>
              <w:rPr>
                <w:rFonts w:hint="eastAsia"/>
                <w:lang w:val="en-US" w:eastAsia="zh-CN"/>
              </w:rPr>
              <w:t>0.04</w:t>
            </w:r>
          </w:p>
        </w:tc>
      </w:tr>
      <w:tr w14:paraId="36B58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5000" w:type="pct"/>
            <w:gridSpan w:val="7"/>
            <w:vAlign w:val="center"/>
          </w:tcPr>
          <w:p w14:paraId="6D1416A4">
            <w:pPr>
              <w:pStyle w:val="31"/>
            </w:pPr>
            <w:r>
              <w:rPr>
                <w:rFonts w:hint="eastAsia"/>
              </w:rPr>
              <w:t>无组织排放总计</w:t>
            </w:r>
          </w:p>
        </w:tc>
      </w:tr>
      <w:tr w14:paraId="184D1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1040" w:type="pct"/>
            <w:gridSpan w:val="2"/>
            <w:vMerge w:val="restart"/>
            <w:vAlign w:val="center"/>
          </w:tcPr>
          <w:p w14:paraId="6DB22278">
            <w:pPr>
              <w:pStyle w:val="31"/>
            </w:pPr>
            <w:r>
              <w:rPr>
                <w:rFonts w:hint="eastAsia"/>
              </w:rPr>
              <w:t>无组织</w:t>
            </w:r>
          </w:p>
          <w:p w14:paraId="65E141F0">
            <w:pPr>
              <w:pStyle w:val="31"/>
            </w:pPr>
            <w:r>
              <w:rPr>
                <w:rFonts w:hint="eastAsia"/>
              </w:rPr>
              <w:t>排放总计</w:t>
            </w:r>
          </w:p>
        </w:tc>
        <w:tc>
          <w:tcPr>
            <w:tcW w:w="1264" w:type="pct"/>
            <w:gridSpan w:val="2"/>
            <w:vAlign w:val="center"/>
          </w:tcPr>
          <w:p w14:paraId="0DAB8735">
            <w:pPr>
              <w:pStyle w:val="31"/>
            </w:pPr>
            <w:r>
              <w:rPr>
                <w:rFonts w:hint="eastAsia"/>
              </w:rPr>
              <w:t>颗粒物</w:t>
            </w:r>
          </w:p>
        </w:tc>
        <w:tc>
          <w:tcPr>
            <w:tcW w:w="2696" w:type="pct"/>
            <w:gridSpan w:val="3"/>
            <w:vAlign w:val="center"/>
          </w:tcPr>
          <w:p w14:paraId="086EA8C4">
            <w:pPr>
              <w:pStyle w:val="31"/>
              <w:rPr>
                <w:rFonts w:hint="default" w:eastAsia="宋体"/>
                <w:lang w:val="en-US" w:eastAsia="zh-CN"/>
              </w:rPr>
            </w:pPr>
            <w:r>
              <w:rPr>
                <w:rFonts w:hint="eastAsia"/>
                <w:lang w:val="en-US" w:eastAsia="zh-CN"/>
              </w:rPr>
              <w:t>0.0404</w:t>
            </w:r>
          </w:p>
        </w:tc>
      </w:tr>
      <w:tr w14:paraId="13D5A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 w:hRule="atLeast"/>
          <w:jc w:val="center"/>
        </w:trPr>
        <w:tc>
          <w:tcPr>
            <w:tcW w:w="1040" w:type="pct"/>
            <w:gridSpan w:val="2"/>
            <w:vMerge w:val="continue"/>
            <w:vAlign w:val="center"/>
          </w:tcPr>
          <w:p w14:paraId="606A1DDD">
            <w:pPr>
              <w:pStyle w:val="31"/>
            </w:pPr>
          </w:p>
        </w:tc>
        <w:tc>
          <w:tcPr>
            <w:tcW w:w="1264" w:type="pct"/>
            <w:gridSpan w:val="2"/>
            <w:vAlign w:val="center"/>
          </w:tcPr>
          <w:p w14:paraId="62089F65">
            <w:pPr>
              <w:pStyle w:val="31"/>
            </w:pPr>
            <w:r>
              <w:rPr>
                <w:rFonts w:hint="eastAsia"/>
              </w:rPr>
              <w:t>NMHC</w:t>
            </w:r>
          </w:p>
        </w:tc>
        <w:tc>
          <w:tcPr>
            <w:tcW w:w="2696" w:type="pct"/>
            <w:gridSpan w:val="3"/>
            <w:vAlign w:val="center"/>
          </w:tcPr>
          <w:p w14:paraId="7FD7C60C">
            <w:pPr>
              <w:pStyle w:val="31"/>
              <w:rPr>
                <w:rFonts w:hint="default" w:eastAsia="宋体"/>
                <w:lang w:val="en-US" w:eastAsia="zh-CN"/>
              </w:rPr>
            </w:pPr>
            <w:r>
              <w:rPr>
                <w:rFonts w:hint="eastAsia"/>
              </w:rPr>
              <w:t>0.</w:t>
            </w:r>
            <w:r>
              <w:rPr>
                <w:rFonts w:hint="eastAsia"/>
                <w:lang w:val="en-US" w:eastAsia="zh-CN"/>
              </w:rPr>
              <w:t>001</w:t>
            </w:r>
          </w:p>
        </w:tc>
      </w:tr>
    </w:tbl>
    <w:p w14:paraId="2FD9617C">
      <w:pPr>
        <w:pStyle w:val="23"/>
      </w:pPr>
      <w:r>
        <w:rPr>
          <w:rFonts w:hint="eastAsia"/>
        </w:rPr>
        <w:t xml:space="preserve">表5.2-7  </w:t>
      </w:r>
      <w:r>
        <w:t>大气污染物年排放量核算表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7"/>
        <w:gridCol w:w="3220"/>
        <w:gridCol w:w="3375"/>
      </w:tblGrid>
      <w:tr w14:paraId="030D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131" w:type="pct"/>
            <w:vAlign w:val="center"/>
          </w:tcPr>
          <w:p w14:paraId="417DA298">
            <w:pPr>
              <w:pStyle w:val="31"/>
            </w:pPr>
            <w:r>
              <w:t>序号</w:t>
            </w:r>
          </w:p>
        </w:tc>
        <w:tc>
          <w:tcPr>
            <w:tcW w:w="1889" w:type="pct"/>
            <w:vAlign w:val="center"/>
          </w:tcPr>
          <w:p w14:paraId="0BD3852D">
            <w:pPr>
              <w:pStyle w:val="31"/>
            </w:pPr>
            <w:r>
              <w:t>污染物</w:t>
            </w:r>
          </w:p>
        </w:tc>
        <w:tc>
          <w:tcPr>
            <w:tcW w:w="1980" w:type="pct"/>
            <w:vAlign w:val="center"/>
          </w:tcPr>
          <w:p w14:paraId="4CA8CEA9">
            <w:pPr>
              <w:pStyle w:val="31"/>
            </w:pPr>
            <w:r>
              <w:t>年排放量/（t/a</w:t>
            </w:r>
            <w:r>
              <w:rPr>
                <w:rFonts w:hint="eastAsia"/>
              </w:rPr>
              <w:t>）</w:t>
            </w:r>
          </w:p>
        </w:tc>
      </w:tr>
      <w:tr w14:paraId="75A50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1" w:type="pct"/>
            <w:vAlign w:val="center"/>
          </w:tcPr>
          <w:p w14:paraId="280DA645">
            <w:pPr>
              <w:pStyle w:val="31"/>
            </w:pPr>
            <w:r>
              <w:t>1</w:t>
            </w:r>
          </w:p>
        </w:tc>
        <w:tc>
          <w:tcPr>
            <w:tcW w:w="1889" w:type="pct"/>
            <w:vAlign w:val="center"/>
          </w:tcPr>
          <w:p w14:paraId="2EB061C3">
            <w:pPr>
              <w:pStyle w:val="31"/>
            </w:pPr>
            <w:r>
              <w:t>颗粒物</w:t>
            </w:r>
          </w:p>
        </w:tc>
        <w:tc>
          <w:tcPr>
            <w:tcW w:w="1980" w:type="pct"/>
            <w:vAlign w:val="center"/>
          </w:tcPr>
          <w:p w14:paraId="3FA34544">
            <w:pPr>
              <w:pStyle w:val="31"/>
              <w:rPr>
                <w:rFonts w:hint="default" w:eastAsia="宋体"/>
                <w:lang w:val="en-US" w:eastAsia="zh-CN"/>
              </w:rPr>
            </w:pPr>
            <w:r>
              <w:rPr>
                <w:rFonts w:hint="eastAsia"/>
                <w:lang w:val="en-US" w:eastAsia="zh-CN"/>
              </w:rPr>
              <w:t>0.001</w:t>
            </w:r>
          </w:p>
        </w:tc>
      </w:tr>
      <w:tr w14:paraId="195B0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1" w:type="pct"/>
            <w:vAlign w:val="center"/>
          </w:tcPr>
          <w:p w14:paraId="577813B0">
            <w:pPr>
              <w:pStyle w:val="31"/>
            </w:pPr>
            <w:r>
              <w:t>2</w:t>
            </w:r>
          </w:p>
        </w:tc>
        <w:tc>
          <w:tcPr>
            <w:tcW w:w="1889" w:type="pct"/>
            <w:vAlign w:val="center"/>
          </w:tcPr>
          <w:p w14:paraId="34982DF7">
            <w:pPr>
              <w:pStyle w:val="31"/>
            </w:pPr>
            <w:r>
              <w:rPr>
                <w:rFonts w:hint="eastAsia"/>
              </w:rPr>
              <w:t>NMHC</w:t>
            </w:r>
          </w:p>
        </w:tc>
        <w:tc>
          <w:tcPr>
            <w:tcW w:w="1980" w:type="pct"/>
            <w:vAlign w:val="center"/>
          </w:tcPr>
          <w:p w14:paraId="4D282D34">
            <w:pPr>
              <w:pStyle w:val="31"/>
              <w:rPr>
                <w:rFonts w:hint="default" w:eastAsia="宋体"/>
                <w:lang w:val="en-US" w:eastAsia="zh-CN"/>
              </w:rPr>
            </w:pPr>
            <w:r>
              <w:rPr>
                <w:rFonts w:hint="eastAsia"/>
                <w:lang w:val="en-US" w:eastAsia="zh-CN"/>
              </w:rPr>
              <w:t>0.0404</w:t>
            </w:r>
          </w:p>
        </w:tc>
      </w:tr>
    </w:tbl>
    <w:p w14:paraId="1A77C01D">
      <w:pPr>
        <w:pStyle w:val="36"/>
        <w:bidi w:val="0"/>
        <w:rPr>
          <w:rFonts w:hint="eastAsia"/>
          <w:lang w:val="en-US" w:eastAsia="zh-CN"/>
        </w:rPr>
      </w:pPr>
      <w:r>
        <w:rPr>
          <w:rFonts w:hint="eastAsia"/>
          <w:lang w:val="en-US" w:eastAsia="zh-CN"/>
        </w:rPr>
        <w:t>5.2.1.3废气对周边环境保护目标的影响</w:t>
      </w:r>
    </w:p>
    <w:p w14:paraId="4792C84C">
      <w:pPr>
        <w:pStyle w:val="21"/>
        <w:rPr>
          <w:rFonts w:hint="eastAsia"/>
        </w:rPr>
      </w:pPr>
      <w:r>
        <w:rPr>
          <w:rFonts w:hint="eastAsia"/>
        </w:rPr>
        <w:t>根据大气估算，各污染物最大占标率为燃油锅炉排放的NMHC，最大占标率为3.93%，小于10%，项目废气污染物排放对周边环境保护目标环境空气污染物浓度贡献值较小，不会改变环境功能区划，影响可接受。</w:t>
      </w:r>
    </w:p>
    <w:p w14:paraId="1A2C2B86">
      <w:pPr>
        <w:pStyle w:val="36"/>
        <w:bidi w:val="0"/>
        <w:rPr>
          <w:rFonts w:hint="eastAsia"/>
          <w:lang w:val="en-US" w:eastAsia="zh-CN"/>
        </w:rPr>
      </w:pPr>
      <w:r>
        <w:rPr>
          <w:rFonts w:hint="eastAsia"/>
          <w:lang w:val="en-US" w:eastAsia="zh-CN"/>
        </w:rPr>
        <w:t>5.2.1.4环境防护距离</w:t>
      </w:r>
    </w:p>
    <w:p w14:paraId="6E6C4ACE">
      <w:pPr>
        <w:pStyle w:val="21"/>
        <w:rPr>
          <w:rFonts w:hint="eastAsia"/>
        </w:rPr>
      </w:pPr>
      <w:r>
        <w:rPr>
          <w:rFonts w:hint="eastAsia"/>
        </w:rPr>
        <w:t>根据估算结果，污染物最大落地浓度占标率小于10%，厂界外无超标点，因此无需设置大气环境防护距离。</w:t>
      </w:r>
    </w:p>
    <w:p w14:paraId="3B8F8E58">
      <w:pPr>
        <w:pStyle w:val="36"/>
        <w:bidi w:val="0"/>
        <w:rPr>
          <w:rFonts w:hint="eastAsia"/>
          <w:lang w:val="en-US" w:eastAsia="zh-CN"/>
        </w:rPr>
      </w:pPr>
      <w:r>
        <w:rPr>
          <w:rFonts w:hint="eastAsia"/>
          <w:lang w:val="en-US" w:eastAsia="zh-CN"/>
        </w:rPr>
        <w:t>5.2.1.5小结</w:t>
      </w:r>
    </w:p>
    <w:p w14:paraId="1187AE9E">
      <w:pPr>
        <w:pStyle w:val="21"/>
        <w:ind w:firstLine="480"/>
      </w:pPr>
      <w:r>
        <w:rPr>
          <w:rFonts w:hint="eastAsia"/>
        </w:rPr>
        <w:t>通过</w:t>
      </w:r>
      <w:r>
        <w:t>AERSCREEN估算模式计算结果显示，在正常工况下，项目各污染源的大气污染物中最大占标率为</w:t>
      </w:r>
      <w:r>
        <w:rPr>
          <w:rFonts w:hint="eastAsia"/>
          <w:lang w:val="en-US" w:eastAsia="zh-CN"/>
        </w:rPr>
        <w:t>1.40</w:t>
      </w:r>
      <w:r>
        <w:t>%（&lt;10%），因此本项目大气环境影响评价等级为二级评价。</w:t>
      </w:r>
    </w:p>
    <w:p w14:paraId="78F41944">
      <w:pPr>
        <w:pStyle w:val="21"/>
        <w:rPr>
          <w:rFonts w:hint="default"/>
          <w:lang w:val="en-US" w:eastAsia="zh-CN"/>
        </w:rPr>
      </w:pPr>
      <w:r>
        <w:rPr>
          <w:rFonts w:hint="eastAsia"/>
        </w:rPr>
        <w:t>根据</w:t>
      </w:r>
      <w:r>
        <w:t>AERSCREEN估算模式计算结果显示可知，本工程正常状态下，项目排放的主要大气污染物</w:t>
      </w:r>
      <w:r>
        <w:rPr>
          <w:rFonts w:hint="eastAsia"/>
        </w:rPr>
        <w:t>颗粒物（TSP）</w:t>
      </w:r>
      <w:r>
        <w:t>、</w:t>
      </w:r>
      <w:r>
        <w:rPr>
          <w:rFonts w:hint="eastAsia"/>
        </w:rPr>
        <w:t>NMHC</w:t>
      </w:r>
      <w:r>
        <w:t>最大落地浓度分别为</w:t>
      </w:r>
      <w:r>
        <w:rPr>
          <w:rFonts w:hint="eastAsia"/>
          <w:lang w:val="en-US" w:eastAsia="zh-CN"/>
        </w:rPr>
        <w:t>1.7051</w:t>
      </w:r>
      <w:r>
        <w:rPr>
          <w:rFonts w:hint="eastAsia"/>
        </w:rPr>
        <w:t>u</w:t>
      </w:r>
      <w:r>
        <w:t>g/m</w:t>
      </w:r>
      <w:r>
        <w:rPr>
          <w:vertAlign w:val="superscript"/>
        </w:rPr>
        <w:t>3</w:t>
      </w:r>
      <w:r>
        <w:t>、</w:t>
      </w:r>
      <w:r>
        <w:rPr>
          <w:rFonts w:hint="eastAsia"/>
          <w:lang w:val="en-US" w:eastAsia="zh-CN"/>
        </w:rPr>
        <w:t>28.046</w:t>
      </w:r>
      <w:r>
        <w:rPr>
          <w:rFonts w:hint="eastAsia"/>
        </w:rPr>
        <w:t>u</w:t>
      </w:r>
      <w:r>
        <w:t>g/m</w:t>
      </w:r>
      <w:r>
        <w:rPr>
          <w:vertAlign w:val="superscript"/>
        </w:rPr>
        <w:t>3</w:t>
      </w:r>
      <w:r>
        <w:t>，均未出现超标现象。因此，本项目大气污染物经处理达标排放后，对评价范围内的大气环境影响较小，不会改变评价范围内的大气环境功能，不会对评价范围内的环境保护目标造成明显影响。</w:t>
      </w:r>
    </w:p>
    <w:p w14:paraId="5A074BF9">
      <w:pPr>
        <w:pStyle w:val="33"/>
      </w:pPr>
      <w:bookmarkStart w:id="153" w:name="_Toc24847"/>
      <w:r>
        <w:rPr>
          <w:rFonts w:hint="eastAsia"/>
        </w:rPr>
        <w:t>5.2.2地表水环境影响</w:t>
      </w:r>
      <w:bookmarkEnd w:id="153"/>
    </w:p>
    <w:p w14:paraId="61301717">
      <w:pPr>
        <w:pStyle w:val="36"/>
        <w:bidi w:val="0"/>
        <w:rPr>
          <w:rFonts w:hint="eastAsia"/>
          <w:lang w:val="en-US" w:eastAsia="zh-CN"/>
        </w:rPr>
      </w:pPr>
      <w:r>
        <w:rPr>
          <w:rFonts w:hint="eastAsia"/>
          <w:lang w:val="en-US" w:eastAsia="zh-CN"/>
        </w:rPr>
        <w:t>5.2.2.1依托自建废水处理措施的可行性分析</w:t>
      </w:r>
    </w:p>
    <w:p w14:paraId="656AC1D0">
      <w:pPr>
        <w:pStyle w:val="21"/>
        <w:rPr>
          <w:rFonts w:hint="eastAsia"/>
          <w:lang w:val="en-US" w:eastAsia="zh-CN"/>
        </w:rPr>
      </w:pPr>
      <w:r>
        <w:rPr>
          <w:rFonts w:hint="eastAsia"/>
          <w:lang w:val="en-US" w:eastAsia="zh-CN"/>
        </w:rPr>
        <w:t>为降低项目水环境风险，在项目防洪堤内侧建设废水处理站，建设规模为30t/d，采用“调节池+气浮+隔油+AAO+混凝沉淀+斜板沉淀池+清水池”的工艺，在隔油沉淀池内设置带有</w:t>
      </w:r>
      <w:r>
        <w:rPr>
          <w:rFonts w:hint="default"/>
          <w:lang w:val="en-US" w:eastAsia="zh-CN"/>
        </w:rPr>
        <w:t>液位自动控制</w:t>
      </w:r>
      <w:r>
        <w:rPr>
          <w:rFonts w:hint="eastAsia"/>
          <w:lang w:val="en-US" w:eastAsia="zh-CN"/>
        </w:rPr>
        <w:t>装置的水泵，隔油沉淀池液位达到控制线，则自动将废水抽至废水处理站处理，处理达标后优先回用于场地生产，不能回用部分采用罐车运输至三樟镇污水处理厂处理。</w:t>
      </w:r>
    </w:p>
    <w:p w14:paraId="027964C6">
      <w:pPr>
        <w:pStyle w:val="21"/>
        <w:rPr>
          <w:rFonts w:hint="eastAsia"/>
          <w:lang w:val="en-US" w:eastAsia="zh-CN"/>
        </w:rPr>
      </w:pPr>
      <w:r>
        <w:rPr>
          <w:rFonts w:hint="eastAsia"/>
          <w:lang w:val="en-US" w:eastAsia="zh-CN"/>
        </w:rPr>
        <w:t>污水处理设施规模按照日均废水处理量进行设计，根据前文源强核算，全年废水处理量为4168.53t/a，项目年工作200天，平均每日废水产生量20.84t/d，因此废水处理站设计30t/d，能够满足处理需求，规模可行。</w:t>
      </w:r>
    </w:p>
    <w:p w14:paraId="5889C4D3">
      <w:pPr>
        <w:pStyle w:val="21"/>
        <w:rPr>
          <w:rFonts w:hint="eastAsia"/>
          <w:lang w:val="en-US" w:eastAsia="zh-CN"/>
        </w:rPr>
      </w:pPr>
      <w:r>
        <w:rPr>
          <w:rFonts w:hint="eastAsia"/>
          <w:lang w:val="en-US" w:eastAsia="zh-CN"/>
        </w:rPr>
        <w:t>根据源强核算，废水中主要污染物为COD、SS、石油类，项目废水处理站采用“调节池+气浮+隔油+AAO+混凝沉淀+斜板沉淀池+清水池”工艺，隔油、气浮工艺对石油类和悬浮物均有较好的处理效果，AAO生化处理工艺能够有效去除COD，均属于常见处理工艺，处理效果得到广泛验证，属于可行工艺。</w:t>
      </w:r>
    </w:p>
    <w:p w14:paraId="3AC90796">
      <w:pPr>
        <w:pStyle w:val="21"/>
        <w:rPr>
          <w:rFonts w:hint="eastAsia"/>
          <w:lang w:val="en-US" w:eastAsia="zh-CN"/>
        </w:rPr>
      </w:pPr>
      <w:r>
        <w:rPr>
          <w:rFonts w:hint="eastAsia"/>
          <w:lang w:val="en-US" w:eastAsia="zh-CN"/>
        </w:rPr>
        <w:t>综上所述，项目采用废水处理站处理综合废水可行。</w:t>
      </w:r>
    </w:p>
    <w:p w14:paraId="5C4DC2ED">
      <w:pPr>
        <w:pStyle w:val="36"/>
        <w:bidi w:val="0"/>
        <w:rPr>
          <w:rFonts w:hint="eastAsia"/>
          <w:lang w:val="en-US" w:eastAsia="zh-CN"/>
        </w:rPr>
      </w:pPr>
      <w:r>
        <w:rPr>
          <w:rFonts w:hint="eastAsia"/>
          <w:lang w:val="en-US" w:eastAsia="zh-CN"/>
        </w:rPr>
        <w:t>5.2.2.2依托三樟镇污水处理厂的可行性分析</w:t>
      </w:r>
    </w:p>
    <w:p w14:paraId="68B9D3A1">
      <w:pPr>
        <w:pStyle w:val="21"/>
        <w:bidi w:val="0"/>
      </w:pPr>
      <w:r>
        <w:t>本项目所在位置属于</w:t>
      </w:r>
      <w:r>
        <w:rPr>
          <w:rFonts w:hint="eastAsia"/>
        </w:rPr>
        <w:t>不属于三樟镇污水处理厂纳污范围</w:t>
      </w:r>
      <w:r>
        <w:t>。</w:t>
      </w:r>
      <w:r>
        <w:rPr>
          <w:rFonts w:hint="eastAsia"/>
        </w:rPr>
        <w:t>周边无污水收集管网，废水需要通过吸污车运输至三樟镇污水处理厂处理</w:t>
      </w:r>
      <w:r>
        <w:t>。</w:t>
      </w:r>
    </w:p>
    <w:p w14:paraId="4701BDFE">
      <w:pPr>
        <w:pStyle w:val="21"/>
        <w:bidi w:val="0"/>
      </w:pPr>
      <w:r>
        <w:rPr>
          <w:rFonts w:hint="eastAsia"/>
        </w:rPr>
        <w:t>三樟镇</w:t>
      </w:r>
      <w:r>
        <w:t>污水处理厂</w:t>
      </w:r>
      <w:r>
        <w:rPr>
          <w:rFonts w:hint="eastAsia"/>
        </w:rPr>
        <w:t>200</w:t>
      </w:r>
      <w:r>
        <w:t>m</w:t>
      </w:r>
      <w:r>
        <w:rPr>
          <w:vertAlign w:val="superscript"/>
        </w:rPr>
        <w:t>3</w:t>
      </w:r>
      <w:r>
        <w:t>/d污水处理工程选址于</w:t>
      </w:r>
      <w:r>
        <w:rPr>
          <w:rFonts w:hint="eastAsia"/>
        </w:rPr>
        <w:t>三樟镇长江村</w:t>
      </w:r>
      <w:r>
        <w:t>，厂区建设占地</w:t>
      </w:r>
      <w:r>
        <w:rPr>
          <w:rFonts w:hint="eastAsia"/>
        </w:rPr>
        <w:t>670</w:t>
      </w:r>
      <w:r>
        <w:t>m</w:t>
      </w:r>
      <w:r>
        <w:rPr>
          <w:vertAlign w:val="superscript"/>
        </w:rPr>
        <w:t>2</w:t>
      </w:r>
      <w:r>
        <w:t>，总投资</w:t>
      </w:r>
      <w:r>
        <w:rPr>
          <w:rFonts w:hint="eastAsia"/>
        </w:rPr>
        <w:t>1008.12</w:t>
      </w:r>
      <w:r>
        <w:t>4万元，工程设计规模近期</w:t>
      </w:r>
      <w:r>
        <w:rPr>
          <w:rFonts w:hint="eastAsia"/>
        </w:rPr>
        <w:t>200</w:t>
      </w:r>
      <w:r>
        <w:t>m</w:t>
      </w:r>
      <w:r>
        <w:rPr>
          <w:vertAlign w:val="superscript"/>
        </w:rPr>
        <w:t>3</w:t>
      </w:r>
      <w:r>
        <w:t>/d，远期</w:t>
      </w:r>
      <w:r>
        <w:rPr>
          <w:rFonts w:hint="eastAsia"/>
        </w:rPr>
        <w:t>400</w:t>
      </w:r>
      <w:r>
        <w:t>m</w:t>
      </w:r>
      <w:r>
        <w:rPr>
          <w:vertAlign w:val="superscript"/>
        </w:rPr>
        <w:t>3</w:t>
      </w:r>
      <w:r>
        <w:t>/d。污水收集范围约</w:t>
      </w:r>
      <w:r>
        <w:rPr>
          <w:rFonts w:hint="eastAsia"/>
        </w:rPr>
        <w:t>0.35</w:t>
      </w:r>
      <w:r>
        <w:t>km</w:t>
      </w:r>
      <w:r>
        <w:rPr>
          <w:vertAlign w:val="superscript"/>
        </w:rPr>
        <w:t>2</w:t>
      </w:r>
      <w:r>
        <w:t>，服务人口</w:t>
      </w:r>
      <w:r>
        <w:rPr>
          <w:rFonts w:hint="eastAsia"/>
        </w:rPr>
        <w:t>0.3</w:t>
      </w:r>
      <w:r>
        <w:t>万人。污水处理工艺为“</w:t>
      </w:r>
      <w:r>
        <w:rPr>
          <w:rFonts w:hint="eastAsia"/>
        </w:rPr>
        <w:t>提篮式格栅→调节池→一体化设备（A</w:t>
      </w:r>
      <w:r>
        <w:rPr>
          <w:rFonts w:hint="eastAsia"/>
          <w:vertAlign w:val="superscript"/>
        </w:rPr>
        <w:t>2</w:t>
      </w:r>
      <w:r>
        <w:rPr>
          <w:rFonts w:hint="eastAsia"/>
        </w:rPr>
        <w:t>/O）→混凝沉淀设备→滤布滤池设备→</w:t>
      </w:r>
      <w:r>
        <w:rPr>
          <w:rFonts w:hint="eastAsia"/>
          <w:lang w:eastAsia="zh-CN"/>
        </w:rPr>
        <w:t>紫外线消毒</w:t>
      </w:r>
      <w:r>
        <w:t>”，废水经处理达到《城镇污水处理厂污染物排放标准》(GB18918-2002)中表1中一级标准的A标准排入湘江。</w:t>
      </w:r>
    </w:p>
    <w:p w14:paraId="7B6695B3">
      <w:pPr>
        <w:pStyle w:val="21"/>
        <w:bidi w:val="0"/>
      </w:pPr>
      <w:r>
        <w:t>主要工艺流程</w:t>
      </w:r>
      <w:r>
        <w:rPr>
          <w:rFonts w:hint="eastAsia"/>
        </w:rPr>
        <w:t>见下图。</w:t>
      </w:r>
    </w:p>
    <w:p w14:paraId="1B37440C">
      <w:pPr>
        <w:pStyle w:val="31"/>
      </w:pPr>
      <w:r>
        <w:rPr>
          <w:rFonts w:hint="eastAsia"/>
        </w:rPr>
        <w:object>
          <v:shape id="_x0000_i1028" o:spt="75" type="#_x0000_t75" style="height:160.3pt;width:416.4pt;" o:ole="t" filled="f" o:preferrelative="t" stroked="f" coordsize="21600,21600">
            <v:path/>
            <v:fill on="f" focussize="0,0"/>
            <v:stroke on="f" joinstyle="miter"/>
            <v:imagedata r:id="rId22" o:title=""/>
            <o:lock v:ext="edit" aspectratio="t"/>
            <w10:wrap type="none"/>
            <w10:anchorlock/>
          </v:shape>
          <o:OLEObject Type="Embed" ProgID="Visio.Drawing.11" ShapeID="_x0000_i1028" DrawAspect="Content" ObjectID="_1468075728" r:id="rId21">
            <o:LockedField>false</o:LockedField>
          </o:OLEObject>
        </w:object>
      </w:r>
    </w:p>
    <w:p w14:paraId="206A4C7B">
      <w:pPr>
        <w:pStyle w:val="23"/>
      </w:pPr>
      <w:r>
        <w:t>图</w:t>
      </w:r>
      <w:r>
        <w:rPr>
          <w:rFonts w:hint="eastAsia"/>
        </w:rPr>
        <w:t>5.3-1</w:t>
      </w:r>
      <w:r>
        <w:t xml:space="preserve"> </w:t>
      </w:r>
      <w:r>
        <w:rPr>
          <w:rFonts w:hint="eastAsia"/>
        </w:rPr>
        <w:t>三樟镇</w:t>
      </w:r>
      <w:r>
        <w:t>污水处理厂污水处理工艺流程图</w:t>
      </w:r>
    </w:p>
    <w:p w14:paraId="3E2C88E5">
      <w:pPr>
        <w:pStyle w:val="21"/>
        <w:bidi w:val="0"/>
      </w:pPr>
      <w:r>
        <w:t>目前该</w:t>
      </w:r>
      <w:r>
        <w:rPr>
          <w:rFonts w:hint="eastAsia"/>
        </w:rPr>
        <w:t>污水处理厂</w:t>
      </w:r>
      <w:r>
        <w:t>已于20</w:t>
      </w:r>
      <w:r>
        <w:rPr>
          <w:rFonts w:hint="eastAsia"/>
        </w:rPr>
        <w:t>22</w:t>
      </w:r>
      <w:r>
        <w:t>年</w:t>
      </w:r>
      <w:r>
        <w:rPr>
          <w:rFonts w:hint="eastAsia"/>
        </w:rPr>
        <w:t>12</w:t>
      </w:r>
      <w:r>
        <w:t>月</w:t>
      </w:r>
      <w:r>
        <w:rPr>
          <w:rFonts w:hint="eastAsia"/>
        </w:rPr>
        <w:t>完成</w:t>
      </w:r>
      <w:r>
        <w:t>了验收监测。验收监测期间，</w:t>
      </w:r>
      <w:r>
        <w:rPr>
          <w:rFonts w:hint="eastAsia"/>
        </w:rPr>
        <w:t>污水处理厂</w:t>
      </w:r>
      <w:r>
        <w:t>废水出口污染因子中CODcr、BOD5、SS、动植物油、石油类、阴离子表面活性剂、氨氮、总氮、总磷、色度、pH、粪大肠菌群数均达到了《城镇污水处理厂污染物排放标准》(GB18918-2002）一级A标准。</w:t>
      </w:r>
    </w:p>
    <w:p w14:paraId="698D00C3">
      <w:pPr>
        <w:pStyle w:val="21"/>
        <w:bidi w:val="0"/>
      </w:pPr>
      <w:r>
        <w:rPr>
          <w:rFonts w:hint="eastAsia"/>
        </w:rPr>
        <w:t>本项目将处理达标污水采用吸污车抽至三樟镇污水处理厂处理，各污染物均能满足</w:t>
      </w:r>
      <w:r>
        <w:t>《污水综合排放标准》(GB 8978-1996)</w:t>
      </w:r>
      <w:r>
        <w:rPr>
          <w:rFonts w:hint="eastAsia"/>
          <w:lang w:val="en-US" w:eastAsia="zh-CN"/>
        </w:rPr>
        <w:t>一</w:t>
      </w:r>
      <w:r>
        <w:t>级标准和</w:t>
      </w:r>
      <w:r>
        <w:rPr>
          <w:rFonts w:hint="eastAsia"/>
        </w:rPr>
        <w:t>三樟镇</w:t>
      </w:r>
      <w:r>
        <w:t>污水处理厂进水水质要求，无特殊及有毒有害的污染因子，不会对该污水处理厂的运行产生不利影响。</w:t>
      </w:r>
      <w:r>
        <w:rPr>
          <w:rFonts w:hint="eastAsia"/>
        </w:rPr>
        <w:t>三樟镇</w:t>
      </w:r>
      <w:r>
        <w:t>污水处理厂设计处理水量为</w:t>
      </w:r>
      <w:r>
        <w:rPr>
          <w:rFonts w:hint="eastAsia"/>
        </w:rPr>
        <w:t>200</w:t>
      </w:r>
      <w:r>
        <w:t>m</w:t>
      </w:r>
      <w:r>
        <w:rPr>
          <w:vertAlign w:val="superscript"/>
        </w:rPr>
        <w:t>3</w:t>
      </w:r>
      <w:r>
        <w:t>/d，目前实际进水量约</w:t>
      </w:r>
      <w:r>
        <w:rPr>
          <w:rFonts w:hint="eastAsia"/>
          <w:lang w:val="en-US" w:eastAsia="zh-CN"/>
        </w:rPr>
        <w:t>100</w:t>
      </w:r>
      <w:r>
        <w:t>m</w:t>
      </w:r>
      <w:r>
        <w:rPr>
          <w:vertAlign w:val="superscript"/>
        </w:rPr>
        <w:t>3</w:t>
      </w:r>
      <w:r>
        <w:t>/d，尚有余量约</w:t>
      </w:r>
      <w:r>
        <w:rPr>
          <w:rFonts w:hint="eastAsia"/>
        </w:rPr>
        <w:t>1</w:t>
      </w:r>
      <w:r>
        <w:rPr>
          <w:rFonts w:hint="eastAsia"/>
          <w:lang w:val="en-US" w:eastAsia="zh-CN"/>
        </w:rPr>
        <w:t>0</w:t>
      </w:r>
      <w:r>
        <w:rPr>
          <w:rFonts w:hint="eastAsia"/>
        </w:rPr>
        <w:t>0</w:t>
      </w:r>
      <w:r>
        <w:t>m</w:t>
      </w:r>
      <w:r>
        <w:rPr>
          <w:vertAlign w:val="superscript"/>
        </w:rPr>
        <w:t>3</w:t>
      </w:r>
      <w:r>
        <w:t>/d。本项目外排污水量</w:t>
      </w:r>
      <w:r>
        <w:rPr>
          <w:rFonts w:hint="eastAsia"/>
        </w:rPr>
        <w:t>平均</w:t>
      </w:r>
      <w:r>
        <w:t>约为</w:t>
      </w:r>
      <w:r>
        <w:rPr>
          <w:rFonts w:hint="eastAsia"/>
          <w:lang w:val="en-US" w:eastAsia="zh-CN"/>
        </w:rPr>
        <w:t>20.84</w:t>
      </w:r>
      <w:r>
        <w:t>t/d，占余量的</w:t>
      </w:r>
      <w:r>
        <w:rPr>
          <w:rFonts w:hint="eastAsia"/>
          <w:lang w:val="en-US" w:eastAsia="zh-CN"/>
        </w:rPr>
        <w:t>20.84</w:t>
      </w:r>
      <w:r>
        <w:t>%</w:t>
      </w:r>
      <w:r>
        <w:rPr>
          <w:rFonts w:hint="eastAsia"/>
        </w:rPr>
        <w:t>，不会对污水处理厂造成冲击负荷。</w:t>
      </w:r>
      <w:r>
        <w:t>根据污水处理厂</w:t>
      </w:r>
      <w:r>
        <w:rPr>
          <w:rFonts w:hint="eastAsia"/>
        </w:rPr>
        <w:t>自行监测</w:t>
      </w:r>
      <w:r>
        <w:t>结果，污水处理厂出水水质亦能达到《城镇污水处理厂污染物排放标准》(GB18918-2002）一级A标准。根据地表水体</w:t>
      </w:r>
      <w:r>
        <w:rPr>
          <w:rFonts w:hint="eastAsia"/>
        </w:rPr>
        <w:t>湘</w:t>
      </w:r>
      <w:r>
        <w:t>江常规监控断面监测数据，污水处理厂外排尾水对地表水体</w:t>
      </w:r>
      <w:r>
        <w:rPr>
          <w:rFonts w:hint="eastAsia"/>
        </w:rPr>
        <w:t>湘</w:t>
      </w:r>
      <w:r>
        <w:t>江影响可接受。</w:t>
      </w:r>
    </w:p>
    <w:p w14:paraId="560628AA">
      <w:pPr>
        <w:pStyle w:val="21"/>
        <w:bidi w:val="0"/>
      </w:pPr>
      <w:r>
        <w:t>本项目实施雨污分流，初期雨水经收集后进行</w:t>
      </w:r>
      <w:r>
        <w:rPr>
          <w:rFonts w:hint="eastAsia"/>
        </w:rPr>
        <w:t>隔油沉淀</w:t>
      </w:r>
      <w:r>
        <w:t>处理，后期雨水</w:t>
      </w:r>
      <w:r>
        <w:rPr>
          <w:rFonts w:hint="eastAsia"/>
        </w:rPr>
        <w:t>排入湘江</w:t>
      </w:r>
      <w:r>
        <w:t>。根据类比，后期雨水污染物成分简单，仅含少量COD和SS等，项目雨水排放不会对</w:t>
      </w:r>
      <w:r>
        <w:rPr>
          <w:rFonts w:hint="eastAsia"/>
        </w:rPr>
        <w:t>湘江</w:t>
      </w:r>
      <w:r>
        <w:t>水质造成较大影响。</w:t>
      </w:r>
    </w:p>
    <w:p w14:paraId="20E3FE06">
      <w:pPr>
        <w:pStyle w:val="21"/>
        <w:bidi w:val="0"/>
        <w:rPr>
          <w:rFonts w:hint="eastAsia"/>
          <w:lang w:val="en-US" w:eastAsia="zh-CN"/>
        </w:rPr>
      </w:pPr>
      <w:r>
        <w:t>综上所述，本项目的废水处理措施是可行的，项目废水依托</w:t>
      </w:r>
      <w:r>
        <w:rPr>
          <w:rFonts w:hint="eastAsia"/>
        </w:rPr>
        <w:t>三樟</w:t>
      </w:r>
      <w:r>
        <w:t>污水处理设施进一步处理也是可行的。</w:t>
      </w:r>
    </w:p>
    <w:p w14:paraId="032425EB">
      <w:pPr>
        <w:pStyle w:val="36"/>
        <w:bidi w:val="0"/>
        <w:rPr>
          <w:rFonts w:hint="eastAsia"/>
          <w:lang w:val="en-US" w:eastAsia="zh-CN"/>
        </w:rPr>
      </w:pPr>
      <w:r>
        <w:rPr>
          <w:rFonts w:hint="eastAsia"/>
          <w:lang w:val="en-US" w:eastAsia="zh-CN"/>
        </w:rPr>
        <w:t>5.2.2.3废水污染物排放量核算</w:t>
      </w:r>
    </w:p>
    <w:p w14:paraId="16DDC5C6">
      <w:pPr>
        <w:pStyle w:val="23"/>
      </w:pPr>
      <w:r>
        <w:rPr>
          <w:rFonts w:hint="eastAsia"/>
        </w:rPr>
        <w:t>表5.3-1  项目废水排放情况表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96"/>
        <w:gridCol w:w="1143"/>
        <w:gridCol w:w="860"/>
        <w:gridCol w:w="798"/>
        <w:gridCol w:w="758"/>
        <w:gridCol w:w="1144"/>
        <w:gridCol w:w="860"/>
        <w:gridCol w:w="1144"/>
        <w:gridCol w:w="859"/>
      </w:tblGrid>
      <w:tr w14:paraId="138AE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76" w:type="pct"/>
            <w:vMerge w:val="restart"/>
            <w:vAlign w:val="center"/>
          </w:tcPr>
          <w:p w14:paraId="232ECFF9">
            <w:pPr>
              <w:pStyle w:val="31"/>
              <w:rPr>
                <w:rFonts w:cs="Times New Roman"/>
                <w:kern w:val="0"/>
                <w:u w:val="none"/>
              </w:rPr>
            </w:pPr>
            <w:r>
              <w:rPr>
                <w:rFonts w:hint="eastAsia" w:cs="Times New Roman"/>
                <w:kern w:val="0"/>
                <w:u w:val="none"/>
              </w:rPr>
              <w:t>污染物</w:t>
            </w:r>
          </w:p>
        </w:tc>
        <w:tc>
          <w:tcPr>
            <w:tcW w:w="1197" w:type="pct"/>
            <w:gridSpan w:val="2"/>
            <w:vAlign w:val="center"/>
          </w:tcPr>
          <w:p w14:paraId="4C07976C">
            <w:pPr>
              <w:pStyle w:val="31"/>
              <w:rPr>
                <w:rFonts w:cs="Times New Roman"/>
                <w:kern w:val="0"/>
                <w:u w:val="none"/>
              </w:rPr>
            </w:pPr>
            <w:r>
              <w:rPr>
                <w:rFonts w:hint="eastAsia" w:cs="Times New Roman"/>
                <w:kern w:val="0"/>
                <w:u w:val="none"/>
              </w:rPr>
              <w:t>废水产生情况</w:t>
            </w:r>
          </w:p>
        </w:tc>
        <w:tc>
          <w:tcPr>
            <w:tcW w:w="477" w:type="pct"/>
            <w:vMerge w:val="restart"/>
            <w:vAlign w:val="center"/>
          </w:tcPr>
          <w:p w14:paraId="55311C37">
            <w:pPr>
              <w:pStyle w:val="31"/>
              <w:rPr>
                <w:rFonts w:cs="Times New Roman"/>
                <w:kern w:val="0"/>
                <w:u w:val="none"/>
              </w:rPr>
            </w:pPr>
            <w:r>
              <w:rPr>
                <w:rFonts w:hint="eastAsia" w:cs="Times New Roman"/>
                <w:kern w:val="0"/>
                <w:u w:val="none"/>
              </w:rPr>
              <w:t>自行处</w:t>
            </w:r>
          </w:p>
          <w:p w14:paraId="0BCAAC0E">
            <w:pPr>
              <w:pStyle w:val="31"/>
              <w:rPr>
                <w:rFonts w:cs="Times New Roman"/>
                <w:kern w:val="0"/>
                <w:u w:val="none"/>
              </w:rPr>
            </w:pPr>
            <w:r>
              <w:rPr>
                <w:rFonts w:hint="eastAsia" w:cs="Times New Roman"/>
                <w:kern w:val="0"/>
                <w:u w:val="none"/>
              </w:rPr>
              <w:t>理设施</w:t>
            </w:r>
          </w:p>
        </w:tc>
        <w:tc>
          <w:tcPr>
            <w:tcW w:w="453" w:type="pct"/>
            <w:vMerge w:val="restart"/>
            <w:vAlign w:val="center"/>
          </w:tcPr>
          <w:p w14:paraId="38899AC2">
            <w:pPr>
              <w:pStyle w:val="31"/>
              <w:rPr>
                <w:rFonts w:cs="Times New Roman"/>
                <w:kern w:val="0"/>
                <w:u w:val="none"/>
              </w:rPr>
            </w:pPr>
            <w:r>
              <w:rPr>
                <w:rFonts w:hint="eastAsia" w:cs="Times New Roman"/>
                <w:kern w:val="0"/>
                <w:u w:val="none"/>
              </w:rPr>
              <w:t>处理</w:t>
            </w:r>
          </w:p>
          <w:p w14:paraId="53166D29">
            <w:pPr>
              <w:pStyle w:val="31"/>
              <w:rPr>
                <w:rFonts w:cs="Times New Roman"/>
                <w:kern w:val="0"/>
                <w:u w:val="none"/>
              </w:rPr>
            </w:pPr>
            <w:r>
              <w:rPr>
                <w:rFonts w:hint="eastAsia" w:cs="Times New Roman"/>
                <w:kern w:val="0"/>
                <w:u w:val="none"/>
              </w:rPr>
              <w:t>效率%</w:t>
            </w:r>
          </w:p>
        </w:tc>
        <w:tc>
          <w:tcPr>
            <w:tcW w:w="1198" w:type="pct"/>
            <w:gridSpan w:val="2"/>
            <w:vAlign w:val="center"/>
          </w:tcPr>
          <w:p w14:paraId="46BC280A">
            <w:pPr>
              <w:pStyle w:val="31"/>
              <w:rPr>
                <w:rFonts w:cs="Times New Roman"/>
                <w:kern w:val="0"/>
                <w:u w:val="none"/>
              </w:rPr>
            </w:pPr>
            <w:r>
              <w:rPr>
                <w:rFonts w:hint="eastAsia" w:cs="Times New Roman"/>
                <w:kern w:val="0"/>
                <w:u w:val="none"/>
              </w:rPr>
              <w:t>排放情况</w:t>
            </w:r>
          </w:p>
        </w:tc>
        <w:tc>
          <w:tcPr>
            <w:tcW w:w="1197" w:type="pct"/>
            <w:gridSpan w:val="2"/>
            <w:vAlign w:val="center"/>
          </w:tcPr>
          <w:p w14:paraId="0E12FC2E">
            <w:pPr>
              <w:pStyle w:val="31"/>
              <w:rPr>
                <w:rFonts w:cs="Times New Roman"/>
                <w:kern w:val="0"/>
                <w:u w:val="none"/>
              </w:rPr>
            </w:pPr>
            <w:r>
              <w:rPr>
                <w:rFonts w:hint="eastAsia" w:cs="Times New Roman"/>
                <w:kern w:val="0"/>
                <w:u w:val="none"/>
              </w:rPr>
              <w:t>污水处理厂排放</w:t>
            </w:r>
          </w:p>
        </w:tc>
      </w:tr>
      <w:tr w14:paraId="51FE7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76" w:type="pct"/>
            <w:vMerge w:val="continue"/>
            <w:vAlign w:val="center"/>
          </w:tcPr>
          <w:p w14:paraId="77F6E715">
            <w:pPr>
              <w:pStyle w:val="31"/>
              <w:rPr>
                <w:rFonts w:cs="Times New Roman"/>
                <w:kern w:val="0"/>
                <w:u w:val="none"/>
              </w:rPr>
            </w:pPr>
          </w:p>
        </w:tc>
        <w:tc>
          <w:tcPr>
            <w:tcW w:w="683" w:type="pct"/>
            <w:vAlign w:val="center"/>
          </w:tcPr>
          <w:p w14:paraId="1CEA0C12">
            <w:pPr>
              <w:pStyle w:val="31"/>
              <w:rPr>
                <w:rFonts w:cs="Times New Roman"/>
                <w:kern w:val="0"/>
                <w:u w:val="none"/>
              </w:rPr>
            </w:pPr>
            <w:r>
              <w:rPr>
                <w:rFonts w:hint="eastAsia" w:cs="Times New Roman"/>
                <w:kern w:val="0"/>
                <w:u w:val="none"/>
              </w:rPr>
              <w:t>浓度mg/L</w:t>
            </w:r>
          </w:p>
        </w:tc>
        <w:tc>
          <w:tcPr>
            <w:tcW w:w="514" w:type="pct"/>
            <w:vAlign w:val="center"/>
          </w:tcPr>
          <w:p w14:paraId="421DA781">
            <w:pPr>
              <w:pStyle w:val="31"/>
              <w:rPr>
                <w:rFonts w:cs="Times New Roman"/>
                <w:kern w:val="0"/>
                <w:u w:val="none"/>
              </w:rPr>
            </w:pPr>
            <w:r>
              <w:rPr>
                <w:rFonts w:hint="eastAsia" w:cs="Times New Roman"/>
                <w:kern w:val="0"/>
                <w:u w:val="none"/>
              </w:rPr>
              <w:t>数量t/a</w:t>
            </w:r>
          </w:p>
        </w:tc>
        <w:tc>
          <w:tcPr>
            <w:tcW w:w="477" w:type="pct"/>
            <w:vMerge w:val="continue"/>
            <w:vAlign w:val="center"/>
          </w:tcPr>
          <w:p w14:paraId="7283E6AF">
            <w:pPr>
              <w:pStyle w:val="31"/>
              <w:rPr>
                <w:rFonts w:cs="Times New Roman"/>
                <w:kern w:val="0"/>
                <w:u w:val="none"/>
              </w:rPr>
            </w:pPr>
          </w:p>
        </w:tc>
        <w:tc>
          <w:tcPr>
            <w:tcW w:w="453" w:type="pct"/>
            <w:vMerge w:val="continue"/>
            <w:vAlign w:val="center"/>
          </w:tcPr>
          <w:p w14:paraId="3B97E6C1">
            <w:pPr>
              <w:pStyle w:val="31"/>
              <w:rPr>
                <w:rFonts w:cs="Times New Roman"/>
                <w:kern w:val="0"/>
                <w:u w:val="none"/>
              </w:rPr>
            </w:pPr>
          </w:p>
        </w:tc>
        <w:tc>
          <w:tcPr>
            <w:tcW w:w="684" w:type="pct"/>
            <w:vAlign w:val="center"/>
          </w:tcPr>
          <w:p w14:paraId="24F94426">
            <w:pPr>
              <w:pStyle w:val="31"/>
              <w:rPr>
                <w:rFonts w:cs="Times New Roman"/>
                <w:kern w:val="0"/>
                <w:u w:val="none"/>
              </w:rPr>
            </w:pPr>
            <w:r>
              <w:rPr>
                <w:rFonts w:hint="eastAsia" w:cs="Times New Roman"/>
                <w:kern w:val="0"/>
                <w:u w:val="none"/>
              </w:rPr>
              <w:t>浓度mg/L</w:t>
            </w:r>
          </w:p>
        </w:tc>
        <w:tc>
          <w:tcPr>
            <w:tcW w:w="514" w:type="pct"/>
            <w:vAlign w:val="center"/>
          </w:tcPr>
          <w:p w14:paraId="02E7EE5E">
            <w:pPr>
              <w:pStyle w:val="31"/>
              <w:rPr>
                <w:rFonts w:cs="Times New Roman"/>
                <w:kern w:val="0"/>
                <w:u w:val="none"/>
              </w:rPr>
            </w:pPr>
            <w:r>
              <w:rPr>
                <w:rFonts w:hint="eastAsia" w:cs="Times New Roman"/>
                <w:kern w:val="0"/>
                <w:u w:val="none"/>
              </w:rPr>
              <w:t>数量t/a</w:t>
            </w:r>
          </w:p>
        </w:tc>
        <w:tc>
          <w:tcPr>
            <w:tcW w:w="684" w:type="pct"/>
            <w:vAlign w:val="center"/>
          </w:tcPr>
          <w:p w14:paraId="2D099295">
            <w:pPr>
              <w:pStyle w:val="31"/>
              <w:rPr>
                <w:rFonts w:cs="Times New Roman"/>
                <w:kern w:val="0"/>
                <w:u w:val="none"/>
              </w:rPr>
            </w:pPr>
            <w:r>
              <w:rPr>
                <w:rFonts w:hint="eastAsia" w:cs="Times New Roman"/>
                <w:kern w:val="0"/>
                <w:u w:val="none"/>
              </w:rPr>
              <w:t>浓度mg/L</w:t>
            </w:r>
          </w:p>
        </w:tc>
        <w:tc>
          <w:tcPr>
            <w:tcW w:w="513" w:type="pct"/>
            <w:vAlign w:val="center"/>
          </w:tcPr>
          <w:p w14:paraId="75C015EF">
            <w:pPr>
              <w:pStyle w:val="31"/>
              <w:rPr>
                <w:rFonts w:cs="Times New Roman"/>
                <w:kern w:val="0"/>
                <w:u w:val="none"/>
              </w:rPr>
            </w:pPr>
            <w:r>
              <w:rPr>
                <w:rFonts w:hint="eastAsia" w:cs="Times New Roman"/>
                <w:kern w:val="0"/>
                <w:u w:val="none"/>
              </w:rPr>
              <w:t>数量t/a</w:t>
            </w:r>
          </w:p>
        </w:tc>
      </w:tr>
      <w:tr w14:paraId="247D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26EFF8D6">
            <w:pPr>
              <w:pStyle w:val="31"/>
              <w:rPr>
                <w:rFonts w:cs="Times New Roman"/>
                <w:kern w:val="0"/>
                <w:u w:val="none"/>
              </w:rPr>
            </w:pPr>
            <w:r>
              <w:rPr>
                <w:rFonts w:hint="eastAsia" w:cs="Times New Roman"/>
                <w:kern w:val="0"/>
                <w:u w:val="none"/>
              </w:rPr>
              <w:t>废水量</w:t>
            </w:r>
          </w:p>
        </w:tc>
        <w:tc>
          <w:tcPr>
            <w:tcW w:w="683" w:type="pct"/>
            <w:vAlign w:val="center"/>
          </w:tcPr>
          <w:p w14:paraId="0A627B73">
            <w:pPr>
              <w:pStyle w:val="31"/>
              <w:rPr>
                <w:rFonts w:cs="Times New Roman"/>
                <w:kern w:val="0"/>
                <w:u w:val="none"/>
              </w:rPr>
            </w:pPr>
            <w:r>
              <w:rPr>
                <w:rFonts w:hint="eastAsia" w:cs="Times New Roman"/>
                <w:kern w:val="0"/>
                <w:u w:val="none"/>
              </w:rPr>
              <w:t>/</w:t>
            </w:r>
          </w:p>
        </w:tc>
        <w:tc>
          <w:tcPr>
            <w:tcW w:w="514" w:type="pct"/>
            <w:vAlign w:val="center"/>
          </w:tcPr>
          <w:p w14:paraId="1D4D1F2E">
            <w:pPr>
              <w:pStyle w:val="31"/>
              <w:rPr>
                <w:rFonts w:hint="default" w:eastAsia="宋体" w:cs="Times New Roman"/>
                <w:kern w:val="0"/>
                <w:u w:val="none"/>
                <w:lang w:val="en-US" w:eastAsia="zh-CN"/>
              </w:rPr>
            </w:pPr>
            <w:r>
              <w:rPr>
                <w:rFonts w:hint="eastAsia" w:eastAsia="宋体" w:cs="Times New Roman"/>
                <w:kern w:val="0"/>
                <w:u w:val="none"/>
                <w:lang w:val="en-US" w:eastAsia="zh-CN"/>
              </w:rPr>
              <w:t>5498.2</w:t>
            </w:r>
          </w:p>
        </w:tc>
        <w:tc>
          <w:tcPr>
            <w:tcW w:w="477" w:type="pct"/>
            <w:vMerge w:val="restart"/>
            <w:vAlign w:val="center"/>
          </w:tcPr>
          <w:p w14:paraId="7165DD2B">
            <w:pPr>
              <w:pStyle w:val="31"/>
              <w:rPr>
                <w:rFonts w:hint="default" w:eastAsia="宋体" w:cs="Times New Roman"/>
                <w:kern w:val="0"/>
                <w:u w:val="none"/>
                <w:lang w:val="en-US" w:eastAsia="zh-CN"/>
              </w:rPr>
            </w:pPr>
            <w:r>
              <w:rPr>
                <w:rFonts w:hint="eastAsia" w:cs="Times New Roman"/>
                <w:kern w:val="0"/>
                <w:u w:val="none"/>
                <w:lang w:val="en-US" w:eastAsia="zh-CN"/>
              </w:rPr>
              <w:t>废水处理站处理达标后优先回用，不能回用部分罐车运至三樟镇污水处理厂处理</w:t>
            </w:r>
          </w:p>
        </w:tc>
        <w:tc>
          <w:tcPr>
            <w:tcW w:w="453" w:type="pct"/>
            <w:vAlign w:val="center"/>
          </w:tcPr>
          <w:p w14:paraId="4B312F08">
            <w:pPr>
              <w:pStyle w:val="31"/>
              <w:rPr>
                <w:rFonts w:cs="Times New Roman"/>
                <w:kern w:val="0"/>
                <w:u w:val="none"/>
              </w:rPr>
            </w:pPr>
            <w:r>
              <w:rPr>
                <w:rFonts w:hint="eastAsia" w:cs="Times New Roman"/>
                <w:kern w:val="0"/>
                <w:u w:val="none"/>
              </w:rPr>
              <w:t>/</w:t>
            </w:r>
          </w:p>
        </w:tc>
        <w:tc>
          <w:tcPr>
            <w:tcW w:w="684" w:type="pct"/>
            <w:vAlign w:val="center"/>
          </w:tcPr>
          <w:p w14:paraId="27F46C8A">
            <w:pPr>
              <w:pStyle w:val="31"/>
              <w:rPr>
                <w:rFonts w:cs="Times New Roman"/>
                <w:kern w:val="0"/>
                <w:u w:val="none"/>
              </w:rPr>
            </w:pPr>
            <w:r>
              <w:rPr>
                <w:rFonts w:hint="eastAsia" w:cs="Times New Roman"/>
                <w:kern w:val="0"/>
                <w:u w:val="none"/>
              </w:rPr>
              <w:t>/</w:t>
            </w:r>
          </w:p>
        </w:tc>
        <w:tc>
          <w:tcPr>
            <w:tcW w:w="514" w:type="pct"/>
            <w:vAlign w:val="center"/>
          </w:tcPr>
          <w:p w14:paraId="283B476C">
            <w:pPr>
              <w:pStyle w:val="31"/>
              <w:rPr>
                <w:rFonts w:hint="default" w:eastAsia="宋体" w:cs="Times New Roman"/>
                <w:kern w:val="0"/>
                <w:u w:val="none"/>
                <w:lang w:val="en-US" w:eastAsia="zh-CN"/>
              </w:rPr>
            </w:pPr>
            <w:r>
              <w:rPr>
                <w:rFonts w:hint="eastAsia" w:eastAsia="宋体" w:cs="Times New Roman"/>
                <w:kern w:val="0"/>
                <w:u w:val="none"/>
                <w:lang w:val="en-US" w:eastAsia="zh-CN"/>
              </w:rPr>
              <w:t>4168.53</w:t>
            </w:r>
          </w:p>
        </w:tc>
        <w:tc>
          <w:tcPr>
            <w:tcW w:w="684" w:type="pct"/>
            <w:vAlign w:val="center"/>
          </w:tcPr>
          <w:p w14:paraId="4FE9FFC8">
            <w:pPr>
              <w:pStyle w:val="31"/>
              <w:rPr>
                <w:rFonts w:cs="Times New Roman"/>
                <w:kern w:val="0"/>
                <w:u w:val="none"/>
              </w:rPr>
            </w:pPr>
            <w:r>
              <w:rPr>
                <w:rFonts w:hint="eastAsia" w:cs="Times New Roman"/>
                <w:kern w:val="0"/>
                <w:u w:val="none"/>
              </w:rPr>
              <w:t>/</w:t>
            </w:r>
          </w:p>
        </w:tc>
        <w:tc>
          <w:tcPr>
            <w:tcW w:w="513" w:type="pct"/>
            <w:vAlign w:val="center"/>
          </w:tcPr>
          <w:p w14:paraId="6788DABE">
            <w:pPr>
              <w:pStyle w:val="31"/>
              <w:rPr>
                <w:rFonts w:hint="default" w:eastAsia="宋体" w:cs="Times New Roman"/>
                <w:kern w:val="0"/>
                <w:u w:val="none"/>
                <w:lang w:val="en-US" w:eastAsia="zh-CN"/>
              </w:rPr>
            </w:pPr>
            <w:r>
              <w:rPr>
                <w:rFonts w:hint="eastAsia" w:eastAsia="宋体" w:cs="Times New Roman"/>
                <w:kern w:val="0"/>
                <w:u w:val="none"/>
                <w:lang w:val="en-US" w:eastAsia="zh-CN"/>
              </w:rPr>
              <w:t>4168.53</w:t>
            </w:r>
          </w:p>
        </w:tc>
      </w:tr>
      <w:tr w14:paraId="04024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16D0F88E">
            <w:pPr>
              <w:pStyle w:val="31"/>
              <w:rPr>
                <w:rFonts w:cs="Times New Roman"/>
                <w:kern w:val="0"/>
                <w:u w:val="none"/>
              </w:rPr>
            </w:pPr>
            <w:r>
              <w:rPr>
                <w:rFonts w:hint="eastAsia" w:cs="Times New Roman"/>
                <w:kern w:val="0"/>
                <w:u w:val="none"/>
              </w:rPr>
              <w:t>COD</w:t>
            </w:r>
          </w:p>
        </w:tc>
        <w:tc>
          <w:tcPr>
            <w:tcW w:w="683" w:type="pct"/>
            <w:vAlign w:val="center"/>
          </w:tcPr>
          <w:p w14:paraId="64405B68">
            <w:pPr>
              <w:pStyle w:val="31"/>
              <w:rPr>
                <w:rFonts w:hint="default" w:eastAsia="宋体" w:cs="Times New Roman"/>
                <w:kern w:val="0"/>
                <w:u w:val="none"/>
                <w:lang w:val="en-US" w:eastAsia="zh-CN"/>
              </w:rPr>
            </w:pPr>
            <w:r>
              <w:rPr>
                <w:rFonts w:hint="eastAsia" w:eastAsia="宋体" w:cs="Times New Roman"/>
                <w:kern w:val="0"/>
                <w:u w:val="none"/>
                <w:lang w:val="en-US" w:eastAsia="zh-CN"/>
              </w:rPr>
              <w:t>213.33</w:t>
            </w:r>
          </w:p>
        </w:tc>
        <w:tc>
          <w:tcPr>
            <w:tcW w:w="514" w:type="pct"/>
            <w:vAlign w:val="center"/>
          </w:tcPr>
          <w:p w14:paraId="24C62B7A">
            <w:pPr>
              <w:pStyle w:val="31"/>
              <w:rPr>
                <w:rFonts w:hint="default" w:eastAsia="宋体" w:cs="Times New Roman"/>
                <w:kern w:val="0"/>
                <w:u w:val="none"/>
                <w:lang w:val="en-US" w:eastAsia="zh-CN"/>
              </w:rPr>
            </w:pPr>
            <w:r>
              <w:rPr>
                <w:rFonts w:hint="eastAsia" w:eastAsia="宋体" w:cs="Times New Roman"/>
                <w:kern w:val="0"/>
                <w:u w:val="none"/>
                <w:lang w:val="en-US" w:eastAsia="zh-CN"/>
              </w:rPr>
              <w:t>1.173</w:t>
            </w:r>
          </w:p>
        </w:tc>
        <w:tc>
          <w:tcPr>
            <w:tcW w:w="477" w:type="pct"/>
            <w:vMerge w:val="continue"/>
            <w:vAlign w:val="center"/>
          </w:tcPr>
          <w:p w14:paraId="1A6E4AC2">
            <w:pPr>
              <w:pStyle w:val="31"/>
              <w:rPr>
                <w:rFonts w:cs="Times New Roman"/>
                <w:kern w:val="0"/>
                <w:u w:val="none"/>
              </w:rPr>
            </w:pPr>
          </w:p>
        </w:tc>
        <w:tc>
          <w:tcPr>
            <w:tcW w:w="453" w:type="pct"/>
            <w:vAlign w:val="center"/>
          </w:tcPr>
          <w:p w14:paraId="2F327838">
            <w:pPr>
              <w:pStyle w:val="31"/>
              <w:rPr>
                <w:rFonts w:hint="default" w:eastAsia="宋体" w:cs="Times New Roman"/>
                <w:kern w:val="0"/>
                <w:u w:val="none"/>
                <w:lang w:val="en-US" w:eastAsia="zh-CN"/>
              </w:rPr>
            </w:pPr>
            <w:r>
              <w:rPr>
                <w:rFonts w:hint="eastAsia" w:cs="Times New Roman"/>
                <w:kern w:val="0"/>
                <w:u w:val="none"/>
                <w:lang w:val="en-US" w:eastAsia="zh-CN"/>
              </w:rPr>
              <w:t>80</w:t>
            </w:r>
          </w:p>
        </w:tc>
        <w:tc>
          <w:tcPr>
            <w:tcW w:w="684" w:type="pct"/>
            <w:vAlign w:val="center"/>
          </w:tcPr>
          <w:p w14:paraId="72A2F796">
            <w:pPr>
              <w:pStyle w:val="31"/>
              <w:rPr>
                <w:rFonts w:hint="default" w:eastAsia="宋体" w:cs="Times New Roman"/>
                <w:kern w:val="0"/>
                <w:u w:val="none"/>
                <w:lang w:val="en-US" w:eastAsia="zh-CN"/>
              </w:rPr>
            </w:pPr>
            <w:r>
              <w:rPr>
                <w:rFonts w:hint="eastAsia" w:eastAsia="宋体" w:cs="Times New Roman"/>
                <w:kern w:val="0"/>
                <w:u w:val="none"/>
                <w:lang w:val="en-US" w:eastAsia="zh-CN"/>
              </w:rPr>
              <w:t>21.33</w:t>
            </w:r>
          </w:p>
        </w:tc>
        <w:tc>
          <w:tcPr>
            <w:tcW w:w="514" w:type="pct"/>
            <w:vAlign w:val="center"/>
          </w:tcPr>
          <w:p w14:paraId="0BE42D6A">
            <w:pPr>
              <w:pStyle w:val="31"/>
              <w:rPr>
                <w:rFonts w:hint="default" w:eastAsia="宋体" w:cs="Times New Roman"/>
                <w:kern w:val="0"/>
                <w:u w:val="none"/>
                <w:lang w:val="en-US" w:eastAsia="zh-CN"/>
              </w:rPr>
            </w:pPr>
            <w:r>
              <w:rPr>
                <w:rFonts w:hint="eastAsia" w:eastAsia="宋体" w:cs="Times New Roman"/>
                <w:kern w:val="0"/>
                <w:u w:val="none"/>
                <w:lang w:val="en-US" w:eastAsia="zh-CN"/>
              </w:rPr>
              <w:t>0.089</w:t>
            </w:r>
          </w:p>
        </w:tc>
        <w:tc>
          <w:tcPr>
            <w:tcW w:w="684" w:type="pct"/>
            <w:vAlign w:val="center"/>
          </w:tcPr>
          <w:p w14:paraId="4D24E0BB">
            <w:pPr>
              <w:pStyle w:val="31"/>
              <w:rPr>
                <w:rFonts w:cs="Times New Roman"/>
                <w:kern w:val="0"/>
                <w:u w:val="none"/>
              </w:rPr>
            </w:pPr>
            <w:r>
              <w:rPr>
                <w:rFonts w:hint="eastAsia" w:cs="Times New Roman"/>
                <w:kern w:val="0"/>
                <w:u w:val="none"/>
              </w:rPr>
              <w:t>50</w:t>
            </w:r>
          </w:p>
        </w:tc>
        <w:tc>
          <w:tcPr>
            <w:tcW w:w="513" w:type="pct"/>
            <w:vAlign w:val="center"/>
          </w:tcPr>
          <w:p w14:paraId="466CC58A">
            <w:pPr>
              <w:pStyle w:val="31"/>
              <w:rPr>
                <w:rFonts w:hint="default" w:eastAsia="宋体" w:cs="Times New Roman"/>
                <w:kern w:val="0"/>
                <w:u w:val="none"/>
                <w:lang w:val="en-US" w:eastAsia="zh-CN"/>
              </w:rPr>
            </w:pPr>
            <w:r>
              <w:rPr>
                <w:rFonts w:hint="eastAsia" w:eastAsia="宋体" w:cs="Times New Roman"/>
                <w:kern w:val="0"/>
                <w:u w:val="none"/>
                <w:lang w:val="en-US" w:eastAsia="zh-CN"/>
              </w:rPr>
              <w:t>0.208</w:t>
            </w:r>
          </w:p>
        </w:tc>
      </w:tr>
      <w:tr w14:paraId="133D4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09027FDB">
            <w:pPr>
              <w:pStyle w:val="31"/>
              <w:rPr>
                <w:rFonts w:hint="default" w:eastAsia="宋体" w:cs="Times New Roman"/>
                <w:kern w:val="0"/>
                <w:u w:val="none"/>
                <w:vertAlign w:val="baseline"/>
                <w:lang w:val="en-US" w:eastAsia="zh-CN"/>
              </w:rPr>
            </w:pPr>
            <w:r>
              <w:rPr>
                <w:rFonts w:hint="eastAsia" w:cs="Times New Roman"/>
                <w:kern w:val="0"/>
                <w:u w:val="none"/>
                <w:lang w:val="en-US" w:eastAsia="zh-CN"/>
              </w:rPr>
              <w:t>BOD</w:t>
            </w:r>
            <w:r>
              <w:rPr>
                <w:rFonts w:hint="eastAsia" w:cs="Times New Roman"/>
                <w:kern w:val="0"/>
                <w:u w:val="none"/>
                <w:vertAlign w:val="subscript"/>
                <w:lang w:val="en-US" w:eastAsia="zh-CN"/>
              </w:rPr>
              <w:t>5</w:t>
            </w:r>
          </w:p>
        </w:tc>
        <w:tc>
          <w:tcPr>
            <w:tcW w:w="683" w:type="pct"/>
            <w:vAlign w:val="center"/>
          </w:tcPr>
          <w:p w14:paraId="4BF02314">
            <w:pPr>
              <w:pStyle w:val="31"/>
              <w:rPr>
                <w:rFonts w:hint="default" w:eastAsia="宋体" w:cs="Times New Roman"/>
                <w:kern w:val="0"/>
                <w:u w:val="none"/>
                <w:lang w:val="en-US" w:eastAsia="zh-CN"/>
              </w:rPr>
            </w:pPr>
            <w:r>
              <w:rPr>
                <w:rFonts w:hint="eastAsia" w:eastAsia="宋体" w:cs="Times New Roman"/>
                <w:kern w:val="0"/>
                <w:u w:val="none"/>
                <w:lang w:val="en-US" w:eastAsia="zh-CN"/>
              </w:rPr>
              <w:t>170</w:t>
            </w:r>
          </w:p>
        </w:tc>
        <w:tc>
          <w:tcPr>
            <w:tcW w:w="514" w:type="pct"/>
            <w:vAlign w:val="center"/>
          </w:tcPr>
          <w:p w14:paraId="647F57A4">
            <w:pPr>
              <w:pStyle w:val="31"/>
              <w:rPr>
                <w:rFonts w:hint="default" w:eastAsia="宋体" w:cs="Times New Roman"/>
                <w:kern w:val="0"/>
                <w:u w:val="none"/>
                <w:lang w:val="en-US" w:eastAsia="zh-CN"/>
              </w:rPr>
            </w:pPr>
            <w:r>
              <w:rPr>
                <w:rFonts w:hint="eastAsia" w:eastAsia="宋体" w:cs="Times New Roman"/>
                <w:kern w:val="0"/>
                <w:u w:val="none"/>
                <w:lang w:val="en-US" w:eastAsia="zh-CN"/>
              </w:rPr>
              <w:t>0.935</w:t>
            </w:r>
          </w:p>
        </w:tc>
        <w:tc>
          <w:tcPr>
            <w:tcW w:w="477" w:type="pct"/>
            <w:vMerge w:val="continue"/>
            <w:vAlign w:val="center"/>
          </w:tcPr>
          <w:p w14:paraId="4DD0526B">
            <w:pPr>
              <w:pStyle w:val="31"/>
              <w:rPr>
                <w:rFonts w:cs="Times New Roman"/>
                <w:kern w:val="0"/>
                <w:u w:val="none"/>
              </w:rPr>
            </w:pPr>
          </w:p>
        </w:tc>
        <w:tc>
          <w:tcPr>
            <w:tcW w:w="453" w:type="pct"/>
            <w:vAlign w:val="center"/>
          </w:tcPr>
          <w:p w14:paraId="2A59F28C">
            <w:pPr>
              <w:pStyle w:val="31"/>
              <w:rPr>
                <w:rFonts w:hint="default" w:cs="Times New Roman"/>
                <w:kern w:val="0"/>
                <w:u w:val="none"/>
                <w:lang w:val="en-US" w:eastAsia="zh-CN"/>
              </w:rPr>
            </w:pPr>
            <w:r>
              <w:rPr>
                <w:rFonts w:hint="eastAsia" w:cs="Times New Roman"/>
                <w:kern w:val="0"/>
                <w:u w:val="none"/>
                <w:lang w:val="en-US" w:eastAsia="zh-CN"/>
              </w:rPr>
              <w:t>90</w:t>
            </w:r>
          </w:p>
        </w:tc>
        <w:tc>
          <w:tcPr>
            <w:tcW w:w="684" w:type="pct"/>
            <w:vAlign w:val="center"/>
          </w:tcPr>
          <w:p w14:paraId="4525468E">
            <w:pPr>
              <w:pStyle w:val="31"/>
              <w:rPr>
                <w:rFonts w:hint="default" w:eastAsia="宋体" w:cs="Times New Roman"/>
                <w:kern w:val="0"/>
                <w:u w:val="none"/>
                <w:lang w:val="en-US" w:eastAsia="zh-CN"/>
              </w:rPr>
            </w:pPr>
            <w:r>
              <w:rPr>
                <w:rFonts w:hint="eastAsia" w:eastAsia="宋体" w:cs="Times New Roman"/>
                <w:kern w:val="0"/>
                <w:u w:val="none"/>
                <w:lang w:val="en-US" w:eastAsia="zh-CN"/>
              </w:rPr>
              <w:t>17</w:t>
            </w:r>
          </w:p>
        </w:tc>
        <w:tc>
          <w:tcPr>
            <w:tcW w:w="514" w:type="pct"/>
            <w:vAlign w:val="center"/>
          </w:tcPr>
          <w:p w14:paraId="00CC3657">
            <w:pPr>
              <w:pStyle w:val="31"/>
              <w:rPr>
                <w:rFonts w:hint="default" w:eastAsia="宋体" w:cs="Times New Roman"/>
                <w:kern w:val="0"/>
                <w:u w:val="none"/>
                <w:lang w:val="en-US" w:eastAsia="zh-CN"/>
              </w:rPr>
            </w:pPr>
            <w:r>
              <w:rPr>
                <w:rFonts w:hint="eastAsia" w:eastAsia="宋体" w:cs="Times New Roman"/>
                <w:kern w:val="0"/>
                <w:u w:val="none"/>
                <w:lang w:val="en-US" w:eastAsia="zh-CN"/>
              </w:rPr>
              <w:t>0.071</w:t>
            </w:r>
          </w:p>
        </w:tc>
        <w:tc>
          <w:tcPr>
            <w:tcW w:w="684" w:type="pct"/>
            <w:vAlign w:val="center"/>
          </w:tcPr>
          <w:p w14:paraId="42962213">
            <w:pPr>
              <w:pStyle w:val="31"/>
              <w:rPr>
                <w:rFonts w:hint="default" w:eastAsia="宋体" w:cs="Times New Roman"/>
                <w:kern w:val="0"/>
                <w:u w:val="none"/>
                <w:lang w:val="en-US" w:eastAsia="zh-CN"/>
              </w:rPr>
            </w:pPr>
            <w:r>
              <w:rPr>
                <w:rFonts w:hint="eastAsia" w:cs="Times New Roman"/>
                <w:kern w:val="0"/>
                <w:u w:val="none"/>
                <w:lang w:val="en-US" w:eastAsia="zh-CN"/>
              </w:rPr>
              <w:t>10</w:t>
            </w:r>
          </w:p>
        </w:tc>
        <w:tc>
          <w:tcPr>
            <w:tcW w:w="513" w:type="pct"/>
            <w:vAlign w:val="center"/>
          </w:tcPr>
          <w:p w14:paraId="611CD74B">
            <w:pPr>
              <w:pStyle w:val="31"/>
              <w:rPr>
                <w:rFonts w:hint="default" w:eastAsia="宋体" w:cs="Times New Roman"/>
                <w:kern w:val="0"/>
                <w:u w:val="none"/>
                <w:lang w:val="en-US" w:eastAsia="zh-CN"/>
              </w:rPr>
            </w:pPr>
            <w:r>
              <w:rPr>
                <w:rFonts w:hint="eastAsia" w:eastAsia="宋体" w:cs="Times New Roman"/>
                <w:kern w:val="0"/>
                <w:u w:val="none"/>
                <w:lang w:val="en-US" w:eastAsia="zh-CN"/>
              </w:rPr>
              <w:t>0.042</w:t>
            </w:r>
          </w:p>
        </w:tc>
      </w:tr>
      <w:tr w14:paraId="40C00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08C3AA7D">
            <w:pPr>
              <w:pStyle w:val="31"/>
              <w:rPr>
                <w:rFonts w:cs="Times New Roman"/>
                <w:kern w:val="0"/>
                <w:u w:val="none"/>
              </w:rPr>
            </w:pPr>
            <w:r>
              <w:rPr>
                <w:rFonts w:hint="eastAsia" w:cs="Times New Roman"/>
                <w:kern w:val="0"/>
                <w:u w:val="none"/>
              </w:rPr>
              <w:t>石油类</w:t>
            </w:r>
          </w:p>
        </w:tc>
        <w:tc>
          <w:tcPr>
            <w:tcW w:w="683" w:type="pct"/>
            <w:vAlign w:val="center"/>
          </w:tcPr>
          <w:p w14:paraId="60C5C62A">
            <w:pPr>
              <w:pStyle w:val="31"/>
              <w:rPr>
                <w:rFonts w:hint="default" w:eastAsia="宋体" w:cs="Times New Roman"/>
                <w:kern w:val="0"/>
                <w:u w:val="none"/>
                <w:lang w:val="en-US" w:eastAsia="zh-CN"/>
              </w:rPr>
            </w:pPr>
            <w:r>
              <w:rPr>
                <w:rFonts w:hint="eastAsia" w:eastAsia="宋体" w:cs="Times New Roman"/>
                <w:kern w:val="0"/>
                <w:u w:val="none"/>
                <w:lang w:val="en-US" w:eastAsia="zh-CN"/>
              </w:rPr>
              <w:t>16.67</w:t>
            </w:r>
          </w:p>
        </w:tc>
        <w:tc>
          <w:tcPr>
            <w:tcW w:w="514" w:type="pct"/>
            <w:vAlign w:val="center"/>
          </w:tcPr>
          <w:p w14:paraId="71EC465F">
            <w:pPr>
              <w:pStyle w:val="31"/>
              <w:rPr>
                <w:rFonts w:hint="default" w:eastAsia="宋体" w:cs="Times New Roman"/>
                <w:kern w:val="0"/>
                <w:u w:val="none"/>
                <w:lang w:val="en-US" w:eastAsia="zh-CN"/>
              </w:rPr>
            </w:pPr>
            <w:r>
              <w:rPr>
                <w:rFonts w:hint="eastAsia" w:eastAsia="宋体" w:cs="Times New Roman"/>
                <w:kern w:val="0"/>
                <w:u w:val="none"/>
                <w:lang w:val="en-US" w:eastAsia="zh-CN"/>
              </w:rPr>
              <w:t>0.093</w:t>
            </w:r>
          </w:p>
        </w:tc>
        <w:tc>
          <w:tcPr>
            <w:tcW w:w="477" w:type="pct"/>
            <w:vMerge w:val="continue"/>
            <w:vAlign w:val="center"/>
          </w:tcPr>
          <w:p w14:paraId="478D3297">
            <w:pPr>
              <w:pStyle w:val="31"/>
              <w:rPr>
                <w:rFonts w:cs="Times New Roman"/>
                <w:kern w:val="0"/>
                <w:u w:val="none"/>
              </w:rPr>
            </w:pPr>
          </w:p>
        </w:tc>
        <w:tc>
          <w:tcPr>
            <w:tcW w:w="453" w:type="pct"/>
            <w:vAlign w:val="center"/>
          </w:tcPr>
          <w:p w14:paraId="426ED268">
            <w:pPr>
              <w:pStyle w:val="31"/>
              <w:rPr>
                <w:rFonts w:hint="default" w:eastAsia="宋体" w:cs="Times New Roman"/>
                <w:kern w:val="0"/>
                <w:u w:val="none"/>
                <w:lang w:val="en-US" w:eastAsia="zh-CN"/>
              </w:rPr>
            </w:pPr>
            <w:r>
              <w:rPr>
                <w:rFonts w:hint="eastAsia" w:cs="Times New Roman"/>
                <w:kern w:val="0"/>
                <w:u w:val="none"/>
                <w:lang w:val="en-US" w:eastAsia="zh-CN"/>
              </w:rPr>
              <w:t>90</w:t>
            </w:r>
          </w:p>
        </w:tc>
        <w:tc>
          <w:tcPr>
            <w:tcW w:w="684" w:type="pct"/>
            <w:vAlign w:val="center"/>
          </w:tcPr>
          <w:p w14:paraId="5479B5B5">
            <w:pPr>
              <w:pStyle w:val="31"/>
              <w:rPr>
                <w:rFonts w:hint="default" w:eastAsia="宋体" w:cs="Times New Roman"/>
                <w:kern w:val="0"/>
                <w:u w:val="none"/>
                <w:lang w:val="en-US" w:eastAsia="zh-CN"/>
              </w:rPr>
            </w:pPr>
            <w:r>
              <w:rPr>
                <w:rFonts w:hint="eastAsia" w:eastAsia="宋体" w:cs="Times New Roman"/>
                <w:kern w:val="0"/>
                <w:u w:val="none"/>
                <w:lang w:val="en-US" w:eastAsia="zh-CN"/>
              </w:rPr>
              <w:t>1.67</w:t>
            </w:r>
          </w:p>
        </w:tc>
        <w:tc>
          <w:tcPr>
            <w:tcW w:w="514" w:type="pct"/>
            <w:vAlign w:val="center"/>
          </w:tcPr>
          <w:p w14:paraId="532184CB">
            <w:pPr>
              <w:pStyle w:val="31"/>
              <w:rPr>
                <w:rFonts w:hint="default" w:eastAsia="宋体" w:cs="Times New Roman"/>
                <w:kern w:val="0"/>
                <w:u w:val="none"/>
                <w:lang w:val="en-US" w:eastAsia="zh-CN"/>
              </w:rPr>
            </w:pPr>
            <w:r>
              <w:rPr>
                <w:rFonts w:hint="eastAsia" w:eastAsia="宋体" w:cs="Times New Roman"/>
                <w:kern w:val="0"/>
                <w:u w:val="none"/>
                <w:lang w:val="en-US" w:eastAsia="zh-CN"/>
              </w:rPr>
              <w:t>0.007</w:t>
            </w:r>
          </w:p>
        </w:tc>
        <w:tc>
          <w:tcPr>
            <w:tcW w:w="684" w:type="pct"/>
            <w:vAlign w:val="center"/>
          </w:tcPr>
          <w:p w14:paraId="3E89B520">
            <w:pPr>
              <w:pStyle w:val="31"/>
              <w:rPr>
                <w:rFonts w:cs="Times New Roman"/>
                <w:kern w:val="0"/>
                <w:u w:val="none"/>
              </w:rPr>
            </w:pPr>
            <w:r>
              <w:rPr>
                <w:rFonts w:hint="eastAsia" w:cs="Times New Roman"/>
                <w:kern w:val="0"/>
                <w:u w:val="none"/>
              </w:rPr>
              <w:t>1</w:t>
            </w:r>
          </w:p>
        </w:tc>
        <w:tc>
          <w:tcPr>
            <w:tcW w:w="513" w:type="pct"/>
            <w:vAlign w:val="center"/>
          </w:tcPr>
          <w:p w14:paraId="22CEC698">
            <w:pPr>
              <w:pStyle w:val="31"/>
              <w:rPr>
                <w:rFonts w:hint="default" w:eastAsia="宋体" w:cs="Times New Roman"/>
                <w:kern w:val="0"/>
                <w:u w:val="none"/>
                <w:lang w:val="en-US" w:eastAsia="zh-CN"/>
              </w:rPr>
            </w:pPr>
            <w:r>
              <w:rPr>
                <w:rFonts w:hint="eastAsia" w:cs="Times New Roman"/>
                <w:kern w:val="0"/>
                <w:u w:val="none"/>
                <w:lang w:val="en-US" w:eastAsia="zh-CN"/>
              </w:rPr>
              <w:t>0.004</w:t>
            </w:r>
          </w:p>
        </w:tc>
      </w:tr>
      <w:tr w14:paraId="64674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092ECF72">
            <w:pPr>
              <w:pStyle w:val="31"/>
              <w:rPr>
                <w:rFonts w:cs="Times New Roman"/>
                <w:kern w:val="0"/>
                <w:u w:val="none"/>
              </w:rPr>
            </w:pPr>
            <w:r>
              <w:rPr>
                <w:rFonts w:hint="eastAsia" w:cs="Times New Roman"/>
                <w:kern w:val="0"/>
                <w:u w:val="none"/>
              </w:rPr>
              <w:t>SS</w:t>
            </w:r>
          </w:p>
        </w:tc>
        <w:tc>
          <w:tcPr>
            <w:tcW w:w="683" w:type="pct"/>
            <w:vAlign w:val="center"/>
          </w:tcPr>
          <w:p w14:paraId="1B3EC5CD">
            <w:pPr>
              <w:pStyle w:val="31"/>
              <w:rPr>
                <w:rFonts w:hint="default" w:eastAsia="宋体" w:cs="Times New Roman"/>
                <w:kern w:val="0"/>
                <w:u w:val="none"/>
                <w:lang w:val="en-US" w:eastAsia="zh-CN"/>
              </w:rPr>
            </w:pPr>
            <w:r>
              <w:rPr>
                <w:rFonts w:hint="eastAsia" w:eastAsia="宋体" w:cs="Times New Roman"/>
                <w:kern w:val="0"/>
                <w:u w:val="none"/>
                <w:lang w:val="en-US" w:eastAsia="zh-CN"/>
              </w:rPr>
              <w:t>1200</w:t>
            </w:r>
          </w:p>
        </w:tc>
        <w:tc>
          <w:tcPr>
            <w:tcW w:w="514" w:type="pct"/>
            <w:vAlign w:val="center"/>
          </w:tcPr>
          <w:p w14:paraId="65BAA30C">
            <w:pPr>
              <w:pStyle w:val="31"/>
              <w:rPr>
                <w:rFonts w:hint="default" w:eastAsia="宋体" w:cs="Times New Roman"/>
                <w:kern w:val="0"/>
                <w:u w:val="none"/>
                <w:lang w:val="en-US" w:eastAsia="zh-CN"/>
              </w:rPr>
            </w:pPr>
            <w:r>
              <w:rPr>
                <w:rFonts w:hint="eastAsia" w:eastAsia="宋体" w:cs="Times New Roman"/>
                <w:kern w:val="0"/>
                <w:u w:val="none"/>
                <w:lang w:val="en-US" w:eastAsia="zh-CN"/>
              </w:rPr>
              <w:t>6.598</w:t>
            </w:r>
          </w:p>
        </w:tc>
        <w:tc>
          <w:tcPr>
            <w:tcW w:w="477" w:type="pct"/>
            <w:vMerge w:val="continue"/>
            <w:vAlign w:val="center"/>
          </w:tcPr>
          <w:p w14:paraId="1D17F8E2">
            <w:pPr>
              <w:pStyle w:val="31"/>
              <w:rPr>
                <w:rFonts w:cs="Times New Roman"/>
                <w:kern w:val="0"/>
                <w:u w:val="none"/>
              </w:rPr>
            </w:pPr>
          </w:p>
        </w:tc>
        <w:tc>
          <w:tcPr>
            <w:tcW w:w="453" w:type="pct"/>
            <w:vAlign w:val="center"/>
          </w:tcPr>
          <w:p w14:paraId="64A4BA88">
            <w:pPr>
              <w:pStyle w:val="31"/>
              <w:rPr>
                <w:rFonts w:hint="default" w:eastAsia="宋体" w:cs="Times New Roman"/>
                <w:kern w:val="0"/>
                <w:u w:val="none"/>
                <w:lang w:val="en-US" w:eastAsia="zh-CN"/>
              </w:rPr>
            </w:pPr>
            <w:r>
              <w:rPr>
                <w:rFonts w:hint="eastAsia" w:cs="Times New Roman"/>
                <w:kern w:val="0"/>
                <w:u w:val="none"/>
                <w:lang w:val="en-US" w:eastAsia="zh-CN"/>
              </w:rPr>
              <w:t>99</w:t>
            </w:r>
          </w:p>
        </w:tc>
        <w:tc>
          <w:tcPr>
            <w:tcW w:w="684" w:type="pct"/>
            <w:vAlign w:val="center"/>
          </w:tcPr>
          <w:p w14:paraId="12FFC18E">
            <w:pPr>
              <w:pStyle w:val="31"/>
              <w:rPr>
                <w:rFonts w:hint="default" w:eastAsia="宋体" w:cs="Times New Roman"/>
                <w:kern w:val="0"/>
                <w:u w:val="none"/>
                <w:lang w:val="en-US" w:eastAsia="zh-CN"/>
              </w:rPr>
            </w:pPr>
            <w:r>
              <w:rPr>
                <w:rFonts w:hint="eastAsia" w:eastAsia="宋体" w:cs="Times New Roman"/>
                <w:kern w:val="0"/>
                <w:u w:val="none"/>
                <w:lang w:val="en-US" w:eastAsia="zh-CN"/>
              </w:rPr>
              <w:t>60</w:t>
            </w:r>
          </w:p>
        </w:tc>
        <w:tc>
          <w:tcPr>
            <w:tcW w:w="514" w:type="pct"/>
            <w:vAlign w:val="center"/>
          </w:tcPr>
          <w:p w14:paraId="60E9F3EC">
            <w:pPr>
              <w:pStyle w:val="31"/>
              <w:rPr>
                <w:rFonts w:hint="default" w:eastAsia="宋体" w:cs="Times New Roman"/>
                <w:kern w:val="0"/>
                <w:u w:val="none"/>
                <w:lang w:val="en-US" w:eastAsia="zh-CN"/>
              </w:rPr>
            </w:pPr>
            <w:r>
              <w:rPr>
                <w:rFonts w:hint="eastAsia" w:eastAsia="宋体" w:cs="Times New Roman"/>
                <w:kern w:val="0"/>
                <w:u w:val="none"/>
                <w:lang w:val="en-US" w:eastAsia="zh-CN"/>
              </w:rPr>
              <w:t>0.250</w:t>
            </w:r>
          </w:p>
        </w:tc>
        <w:tc>
          <w:tcPr>
            <w:tcW w:w="684" w:type="pct"/>
            <w:vAlign w:val="center"/>
          </w:tcPr>
          <w:p w14:paraId="16B0AD30">
            <w:pPr>
              <w:pStyle w:val="31"/>
              <w:rPr>
                <w:rFonts w:cs="Times New Roman"/>
                <w:kern w:val="0"/>
                <w:u w:val="none"/>
              </w:rPr>
            </w:pPr>
            <w:r>
              <w:rPr>
                <w:rFonts w:hint="eastAsia" w:cs="Times New Roman"/>
                <w:kern w:val="0"/>
                <w:u w:val="none"/>
              </w:rPr>
              <w:t>10</w:t>
            </w:r>
          </w:p>
        </w:tc>
        <w:tc>
          <w:tcPr>
            <w:tcW w:w="513" w:type="pct"/>
            <w:vAlign w:val="center"/>
          </w:tcPr>
          <w:p w14:paraId="560014D4">
            <w:pPr>
              <w:pStyle w:val="31"/>
              <w:rPr>
                <w:rFonts w:hint="default" w:eastAsia="宋体" w:cs="Times New Roman"/>
                <w:kern w:val="0"/>
                <w:u w:val="none"/>
                <w:lang w:val="en-US" w:eastAsia="zh-CN"/>
              </w:rPr>
            </w:pPr>
            <w:r>
              <w:rPr>
                <w:rFonts w:hint="eastAsia" w:eastAsia="宋体" w:cs="Times New Roman"/>
                <w:kern w:val="0"/>
                <w:u w:val="none"/>
                <w:lang w:val="en-US" w:eastAsia="zh-CN"/>
              </w:rPr>
              <w:t>0.042</w:t>
            </w:r>
          </w:p>
        </w:tc>
      </w:tr>
      <w:tr w14:paraId="46365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476" w:type="pct"/>
            <w:vAlign w:val="center"/>
          </w:tcPr>
          <w:p w14:paraId="52F1AAF4">
            <w:pPr>
              <w:pStyle w:val="31"/>
              <w:rPr>
                <w:rFonts w:hint="eastAsia" w:eastAsia="宋体" w:cs="Times New Roman"/>
                <w:kern w:val="0"/>
                <w:u w:val="none"/>
                <w:lang w:val="en-US" w:eastAsia="zh-CN"/>
              </w:rPr>
            </w:pPr>
            <w:r>
              <w:rPr>
                <w:rFonts w:hint="eastAsia" w:cs="Times New Roman"/>
                <w:kern w:val="0"/>
                <w:u w:val="none"/>
                <w:lang w:val="en-US" w:eastAsia="zh-CN"/>
              </w:rPr>
              <w:t>氨氮</w:t>
            </w:r>
          </w:p>
        </w:tc>
        <w:tc>
          <w:tcPr>
            <w:tcW w:w="683" w:type="pct"/>
            <w:vAlign w:val="center"/>
          </w:tcPr>
          <w:p w14:paraId="7480A6F9">
            <w:pPr>
              <w:pStyle w:val="31"/>
              <w:rPr>
                <w:rFonts w:hint="default" w:eastAsia="宋体" w:cs="Times New Roman"/>
                <w:kern w:val="0"/>
                <w:u w:val="none"/>
                <w:lang w:val="en-US" w:eastAsia="zh-CN"/>
              </w:rPr>
            </w:pPr>
            <w:r>
              <w:rPr>
                <w:rFonts w:hint="eastAsia" w:eastAsia="宋体" w:cs="Times New Roman"/>
                <w:kern w:val="0"/>
                <w:u w:val="none"/>
                <w:lang w:val="en-US" w:eastAsia="zh-CN"/>
              </w:rPr>
              <w:t>30</w:t>
            </w:r>
          </w:p>
        </w:tc>
        <w:tc>
          <w:tcPr>
            <w:tcW w:w="514" w:type="pct"/>
            <w:vAlign w:val="center"/>
          </w:tcPr>
          <w:p w14:paraId="5630420C">
            <w:pPr>
              <w:pStyle w:val="31"/>
              <w:rPr>
                <w:rFonts w:hint="default" w:eastAsia="宋体" w:cs="Times New Roman"/>
                <w:kern w:val="0"/>
                <w:u w:val="none"/>
                <w:lang w:val="en-US" w:eastAsia="zh-CN"/>
              </w:rPr>
            </w:pPr>
            <w:r>
              <w:rPr>
                <w:rFonts w:hint="eastAsia" w:eastAsia="宋体" w:cs="Times New Roman"/>
                <w:kern w:val="0"/>
                <w:u w:val="none"/>
                <w:lang w:val="en-US" w:eastAsia="zh-CN"/>
              </w:rPr>
              <w:t>0.165</w:t>
            </w:r>
          </w:p>
        </w:tc>
        <w:tc>
          <w:tcPr>
            <w:tcW w:w="477" w:type="pct"/>
            <w:vMerge w:val="continue"/>
            <w:vAlign w:val="center"/>
          </w:tcPr>
          <w:p w14:paraId="0BA6CFDB">
            <w:pPr>
              <w:pStyle w:val="31"/>
              <w:rPr>
                <w:rFonts w:cs="Times New Roman"/>
                <w:kern w:val="0"/>
                <w:u w:val="none"/>
              </w:rPr>
            </w:pPr>
          </w:p>
        </w:tc>
        <w:tc>
          <w:tcPr>
            <w:tcW w:w="453" w:type="pct"/>
            <w:vAlign w:val="center"/>
          </w:tcPr>
          <w:p w14:paraId="083A8F1B">
            <w:pPr>
              <w:pStyle w:val="31"/>
              <w:rPr>
                <w:rFonts w:hint="default" w:cs="Times New Roman"/>
                <w:kern w:val="0"/>
                <w:u w:val="none"/>
                <w:lang w:val="en-US" w:eastAsia="zh-CN"/>
              </w:rPr>
            </w:pPr>
            <w:r>
              <w:rPr>
                <w:rFonts w:hint="eastAsia" w:cs="Times New Roman"/>
                <w:kern w:val="0"/>
                <w:u w:val="none"/>
                <w:lang w:val="en-US" w:eastAsia="zh-CN"/>
              </w:rPr>
              <w:t>50</w:t>
            </w:r>
          </w:p>
        </w:tc>
        <w:tc>
          <w:tcPr>
            <w:tcW w:w="684" w:type="pct"/>
            <w:vAlign w:val="center"/>
          </w:tcPr>
          <w:p w14:paraId="03FB4B2D">
            <w:pPr>
              <w:pStyle w:val="31"/>
              <w:rPr>
                <w:rFonts w:hint="default" w:eastAsia="宋体" w:cs="Times New Roman"/>
                <w:kern w:val="0"/>
                <w:u w:val="none"/>
                <w:lang w:val="en-US" w:eastAsia="zh-CN"/>
              </w:rPr>
            </w:pPr>
            <w:r>
              <w:rPr>
                <w:rFonts w:hint="eastAsia" w:eastAsia="宋体" w:cs="Times New Roman"/>
                <w:kern w:val="0"/>
                <w:u w:val="none"/>
                <w:lang w:val="en-US" w:eastAsia="zh-CN"/>
              </w:rPr>
              <w:t>12</w:t>
            </w:r>
          </w:p>
        </w:tc>
        <w:tc>
          <w:tcPr>
            <w:tcW w:w="514" w:type="pct"/>
            <w:vAlign w:val="center"/>
          </w:tcPr>
          <w:p w14:paraId="41FAF5C2">
            <w:pPr>
              <w:pStyle w:val="31"/>
              <w:rPr>
                <w:rFonts w:hint="default" w:eastAsia="宋体" w:cs="Times New Roman"/>
                <w:kern w:val="0"/>
                <w:u w:val="none"/>
                <w:lang w:val="en-US" w:eastAsia="zh-CN"/>
              </w:rPr>
            </w:pPr>
            <w:r>
              <w:rPr>
                <w:rFonts w:hint="eastAsia" w:eastAsia="宋体" w:cs="Times New Roman"/>
                <w:kern w:val="0"/>
                <w:u w:val="none"/>
                <w:lang w:val="en-US" w:eastAsia="zh-CN"/>
              </w:rPr>
              <w:t>0.050</w:t>
            </w:r>
          </w:p>
        </w:tc>
        <w:tc>
          <w:tcPr>
            <w:tcW w:w="684" w:type="pct"/>
            <w:vAlign w:val="center"/>
          </w:tcPr>
          <w:p w14:paraId="11448DA5">
            <w:pPr>
              <w:pStyle w:val="31"/>
              <w:rPr>
                <w:rFonts w:hint="default" w:eastAsia="宋体" w:cs="Times New Roman"/>
                <w:kern w:val="0"/>
                <w:u w:val="none"/>
                <w:lang w:val="en-US" w:eastAsia="zh-CN"/>
              </w:rPr>
            </w:pPr>
            <w:r>
              <w:rPr>
                <w:rFonts w:hint="eastAsia" w:cs="Times New Roman"/>
                <w:kern w:val="0"/>
                <w:u w:val="none"/>
                <w:lang w:val="en-US" w:eastAsia="zh-CN"/>
              </w:rPr>
              <w:t>8</w:t>
            </w:r>
          </w:p>
        </w:tc>
        <w:tc>
          <w:tcPr>
            <w:tcW w:w="513" w:type="pct"/>
            <w:vAlign w:val="center"/>
          </w:tcPr>
          <w:p w14:paraId="771116AD">
            <w:pPr>
              <w:pStyle w:val="31"/>
              <w:rPr>
                <w:rFonts w:hint="default" w:eastAsia="宋体" w:cs="Times New Roman"/>
                <w:kern w:val="0"/>
                <w:u w:val="none"/>
                <w:lang w:val="en-US" w:eastAsia="zh-CN"/>
              </w:rPr>
            </w:pPr>
            <w:r>
              <w:rPr>
                <w:rFonts w:hint="eastAsia" w:eastAsia="宋体" w:cs="Times New Roman"/>
                <w:kern w:val="0"/>
                <w:u w:val="none"/>
                <w:lang w:val="en-US" w:eastAsia="zh-CN"/>
              </w:rPr>
              <w:t>0.033</w:t>
            </w:r>
          </w:p>
        </w:tc>
      </w:tr>
    </w:tbl>
    <w:p w14:paraId="225B3DE2">
      <w:pPr>
        <w:pStyle w:val="36"/>
        <w:bidi w:val="0"/>
        <w:rPr>
          <w:rFonts w:hint="eastAsia"/>
          <w:lang w:val="en-US" w:eastAsia="zh-CN"/>
        </w:rPr>
      </w:pPr>
      <w:r>
        <w:rPr>
          <w:rFonts w:hint="eastAsia"/>
          <w:lang w:val="en-US" w:eastAsia="zh-CN"/>
        </w:rPr>
        <w:t>5.2.2.4防洪要求符合性分析</w:t>
      </w:r>
    </w:p>
    <w:p w14:paraId="01F33528">
      <w:pPr>
        <w:pStyle w:val="21"/>
        <w:rPr>
          <w:rFonts w:hint="eastAsia"/>
          <w:u w:val="none"/>
          <w:lang w:val="en-US" w:eastAsia="zh-CN"/>
        </w:rPr>
      </w:pPr>
      <w:r>
        <w:rPr>
          <w:rFonts w:hint="eastAsia"/>
          <w:u w:val="none"/>
          <w:lang w:val="en-US" w:eastAsia="zh-CN"/>
        </w:rPr>
        <w:t>现有工程已编制防洪报告并获得批复，项目码头能够满足10年一遇洪水位防洪要求，本次改扩建不涉及水工建构筑物的建设，不会改变项目场地的防洪性能，因此符合防洪要求。本次改扩建将危废暂存间及废水处理站设置位于防洪堤内侧，防止洪水冲刷污染湘江，能够加强项目的防洪性能。</w:t>
      </w:r>
    </w:p>
    <w:p w14:paraId="7C3907B3">
      <w:pPr>
        <w:pStyle w:val="36"/>
        <w:bidi w:val="0"/>
        <w:rPr>
          <w:rFonts w:hint="eastAsia"/>
          <w:lang w:val="en-US" w:eastAsia="zh-CN"/>
        </w:rPr>
      </w:pPr>
      <w:r>
        <w:rPr>
          <w:rFonts w:hint="eastAsia"/>
          <w:lang w:val="en-US" w:eastAsia="zh-CN"/>
        </w:rPr>
        <w:t>5.2.2.5小结</w:t>
      </w:r>
    </w:p>
    <w:p w14:paraId="13A9AF1F">
      <w:pPr>
        <w:pStyle w:val="21"/>
        <w:rPr>
          <w:rFonts w:hint="default"/>
          <w:lang w:val="en-US" w:eastAsia="zh-CN"/>
        </w:rPr>
      </w:pPr>
      <w:r>
        <w:rPr>
          <w:rFonts w:hint="eastAsia"/>
        </w:rPr>
        <w:t>本项目生活污水经化粪池处理后用于周边农田施肥，项目厂区清洗废水和初期雨水经隔油沉淀池处理后采用罐车运至三樟镇污水处理厂处理达标后排入湘江，经分析依托三樟镇污水处理厂可行。</w:t>
      </w:r>
    </w:p>
    <w:p w14:paraId="47306D1A">
      <w:pPr>
        <w:pStyle w:val="33"/>
        <w:rPr>
          <w:rFonts w:hint="eastAsia"/>
        </w:rPr>
      </w:pPr>
      <w:bookmarkStart w:id="154" w:name="_Toc1240"/>
      <w:r>
        <w:rPr>
          <w:rFonts w:hint="eastAsia"/>
        </w:rPr>
        <w:t>5.2.3地下水环境影响</w:t>
      </w:r>
      <w:bookmarkEnd w:id="154"/>
    </w:p>
    <w:p w14:paraId="06618E81">
      <w:pPr>
        <w:pStyle w:val="39"/>
        <w:ind w:firstLine="480"/>
      </w:pPr>
      <w:r>
        <w:rPr>
          <w:rFonts w:hint="eastAsia"/>
        </w:rPr>
        <w:t>根据《环境影响评价技术导则</w:t>
      </w:r>
      <w:r>
        <w:t xml:space="preserve"> 地下水环境》（HJ 610-2016）</w:t>
      </w:r>
      <w:r>
        <w:rPr>
          <w:rFonts w:hint="eastAsia"/>
        </w:rPr>
        <w:t>地下水环境影响评价技术要求中明确三级评价要求：</w:t>
      </w:r>
    </w:p>
    <w:p w14:paraId="67A4A6F4">
      <w:pPr>
        <w:pStyle w:val="39"/>
        <w:ind w:firstLine="480"/>
      </w:pPr>
      <w:r>
        <w:rPr>
          <w:rFonts w:hint="eastAsia"/>
        </w:rPr>
        <w:t>（1）了解调查</w:t>
      </w:r>
      <w:bookmarkStart w:id="155" w:name="_Hlk157420684"/>
      <w:r>
        <w:rPr>
          <w:rFonts w:hint="eastAsia"/>
        </w:rPr>
        <w:t>评价区和场地环境水文地质条件</w:t>
      </w:r>
      <w:bookmarkEnd w:id="155"/>
      <w:r>
        <w:rPr>
          <w:rFonts w:hint="eastAsia"/>
        </w:rPr>
        <w:t>；</w:t>
      </w:r>
    </w:p>
    <w:p w14:paraId="32A5D268">
      <w:pPr>
        <w:pStyle w:val="39"/>
        <w:ind w:firstLine="480"/>
      </w:pPr>
      <w:r>
        <w:rPr>
          <w:rFonts w:hint="eastAsia"/>
        </w:rPr>
        <w:t>（2）基本掌握调查评价区的地下水补径排条件和地下水环境质量现状；</w:t>
      </w:r>
    </w:p>
    <w:p w14:paraId="1E85AB9C">
      <w:pPr>
        <w:pStyle w:val="39"/>
        <w:ind w:firstLine="480"/>
      </w:pPr>
      <w:r>
        <w:rPr>
          <w:rFonts w:hint="eastAsia"/>
        </w:rPr>
        <w:t>（3）采用解析法或类比分析法进行地下水影响分析与评价；</w:t>
      </w:r>
    </w:p>
    <w:p w14:paraId="7C8208DA">
      <w:pPr>
        <w:pStyle w:val="21"/>
        <w:rPr>
          <w:rFonts w:hint="eastAsia"/>
        </w:rPr>
      </w:pPr>
      <w:r>
        <w:rPr>
          <w:rFonts w:hint="eastAsia"/>
        </w:rPr>
        <w:t>（4）提出切实可行的环境保护措施与地下水环境影响跟踪监测计划。</w:t>
      </w:r>
    </w:p>
    <w:p w14:paraId="7E63DCE5">
      <w:pPr>
        <w:pStyle w:val="36"/>
        <w:bidi w:val="0"/>
        <w:rPr>
          <w:rFonts w:hint="eastAsia"/>
          <w:lang w:val="en-US" w:eastAsia="zh-CN"/>
        </w:rPr>
      </w:pPr>
      <w:r>
        <w:rPr>
          <w:rFonts w:hint="eastAsia"/>
          <w:lang w:val="en-US" w:eastAsia="zh-CN"/>
        </w:rPr>
        <w:t>5.2.3.1评价区和场地环境水文地质条件</w:t>
      </w:r>
    </w:p>
    <w:p w14:paraId="65602E2F">
      <w:pPr>
        <w:pStyle w:val="21"/>
        <w:ind w:firstLine="480"/>
      </w:pPr>
      <w:r>
        <w:rPr>
          <w:rFonts w:hint="eastAsia"/>
        </w:rPr>
        <w:t>（1）评价区水文地质条件</w:t>
      </w:r>
    </w:p>
    <w:p w14:paraId="35D8A7CD">
      <w:pPr>
        <w:pStyle w:val="21"/>
        <w:ind w:firstLine="480"/>
      </w:pPr>
      <w:r>
        <w:rPr>
          <w:rFonts w:hint="eastAsia"/>
        </w:rPr>
        <w:t>①地下水类型</w:t>
      </w:r>
    </w:p>
    <w:p w14:paraId="53AA3E6F">
      <w:pPr>
        <w:pStyle w:val="21"/>
        <w:ind w:firstLine="480"/>
      </w:pPr>
      <w:r>
        <w:rPr>
          <w:rFonts w:hint="eastAsia"/>
        </w:rPr>
        <w:t>区域水文地质条件较简单，地下水主要来源为大气降水渗入。地下水类型主要为孔隙水和基岩裂隙水。</w:t>
      </w:r>
    </w:p>
    <w:p w14:paraId="452A15CB">
      <w:pPr>
        <w:pStyle w:val="21"/>
        <w:ind w:firstLine="480"/>
      </w:pPr>
      <w:r>
        <w:rPr>
          <w:rFonts w:hint="eastAsia"/>
        </w:rPr>
        <w:t>孔隙水</w:t>
      </w:r>
      <w:r>
        <w:t>:分布面积广，主要分布于河流冲积层中，河流冲积层有明显的二元结构:下部为砂砾石层，含水层具孔隙潜水特征，含水量受季节性雨水影响较大。主要有地表</w:t>
      </w:r>
      <w:r>
        <w:rPr>
          <w:rFonts w:hint="eastAsia"/>
        </w:rPr>
        <w:t>水及大气降水直接补给，动态及幅度变化较大。</w:t>
      </w:r>
    </w:p>
    <w:p w14:paraId="7A92F50B">
      <w:pPr>
        <w:pStyle w:val="21"/>
        <w:ind w:firstLine="480"/>
      </w:pPr>
      <w:r>
        <w:rPr>
          <w:rFonts w:hint="eastAsia"/>
        </w:rPr>
        <w:t>基岩裂隙水：</w:t>
      </w:r>
      <w:r>
        <w:t>基岩</w:t>
      </w:r>
      <w:r>
        <w:rPr>
          <w:rFonts w:hint="eastAsia"/>
        </w:rPr>
        <w:t>裂隙水</w:t>
      </w:r>
      <w:r>
        <w:t>赋存于下伏基岩裂隙中，主要为侧向补给，径流速度慢，含水量微弱。受区域地形地貌控制，地下水总体向邻近低洼处排泄。</w:t>
      </w:r>
    </w:p>
    <w:p w14:paraId="72CFA134">
      <w:pPr>
        <w:pStyle w:val="21"/>
        <w:ind w:firstLine="480"/>
      </w:pPr>
      <w:r>
        <w:rPr>
          <w:rFonts w:hint="eastAsia" w:ascii="宋体" w:hAnsi="宋体"/>
        </w:rPr>
        <w:t>②</w:t>
      </w:r>
      <w:r>
        <w:t>地下水补、径、排特征</w:t>
      </w:r>
    </w:p>
    <w:p w14:paraId="22682B9F">
      <w:pPr>
        <w:pStyle w:val="21"/>
        <w:ind w:firstLine="480"/>
      </w:pPr>
      <w:r>
        <w:rPr>
          <w:rFonts w:hint="eastAsia"/>
        </w:rPr>
        <w:t>松散岩类孔隙水主要靠大气降水入渗及侧向径流补给，以大气蒸发或侧向径流排受季节气候变化影响较大。据临近水文地质长期观测资料，该层地下水年变化幅度，一般为</w:t>
      </w:r>
      <w:r>
        <w:t xml:space="preserve"> 2-3m，地下水流向与地形一致。</w:t>
      </w:r>
    </w:p>
    <w:p w14:paraId="115E439D">
      <w:pPr>
        <w:pStyle w:val="21"/>
        <w:ind w:firstLine="480"/>
      </w:pPr>
      <w:r>
        <w:rPr>
          <w:rFonts w:hint="eastAsia" w:ascii="宋体" w:hAnsi="宋体"/>
        </w:rPr>
        <w:t>③</w:t>
      </w:r>
      <w:r>
        <w:t>地下水与地表水补排关系</w:t>
      </w:r>
    </w:p>
    <w:p w14:paraId="68549122">
      <w:pPr>
        <w:pStyle w:val="21"/>
        <w:ind w:firstLine="480"/>
      </w:pPr>
      <w:r>
        <w:rPr>
          <w:rFonts w:hint="eastAsia"/>
        </w:rPr>
        <w:t>区域地表水与地下水之间存在相互转化、相互补给的关系。大气降水在地表以地表径流方式形成地表水，地表水通过岩溶、岩石裂隙或第四系的孔隙渗入补给地下水，地下水沿岩溶管道、风化裂隙、构造裂隙及层间裂隙作层流运动，常在沟谷中、坡脚部位以泉或渗流的方式向地表排泄，汇集形成溪流。地表溪流在向下游径流的过程中，随地下水排泄量的增加，溪流流量逐渐增大。在丰水期，由于地表水的流量较大、水位较高，地表水会通过岩溶、岩石裂隙或第四系的孔隙下渗补给地下水。</w:t>
      </w:r>
    </w:p>
    <w:p w14:paraId="0F50C0E9">
      <w:pPr>
        <w:pStyle w:val="21"/>
        <w:ind w:firstLine="480"/>
      </w:pPr>
      <w:r>
        <w:rPr>
          <w:rFonts w:hint="eastAsia" w:ascii="宋体" w:hAnsi="宋体"/>
        </w:rPr>
        <w:t>④</w:t>
      </w:r>
      <w:r>
        <w:t>地下水动态特征</w:t>
      </w:r>
    </w:p>
    <w:p w14:paraId="28057247">
      <w:pPr>
        <w:pStyle w:val="21"/>
        <w:ind w:firstLine="480"/>
      </w:pPr>
      <w:r>
        <w:rPr>
          <w:rFonts w:hint="eastAsia"/>
        </w:rPr>
        <w:t>区地下水补给主要为大气降水，地下水具有渗透途径短、就地补给、就地排泄的特征。根据本次水文地质调查及</w:t>
      </w:r>
      <w:r>
        <w:t xml:space="preserve"> 1:20 万衡阳幅区域水文地质资料，项目区地下水动态均属气象型，地下水动态变化受大气降雨影响明显，地下水位流量随季节变化较明显。丰水期地下水位上升，枯水期地下水位下降、流量减小。</w:t>
      </w:r>
    </w:p>
    <w:p w14:paraId="73FDDA24">
      <w:pPr>
        <w:pStyle w:val="21"/>
        <w:ind w:firstLine="480"/>
      </w:pPr>
      <w:r>
        <w:rPr>
          <w:rFonts w:hint="eastAsia"/>
        </w:rPr>
        <w:t>地下水的形成主要来自大气降水，其动态变化与降雨量关系密切，地下水的水位变幅在</w:t>
      </w:r>
      <w:r>
        <w:t>2~3 之间。由于测区内的各类地下水之间存在互补关系，地下水动态呈现滞后现象，强降水后，水位</w:t>
      </w:r>
      <w:r>
        <w:rPr>
          <w:rFonts w:hint="eastAsia"/>
        </w:rPr>
        <w:t>峰</w:t>
      </w:r>
      <w:r>
        <w:t>值出现时间一般滞后降雨峰值 1~2 天</w:t>
      </w:r>
      <w:r>
        <w:rPr>
          <w:rFonts w:hint="eastAsia"/>
        </w:rPr>
        <w:t>。</w:t>
      </w:r>
    </w:p>
    <w:p w14:paraId="6CA69ACD">
      <w:pPr>
        <w:pStyle w:val="21"/>
        <w:ind w:firstLine="480"/>
      </w:pPr>
      <w:r>
        <w:rPr>
          <w:rFonts w:hint="eastAsia"/>
        </w:rPr>
        <w:t>（2）场地环境水文地质条件</w:t>
      </w:r>
    </w:p>
    <w:p w14:paraId="4E8D90E6">
      <w:pPr>
        <w:pStyle w:val="21"/>
        <w:ind w:firstLine="480"/>
      </w:pPr>
      <w:r>
        <w:rPr>
          <w:rFonts w:hint="eastAsia"/>
        </w:rPr>
        <w:t>根据评价区</w:t>
      </w:r>
      <w:r>
        <w:t>地下水补径排及动态特征初步分析</w:t>
      </w:r>
      <w:r>
        <w:rPr>
          <w:rFonts w:hint="eastAsia"/>
        </w:rPr>
        <w:t>：本项目位于湘江沿岸，地下水主要向湘江排泄，枯水期也可能通过湘江补给，大部分情况区域地下水通过降雨补给，之后向湘江排泄</w:t>
      </w:r>
      <w:r>
        <w:t>。</w:t>
      </w:r>
    </w:p>
    <w:p w14:paraId="27FCAD16">
      <w:pPr>
        <w:pStyle w:val="21"/>
        <w:ind w:firstLine="480"/>
      </w:pPr>
      <w:r>
        <w:rPr>
          <w:rFonts w:hint="eastAsia"/>
        </w:rPr>
        <w:t>（3）区域地下水环境质量现状情况</w:t>
      </w:r>
    </w:p>
    <w:p w14:paraId="1BFEFC5D">
      <w:pPr>
        <w:pStyle w:val="21"/>
        <w:ind w:firstLine="480"/>
      </w:pPr>
      <w:r>
        <w:rPr>
          <w:rFonts w:hint="eastAsia"/>
        </w:rPr>
        <w:t>水质现状：根据地下水环境现状监测结果可知，所有监测点位和监测因子</w:t>
      </w:r>
      <w:r>
        <w:t>均满足《地下水质量标准》（GB/T 14848-2017）中Ⅲ类标准限值要求</w:t>
      </w:r>
      <w:r>
        <w:rPr>
          <w:rFonts w:hint="eastAsia"/>
        </w:rPr>
        <w:t>。</w:t>
      </w:r>
    </w:p>
    <w:p w14:paraId="460E59B7">
      <w:pPr>
        <w:pStyle w:val="21"/>
        <w:rPr>
          <w:rFonts w:hint="eastAsia"/>
        </w:rPr>
      </w:pPr>
      <w:r>
        <w:rPr>
          <w:rFonts w:hint="eastAsia"/>
        </w:rPr>
        <w:t>地下水使用情况：根据调查项目周边居民均使用自来水，由三樟镇水厂供水，评价范围内无地下水饮用水水源保护区及分散式地下水饮用水源。</w:t>
      </w:r>
    </w:p>
    <w:p w14:paraId="6243DDB5">
      <w:pPr>
        <w:pStyle w:val="36"/>
        <w:bidi w:val="0"/>
        <w:rPr>
          <w:rFonts w:hint="default"/>
          <w:lang w:val="en-US" w:eastAsia="zh-CN"/>
        </w:rPr>
      </w:pPr>
      <w:r>
        <w:rPr>
          <w:rFonts w:hint="eastAsia"/>
          <w:lang w:val="en-US" w:eastAsia="zh-CN"/>
        </w:rPr>
        <w:t>5.2.3.2正常工况下地下水环境影响途径</w:t>
      </w:r>
    </w:p>
    <w:p w14:paraId="7139E745">
      <w:pPr>
        <w:pStyle w:val="21"/>
        <w:rPr>
          <w:rFonts w:hint="default" w:ascii="Times New Roman" w:hAnsi="Times New Roman" w:cs="Times New Roman"/>
          <w:color w:val="auto"/>
          <w:kern w:val="24"/>
          <w:szCs w:val="20"/>
          <w:highlight w:val="none"/>
          <w:u w:val="none"/>
        </w:rPr>
      </w:pPr>
      <w:r>
        <w:rPr>
          <w:rFonts w:hint="default" w:ascii="Times New Roman" w:hAnsi="Times New Roman" w:cs="Times New Roman"/>
          <w:color w:val="auto"/>
          <w:kern w:val="24"/>
          <w:szCs w:val="20"/>
          <w:highlight w:val="none"/>
          <w:u w:val="none"/>
        </w:rPr>
        <w:t>正常状况下，本项目废水</w:t>
      </w:r>
      <w:r>
        <w:rPr>
          <w:rFonts w:hint="eastAsia" w:cs="Times New Roman"/>
          <w:color w:val="auto"/>
          <w:kern w:val="24"/>
          <w:szCs w:val="20"/>
          <w:highlight w:val="none"/>
          <w:u w:val="none"/>
          <w:lang w:val="en-US" w:eastAsia="zh-CN"/>
        </w:rPr>
        <w:t>在厂内输送</w:t>
      </w:r>
      <w:r>
        <w:rPr>
          <w:rFonts w:hint="default" w:ascii="Times New Roman" w:hAnsi="Times New Roman" w:cs="Times New Roman"/>
          <w:color w:val="auto"/>
          <w:kern w:val="24"/>
          <w:szCs w:val="20"/>
          <w:highlight w:val="none"/>
          <w:u w:val="none"/>
        </w:rPr>
        <w:t>，不会对地下水环境造成污染。本项目按要求进行分区防渗</w:t>
      </w:r>
      <w:r>
        <w:rPr>
          <w:rFonts w:hint="eastAsia" w:cs="Times New Roman"/>
          <w:color w:val="auto"/>
          <w:kern w:val="24"/>
          <w:szCs w:val="20"/>
          <w:highlight w:val="none"/>
          <w:u w:val="none"/>
          <w:lang w:val="en-US" w:eastAsia="zh-CN"/>
        </w:rPr>
        <w:t>后</w:t>
      </w:r>
      <w:r>
        <w:rPr>
          <w:rFonts w:hint="default" w:ascii="Times New Roman" w:hAnsi="Times New Roman" w:cs="Times New Roman"/>
          <w:color w:val="auto"/>
          <w:kern w:val="24"/>
          <w:szCs w:val="20"/>
          <w:highlight w:val="none"/>
          <w:u w:val="none"/>
        </w:rPr>
        <w:t>，对废水处理站、危废暂存间</w:t>
      </w:r>
      <w:r>
        <w:rPr>
          <w:rFonts w:hint="eastAsia" w:cs="Times New Roman"/>
          <w:color w:val="auto"/>
          <w:kern w:val="24"/>
          <w:szCs w:val="20"/>
          <w:highlight w:val="none"/>
          <w:u w:val="none"/>
          <w:lang w:eastAsia="zh-CN"/>
        </w:rPr>
        <w:t>、</w:t>
      </w:r>
      <w:r>
        <w:rPr>
          <w:rFonts w:hint="eastAsia" w:cs="Times New Roman"/>
          <w:color w:val="auto"/>
          <w:kern w:val="24"/>
          <w:szCs w:val="20"/>
          <w:highlight w:val="none"/>
          <w:u w:val="none"/>
          <w:lang w:val="en-US" w:eastAsia="zh-CN"/>
        </w:rPr>
        <w:t>废水收集池</w:t>
      </w:r>
      <w:r>
        <w:rPr>
          <w:rFonts w:hint="default" w:ascii="Times New Roman" w:hAnsi="Times New Roman" w:cs="Times New Roman"/>
          <w:color w:val="auto"/>
          <w:kern w:val="24"/>
          <w:szCs w:val="20"/>
          <w:highlight w:val="none"/>
          <w:u w:val="none"/>
        </w:rPr>
        <w:t>等区域进行了重点防渗，工程防渗满足要求</w:t>
      </w:r>
      <w:r>
        <w:rPr>
          <w:rFonts w:hint="eastAsia" w:cs="Times New Roman"/>
          <w:color w:val="auto"/>
          <w:kern w:val="24"/>
          <w:szCs w:val="20"/>
          <w:highlight w:val="none"/>
          <w:u w:val="none"/>
          <w:lang w:val="en-US" w:eastAsia="zh-CN"/>
        </w:rPr>
        <w:t>后</w:t>
      </w:r>
      <w:r>
        <w:rPr>
          <w:rFonts w:hint="default" w:ascii="Times New Roman" w:hAnsi="Times New Roman" w:cs="Times New Roman"/>
          <w:color w:val="auto"/>
          <w:kern w:val="24"/>
          <w:szCs w:val="20"/>
          <w:highlight w:val="none"/>
          <w:u w:val="none"/>
        </w:rPr>
        <w:t>，在正常状况下项目不会造成地下水环境的污染。</w:t>
      </w:r>
    </w:p>
    <w:p w14:paraId="03D03005">
      <w:pPr>
        <w:pStyle w:val="36"/>
        <w:bidi w:val="0"/>
        <w:rPr>
          <w:rFonts w:hint="eastAsia"/>
          <w:lang w:val="en-US" w:eastAsia="zh-CN"/>
        </w:rPr>
      </w:pPr>
      <w:r>
        <w:rPr>
          <w:rFonts w:hint="eastAsia"/>
          <w:lang w:val="en-US" w:eastAsia="zh-CN"/>
        </w:rPr>
        <w:t>5.2.3.3非正常工况下地下水影响途径</w:t>
      </w:r>
    </w:p>
    <w:p w14:paraId="69F6C17B">
      <w:pPr>
        <w:pStyle w:val="21"/>
        <w:rPr>
          <w:rFonts w:hint="eastAsia"/>
          <w:lang w:val="en-US" w:eastAsia="zh-CN"/>
        </w:rPr>
      </w:pPr>
      <w:r>
        <w:rPr>
          <w:rFonts w:hint="eastAsia"/>
          <w:lang w:val="en-US" w:eastAsia="zh-CN"/>
        </w:rPr>
        <w:t>1、情景分析</w:t>
      </w:r>
    </w:p>
    <w:p w14:paraId="47BF1731">
      <w:pPr>
        <w:pStyle w:val="21"/>
        <w:rPr>
          <w:rFonts w:hint="eastAsia"/>
          <w:lang w:val="en-US" w:eastAsia="zh-CN"/>
        </w:rPr>
      </w:pPr>
      <w:r>
        <w:rPr>
          <w:rFonts w:hint="eastAsia"/>
          <w:lang w:val="en-US" w:eastAsia="zh-CN"/>
        </w:rPr>
        <w:t>本项目存在以下非正常情况，可能导致地下水污染：</w:t>
      </w:r>
    </w:p>
    <w:p w14:paraId="6B7EC0C9">
      <w:pPr>
        <w:pStyle w:val="21"/>
        <w:rPr>
          <w:rFonts w:hint="eastAsia"/>
          <w:lang w:val="en-US" w:eastAsia="zh-CN"/>
        </w:rPr>
      </w:pPr>
      <w:r>
        <w:rPr>
          <w:rFonts w:hint="eastAsia"/>
          <w:lang w:val="en-US" w:eastAsia="zh-CN"/>
        </w:rPr>
        <w:t>（1）初期雨水池底部防渗层破裂，导致废水渗漏污染地下水；</w:t>
      </w:r>
    </w:p>
    <w:p w14:paraId="67AB48BB">
      <w:pPr>
        <w:pStyle w:val="21"/>
        <w:rPr>
          <w:rFonts w:hint="eastAsia"/>
          <w:lang w:val="en-US" w:eastAsia="zh-CN"/>
        </w:rPr>
      </w:pPr>
      <w:r>
        <w:rPr>
          <w:rFonts w:hint="eastAsia"/>
          <w:lang w:val="en-US" w:eastAsia="zh-CN"/>
        </w:rPr>
        <w:t>（2）废水处理站底部防渗层破裂，导致废水渗漏污染地下水；</w:t>
      </w:r>
    </w:p>
    <w:p w14:paraId="0A659AF9">
      <w:pPr>
        <w:pStyle w:val="21"/>
        <w:rPr>
          <w:rFonts w:hint="eastAsia"/>
          <w:lang w:val="en-US" w:eastAsia="zh-CN"/>
        </w:rPr>
      </w:pPr>
      <w:r>
        <w:rPr>
          <w:rFonts w:hint="eastAsia"/>
          <w:lang w:val="en-US" w:eastAsia="zh-CN"/>
        </w:rPr>
        <w:t>（3）危废暂存间地面防渗层破裂，且发生危险废物泄漏，导致污染物渗漏污染地下水。</w:t>
      </w:r>
    </w:p>
    <w:p w14:paraId="45956D55">
      <w:pPr>
        <w:pStyle w:val="21"/>
        <w:rPr>
          <w:rFonts w:hint="eastAsia"/>
          <w:lang w:val="en-US" w:eastAsia="zh-CN"/>
        </w:rPr>
      </w:pPr>
      <w:r>
        <w:rPr>
          <w:rFonts w:hint="eastAsia"/>
          <w:lang w:val="en-US" w:eastAsia="zh-CN"/>
        </w:rPr>
        <w:t>2、污染物识别及污染特征</w:t>
      </w:r>
    </w:p>
    <w:p w14:paraId="1908744C">
      <w:pPr>
        <w:pStyle w:val="21"/>
        <w:rPr>
          <w:rFonts w:hint="eastAsia"/>
          <w:lang w:val="en-US" w:eastAsia="zh-CN"/>
        </w:rPr>
      </w:pPr>
      <w:r>
        <w:rPr>
          <w:rFonts w:hint="eastAsia"/>
          <w:lang w:val="en-US" w:eastAsia="zh-CN"/>
        </w:rPr>
        <w:t>（1）初期雨水池、废水处理站渗漏污染：根据废水源强分析，废水中COD浓度较低，主要污染物为SS、石油类，SS泄漏后在经土壤过滤不会污染地下水；石油类物质相对废水比重较低，主要漂浮在废水表面，且废水中石油类浓度不高，即使发生渗漏，也基本不会污染地下水。</w:t>
      </w:r>
    </w:p>
    <w:p w14:paraId="5E356C4C">
      <w:pPr>
        <w:pStyle w:val="21"/>
        <w:rPr>
          <w:rFonts w:hint="eastAsia"/>
          <w:lang w:val="en-US" w:eastAsia="zh-CN"/>
        </w:rPr>
      </w:pPr>
      <w:r>
        <w:rPr>
          <w:rFonts w:hint="eastAsia"/>
          <w:lang w:val="en-US" w:eastAsia="zh-CN"/>
        </w:rPr>
        <w:t>（2）危废暂存间地面渗漏污染：固态和气态危废不会发生渗漏，项目液态危废主要包括废油（含残油、油泥）、废燃料油、废水处理中废油及含油污泥，主要污染物为石油类，石油类物质比重较轻，且具有粘附性，泄漏后会被土壤吸附，基本不会污染地下水。</w:t>
      </w:r>
    </w:p>
    <w:p w14:paraId="11330331">
      <w:pPr>
        <w:pStyle w:val="36"/>
        <w:bidi w:val="0"/>
        <w:rPr>
          <w:rFonts w:hint="default"/>
          <w:lang w:val="en-US" w:eastAsia="zh-CN"/>
        </w:rPr>
      </w:pPr>
      <w:r>
        <w:rPr>
          <w:rFonts w:hint="eastAsia"/>
          <w:lang w:val="en-US" w:eastAsia="zh-CN"/>
        </w:rPr>
        <w:t>5.2.3.4非正常工况下地下水影响预测</w:t>
      </w:r>
    </w:p>
    <w:p w14:paraId="1249363C">
      <w:pPr>
        <w:pStyle w:val="21"/>
        <w:rPr>
          <w:rFonts w:hint="eastAsia"/>
          <w:lang w:val="en-US" w:eastAsia="zh-CN"/>
        </w:rPr>
      </w:pPr>
      <w:r>
        <w:rPr>
          <w:rFonts w:hint="eastAsia"/>
          <w:lang w:val="en-US" w:eastAsia="zh-CN"/>
        </w:rPr>
        <w:t>根据污染物识别及污染特征分析可知，本项目主要污染物为石油类，且石油类在废水中基本漂浮在水面，即使发生废水泄漏也不会污染地下水；如果危险废物暂存间废油泄漏，主要污染要素为土壤污染，石油类会被土壤吸附，基本不会污染地下水。因此，本次考虑非正常工况下废水泄漏，废水中COD对地下水的影响，以耗氧量作为预测因子进行预测。</w:t>
      </w:r>
    </w:p>
    <w:p w14:paraId="00E91276">
      <w:pPr>
        <w:pStyle w:val="21"/>
        <w:rPr>
          <w:rFonts w:hint="eastAsia" w:ascii="Times New Roman" w:hAnsi="Times New Roman" w:cs="Times New Roman"/>
          <w:color w:val="auto"/>
          <w:highlight w:val="none"/>
          <w:u w:val="none"/>
          <w:lang w:val="en-US" w:eastAsia="zh-CN"/>
        </w:rPr>
      </w:pPr>
      <w:r>
        <w:rPr>
          <w:rFonts w:hint="eastAsia" w:ascii="Times New Roman" w:hAnsi="Times New Roman" w:cs="Times New Roman"/>
          <w:color w:val="auto"/>
          <w:highlight w:val="none"/>
          <w:u w:val="none"/>
          <w:lang w:eastAsia="zh-CN"/>
        </w:rPr>
        <w:t>（</w:t>
      </w:r>
      <w:r>
        <w:rPr>
          <w:rFonts w:hint="eastAsia" w:ascii="Times New Roman" w:hAnsi="Times New Roman" w:cs="Times New Roman"/>
          <w:color w:val="auto"/>
          <w:highlight w:val="none"/>
          <w:u w:val="none"/>
          <w:lang w:val="en-US" w:eastAsia="zh-CN"/>
        </w:rPr>
        <w:t>1</w:t>
      </w:r>
      <w:r>
        <w:rPr>
          <w:rFonts w:hint="eastAsia" w:ascii="Times New Roman" w:hAnsi="Times New Roman" w:cs="Times New Roman"/>
          <w:color w:val="auto"/>
          <w:highlight w:val="none"/>
          <w:u w:val="none"/>
          <w:lang w:eastAsia="zh-CN"/>
        </w:rPr>
        <w:t>）</w:t>
      </w:r>
      <w:r>
        <w:rPr>
          <w:rFonts w:hint="eastAsia" w:ascii="Times New Roman" w:hAnsi="Times New Roman" w:cs="Times New Roman"/>
          <w:color w:val="auto"/>
          <w:highlight w:val="none"/>
          <w:u w:val="none"/>
          <w:lang w:val="en-US" w:eastAsia="zh-CN"/>
        </w:rPr>
        <w:t>预测模型</w:t>
      </w:r>
    </w:p>
    <w:p w14:paraId="1D3FFB85">
      <w:pPr>
        <w:pStyle w:val="21"/>
        <w:ind w:firstLine="480"/>
      </w:pPr>
      <w:r>
        <w:rPr>
          <w:rFonts w:hint="eastAsia"/>
        </w:rPr>
        <w:t>为了预测废水在不同时间对地下水环境的影响范围，假设包气带中水为实际流速为u的稳定流，且污染物的排放不会对区域的地下水流场发生改变，忽略其它衰减作用和其它化学反应。</w:t>
      </w:r>
    </w:p>
    <w:p w14:paraId="6C78F3B6">
      <w:pPr>
        <w:pStyle w:val="21"/>
        <w:ind w:firstLine="480"/>
      </w:pPr>
      <w:r>
        <w:rPr>
          <w:rFonts w:hint="eastAsia"/>
        </w:rPr>
        <w:t>从场地水文地质条件上概化，由于地下水流向总体上由北向南，工程建设运行过程中发生的“跑、冒、滴、漏”等事故污染总体上顺地下水流向发生运移呈线状污染，因此，本工程建设污染源可以概化为点状污染源。</w:t>
      </w:r>
    </w:p>
    <w:p w14:paraId="5D245CB7">
      <w:pPr>
        <w:pStyle w:val="21"/>
        <w:ind w:firstLine="480"/>
      </w:pPr>
      <w:r>
        <w:rPr>
          <w:rFonts w:hint="eastAsia"/>
        </w:rPr>
        <w:t>水动力弥散以平行地下水流动的方向为 x 轴正方向(纵向)，垂直于地下水流向为y轴，而y轴流动速度远小于x轴方向(一般约小于一个数量级)。由于y轴方向在评价区范围内无敏感保护目标，且污染物在此方向运移很小，因此只预测沿地下水水流方向(x方向)污染物运移情况。</w:t>
      </w:r>
    </w:p>
    <w:p w14:paraId="4557E2C9">
      <w:pPr>
        <w:pStyle w:val="21"/>
        <w:rPr>
          <w:rFonts w:hint="eastAsia" w:ascii="Times New Roman" w:hAnsi="Times New Roman" w:cs="Times New Roman"/>
          <w:color w:val="auto"/>
          <w:highlight w:val="none"/>
          <w:u w:val="none"/>
          <w:lang w:val="en-US" w:eastAsia="zh-CN"/>
        </w:rPr>
      </w:pPr>
      <w:r>
        <w:rPr>
          <w:rFonts w:hint="eastAsia"/>
        </w:rPr>
        <w:t>当发生渗漏时，不考虑包气带防污性能，取污染物原始浓度随污水沿垂直方向直接进入到含水层进行预测，因此污染物运移可概化为：一维半无限长多孔介质柱体一端为定浓度边界的一维稳定流动一维水动力弥散问题。</w:t>
      </w:r>
    </w:p>
    <w:p w14:paraId="5D6E39BE">
      <w:pPr>
        <w:pStyle w:val="21"/>
        <w:bidi w:val="0"/>
        <w:rPr>
          <w:rFonts w:hint="default"/>
        </w:rPr>
      </w:pPr>
      <w:r>
        <w:rPr>
          <w:rFonts w:hint="eastAsia"/>
        </w:rPr>
        <w:t>一维半无限长多孔介质柱体一端为定浓度边界的一维稳定流动一维水动力弥散问题取平行地下水流动的方向为 x 轴正方向，则求取污染物浓度分布的模型如下：</w:t>
      </w:r>
    </w:p>
    <w:p w14:paraId="61B56E99">
      <w:pPr>
        <w:pStyle w:val="31"/>
      </w:pPr>
      <w:r>
        <w:drawing>
          <wp:inline distT="0" distB="0" distL="0" distR="0">
            <wp:extent cx="3131185" cy="596900"/>
            <wp:effectExtent l="0" t="0" r="12065" b="12700"/>
            <wp:docPr id="4171422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142254" name="图片 1"/>
                    <pic:cNvPicPr>
                      <a:picLocks noChangeAspect="1"/>
                    </pic:cNvPicPr>
                  </pic:nvPicPr>
                  <pic:blipFill>
                    <a:blip r:embed="rId23"/>
                    <a:stretch>
                      <a:fillRect/>
                    </a:stretch>
                  </pic:blipFill>
                  <pic:spPr>
                    <a:xfrm>
                      <a:off x="0" y="0"/>
                      <a:ext cx="3158075" cy="602484"/>
                    </a:xfrm>
                    <a:prstGeom prst="rect">
                      <a:avLst/>
                    </a:prstGeom>
                  </pic:spPr>
                </pic:pic>
              </a:graphicData>
            </a:graphic>
          </wp:inline>
        </w:drawing>
      </w:r>
    </w:p>
    <w:p w14:paraId="7A524E42">
      <w:pPr>
        <w:pStyle w:val="21"/>
        <w:ind w:firstLine="480"/>
      </w:pPr>
      <w:r>
        <w:rPr>
          <w:rFonts w:hint="eastAsia"/>
        </w:rPr>
        <w:t>式中：x——距注入点的距离，m；</w:t>
      </w:r>
    </w:p>
    <w:p w14:paraId="42913E60">
      <w:pPr>
        <w:pStyle w:val="21"/>
        <w:ind w:firstLine="480"/>
      </w:pPr>
      <w:r>
        <w:rPr>
          <w:rFonts w:hint="eastAsia"/>
        </w:rPr>
        <w:t>t——时间，d；</w:t>
      </w:r>
    </w:p>
    <w:p w14:paraId="5912C137">
      <w:pPr>
        <w:pStyle w:val="21"/>
        <w:ind w:firstLine="480"/>
      </w:pPr>
      <w:r>
        <w:rPr>
          <w:rFonts w:hint="eastAsia"/>
        </w:rPr>
        <w:t>C——t 时刻 x 处的示踪剂质量浓度，g/L；</w:t>
      </w:r>
    </w:p>
    <w:p w14:paraId="3F8B3ABD">
      <w:pPr>
        <w:pStyle w:val="21"/>
        <w:ind w:firstLine="480"/>
      </w:pPr>
      <w:r>
        <w:rPr>
          <w:rFonts w:hint="eastAsia"/>
        </w:rPr>
        <w:t>C0——注入的示踪剂质量浓度，g/L；</w:t>
      </w:r>
    </w:p>
    <w:p w14:paraId="5B5943BE">
      <w:pPr>
        <w:pStyle w:val="21"/>
        <w:ind w:firstLine="480"/>
      </w:pPr>
      <w:r>
        <w:rPr>
          <w:rFonts w:hint="eastAsia"/>
        </w:rPr>
        <w:t>u——水流速度，m/d；</w:t>
      </w:r>
    </w:p>
    <w:p w14:paraId="0A88BD1F">
      <w:pPr>
        <w:pStyle w:val="21"/>
        <w:ind w:firstLine="480"/>
      </w:pPr>
      <w:r>
        <w:rPr>
          <w:rFonts w:hint="eastAsia"/>
        </w:rPr>
        <w:t>DL——纵向弥散系数，m²/d；</w:t>
      </w:r>
    </w:p>
    <w:p w14:paraId="123FBDA7">
      <w:pPr>
        <w:pStyle w:val="21"/>
        <w:bidi w:val="0"/>
        <w:rPr>
          <w:rFonts w:hint="default"/>
        </w:rPr>
      </w:pPr>
      <w:r>
        <w:rPr>
          <w:rFonts w:hint="eastAsia"/>
        </w:rPr>
        <w:t>erfc()——余误差函数(可查《水文地质手册》获得)。</w:t>
      </w:r>
    </w:p>
    <w:p w14:paraId="7EB41F25">
      <w:pPr>
        <w:pStyle w:val="21"/>
        <w:bidi w:val="0"/>
        <w:rPr>
          <w:rFonts w:hint="eastAsia"/>
          <w:lang w:val="en-US" w:eastAsia="zh-CN"/>
        </w:rPr>
      </w:pPr>
      <w:r>
        <w:rPr>
          <w:rFonts w:hint="eastAsia"/>
          <w:lang w:eastAsia="zh-CN"/>
        </w:rPr>
        <w:t>（</w:t>
      </w:r>
      <w:r>
        <w:rPr>
          <w:rFonts w:hint="eastAsia"/>
          <w:lang w:val="en-US" w:eastAsia="zh-CN"/>
        </w:rPr>
        <w:t>2</w:t>
      </w:r>
      <w:r>
        <w:rPr>
          <w:rFonts w:hint="eastAsia"/>
          <w:lang w:eastAsia="zh-CN"/>
        </w:rPr>
        <w:t>）</w:t>
      </w:r>
      <w:r>
        <w:rPr>
          <w:rFonts w:hint="eastAsia"/>
          <w:lang w:val="en-US" w:eastAsia="zh-CN"/>
        </w:rPr>
        <w:t>模型参数</w:t>
      </w:r>
    </w:p>
    <w:p w14:paraId="7C50B906">
      <w:pPr>
        <w:pStyle w:val="21"/>
        <w:ind w:firstLine="480"/>
        <w:rPr>
          <w:rFonts w:hint="default" w:eastAsia="宋体"/>
          <w:lang w:val="en-US" w:eastAsia="zh-CN"/>
        </w:rPr>
      </w:pPr>
      <w:r>
        <w:rPr>
          <w:rFonts w:hint="eastAsia"/>
        </w:rPr>
        <w:t>a、污染源强C：</w:t>
      </w:r>
      <w:r>
        <w:rPr>
          <w:rFonts w:hint="eastAsia"/>
          <w:lang w:val="en-US" w:eastAsia="zh-CN"/>
        </w:rPr>
        <w:t>耗氧量</w:t>
      </w:r>
      <w:r>
        <w:rPr>
          <w:rFonts w:hint="eastAsia"/>
        </w:rPr>
        <w:t>取值为</w:t>
      </w:r>
      <w:r>
        <w:rPr>
          <w:rFonts w:hint="eastAsia"/>
          <w:lang w:val="en-US" w:eastAsia="zh-CN"/>
        </w:rPr>
        <w:t>213.33</w:t>
      </w:r>
      <w:r>
        <w:rPr>
          <w:rFonts w:hint="eastAsia"/>
        </w:rPr>
        <w:t>mg/L</w:t>
      </w:r>
      <w:r>
        <w:rPr>
          <w:rFonts w:hint="eastAsia"/>
          <w:lang w:eastAsia="zh-CN"/>
        </w:rPr>
        <w:t>，</w:t>
      </w:r>
      <w:r>
        <w:rPr>
          <w:rFonts w:hint="eastAsia"/>
          <w:lang w:val="en-US" w:eastAsia="zh-CN"/>
        </w:rPr>
        <w:t>泄漏持续时间按1年计算。</w:t>
      </w:r>
    </w:p>
    <w:p w14:paraId="3A7EAD8F">
      <w:pPr>
        <w:pStyle w:val="21"/>
        <w:ind w:firstLine="480"/>
      </w:pPr>
      <w:r>
        <w:rPr>
          <w:rFonts w:hint="eastAsia"/>
        </w:rPr>
        <w:t>b、浅部地层的有效孔隙度(n)和渗透系数(K)：项目区地层主要为黏土，根据经验值含水层的渗透系数取K=1m/d，有效孔隙度取n=0.3。</w:t>
      </w:r>
    </w:p>
    <w:p w14:paraId="11CDE8C7">
      <w:pPr>
        <w:pStyle w:val="21"/>
        <w:ind w:firstLine="480"/>
      </w:pPr>
      <w:r>
        <w:rPr>
          <w:rFonts w:hint="eastAsia"/>
        </w:rPr>
        <w:t>c、地下水流速：地下水在小范围内呈由</w:t>
      </w:r>
      <w:r>
        <w:rPr>
          <w:rFonts w:hint="eastAsia"/>
          <w:lang w:val="en-US" w:eastAsia="zh-CN"/>
        </w:rPr>
        <w:t>东向西</w:t>
      </w:r>
      <w:r>
        <w:rPr>
          <w:rFonts w:hint="eastAsia"/>
        </w:rPr>
        <w:t>的一维流动，水力坡度根据地形估算I=3%，因此地下水的渗透流速V=KI=1m/d×3%=0.03m/d，平均实际流速u=V/n=0.1m/d。</w:t>
      </w:r>
    </w:p>
    <w:p w14:paraId="761E86CF">
      <w:pPr>
        <w:pStyle w:val="21"/>
        <w:ind w:firstLine="480"/>
      </w:pPr>
      <w:r>
        <w:rPr>
          <w:rFonts w:hint="eastAsia"/>
        </w:rPr>
        <w:t>d、纵向弥散系数 DL：根据“《导则》专家研讨会意见的通知”有关精神可知，“根据已有的地下水研究成果表明，弥散试验的结果受试验场地的尺度效应影响明显，其结果应用受到很大的局限性。因此，一般不推荐开展弥散试验工作”。故本次参考Gelhar等人关于纵向弥散度与观测尺度关系的理论，根据本次污染场地的研究尺度，模型计算中纵向弥散度选用10m。由此计算评估区含水层中的纵向弥散系数：</w:t>
      </w:r>
    </w:p>
    <w:p w14:paraId="653B7D36">
      <w:pPr>
        <w:pStyle w:val="21"/>
        <w:bidi w:val="0"/>
        <w:rPr>
          <w:rFonts w:hint="default"/>
          <w:lang w:val="en-US" w:eastAsia="zh-CN"/>
        </w:rPr>
      </w:pPr>
      <w:r>
        <w:rPr>
          <w:rFonts w:hint="eastAsia"/>
        </w:rPr>
        <w:t>DL==10m×0.1m/d=1(m²/d)。</w:t>
      </w:r>
    </w:p>
    <w:p w14:paraId="1B6BC9C5">
      <w:pPr>
        <w:pStyle w:val="21"/>
        <w:bidi w:val="0"/>
        <w:rPr>
          <w:rFonts w:hint="default"/>
          <w:lang w:val="en-US" w:eastAsia="zh-CN"/>
        </w:rPr>
      </w:pPr>
      <w:r>
        <w:rPr>
          <w:rFonts w:hint="eastAsia"/>
          <w:lang w:val="en-US" w:eastAsia="zh-CN"/>
        </w:rPr>
        <w:t>（3）预测结果</w:t>
      </w:r>
    </w:p>
    <w:p w14:paraId="5B4E85DD">
      <w:pPr>
        <w:pStyle w:val="21"/>
        <w:bidi w:val="0"/>
        <w:rPr>
          <w:rFonts w:hint="default" w:ascii="Times New Roman" w:hAnsi="Times New Roman" w:cs="Times New Roman"/>
          <w:color w:val="auto"/>
          <w:highlight w:val="none"/>
          <w:u w:val="none"/>
        </w:rPr>
      </w:pPr>
      <w:r>
        <w:rPr>
          <w:rFonts w:hint="default" w:ascii="Times New Roman" w:hAnsi="Times New Roman" w:cs="Times New Roman"/>
          <w:color w:val="auto"/>
          <w:highlight w:val="none"/>
          <w:u w:val="none"/>
        </w:rPr>
        <w:t>根据污染情景分析，设置模拟期为</w:t>
      </w:r>
      <w:r>
        <w:rPr>
          <w:rFonts w:hint="default" w:ascii="Times New Roman" w:hAnsi="Times New Roman" w:eastAsia="Times New Roman" w:cs="Times New Roman"/>
          <w:color w:val="auto"/>
          <w:highlight w:val="none"/>
          <w:u w:val="none"/>
        </w:rPr>
        <w:t>100d</w:t>
      </w:r>
      <w:r>
        <w:rPr>
          <w:rFonts w:hint="default" w:ascii="Times New Roman" w:hAnsi="Times New Roman" w:cs="Times New Roman"/>
          <w:color w:val="auto"/>
          <w:highlight w:val="none"/>
          <w:u w:val="none"/>
        </w:rPr>
        <w:t>、</w:t>
      </w:r>
      <w:r>
        <w:rPr>
          <w:rFonts w:hint="default" w:ascii="Times New Roman" w:hAnsi="Times New Roman" w:eastAsia="Times New Roman" w:cs="Times New Roman"/>
          <w:color w:val="auto"/>
          <w:highlight w:val="none"/>
          <w:u w:val="none"/>
        </w:rPr>
        <w:t>365d</w:t>
      </w:r>
      <w:r>
        <w:rPr>
          <w:rFonts w:hint="default" w:ascii="Times New Roman" w:hAnsi="Times New Roman" w:cs="Times New Roman"/>
          <w:color w:val="auto"/>
          <w:highlight w:val="none"/>
          <w:u w:val="none"/>
        </w:rPr>
        <w:t>、</w:t>
      </w:r>
      <w:r>
        <w:rPr>
          <w:rFonts w:hint="default" w:ascii="Times New Roman" w:hAnsi="Times New Roman" w:eastAsia="Times New Roman" w:cs="Times New Roman"/>
          <w:color w:val="auto"/>
          <w:highlight w:val="none"/>
          <w:u w:val="none"/>
        </w:rPr>
        <w:t>1000d</w:t>
      </w:r>
      <w:r>
        <w:rPr>
          <w:rFonts w:hint="default" w:ascii="Times New Roman" w:hAnsi="Times New Roman" w:cs="Times New Roman"/>
          <w:color w:val="auto"/>
          <w:highlight w:val="none"/>
          <w:u w:val="none"/>
        </w:rPr>
        <w:t>和</w:t>
      </w:r>
      <w:r>
        <w:rPr>
          <w:rFonts w:hint="default" w:ascii="Times New Roman" w:hAnsi="Times New Roman" w:eastAsia="Times New Roman" w:cs="Times New Roman"/>
          <w:color w:val="auto"/>
          <w:highlight w:val="none"/>
          <w:u w:val="none"/>
        </w:rPr>
        <w:t>3650d</w:t>
      </w:r>
      <w:r>
        <w:rPr>
          <w:rFonts w:hint="default" w:ascii="Times New Roman" w:hAnsi="Times New Roman" w:cs="Times New Roman"/>
          <w:color w:val="auto"/>
          <w:highlight w:val="none"/>
          <w:u w:val="none"/>
        </w:rPr>
        <w:t>。</w:t>
      </w:r>
    </w:p>
    <w:p w14:paraId="4F4FC290">
      <w:pPr>
        <w:pStyle w:val="23"/>
        <w:bidi w:val="0"/>
        <w:rPr>
          <w:rFonts w:hint="default"/>
        </w:rPr>
      </w:pPr>
      <w:r>
        <w:rPr>
          <w:rFonts w:hint="default"/>
        </w:rPr>
        <w:t>表</w:t>
      </w:r>
      <w:r>
        <w:rPr>
          <w:rFonts w:hint="eastAsia"/>
          <w:lang w:val="en-US" w:eastAsia="zh-CN"/>
        </w:rPr>
        <w:t>5.2-17</w:t>
      </w:r>
      <w:r>
        <w:rPr>
          <w:rFonts w:hint="default"/>
        </w:rPr>
        <w:t xml:space="preserve">  地下水中污染物运移情况表 </w:t>
      </w:r>
    </w:p>
    <w:tbl>
      <w:tblPr>
        <w:tblStyle w:val="4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51" w:type="dxa"/>
          <w:bottom w:w="0" w:type="dxa"/>
          <w:right w:w="106" w:type="dxa"/>
        </w:tblCellMar>
      </w:tblPr>
      <w:tblGrid>
        <w:gridCol w:w="1182"/>
        <w:gridCol w:w="1461"/>
        <w:gridCol w:w="2419"/>
        <w:gridCol w:w="1749"/>
        <w:gridCol w:w="1749"/>
      </w:tblGrid>
      <w:tr w14:paraId="637F3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1" w:type="dxa"/>
            <w:bottom w:w="0" w:type="dxa"/>
            <w:right w:w="106" w:type="dxa"/>
          </w:tblCellMar>
        </w:tblPrEx>
        <w:trPr>
          <w:trHeight w:val="362" w:hRule="atLeast"/>
          <w:jc w:val="center"/>
        </w:trPr>
        <w:tc>
          <w:tcPr>
            <w:tcW w:w="690" w:type="pct"/>
            <w:shd w:val="clear" w:color="auto" w:fill="auto"/>
            <w:vAlign w:val="center"/>
          </w:tcPr>
          <w:p w14:paraId="726DB384">
            <w:pPr>
              <w:pStyle w:val="31"/>
              <w:bidi w:val="0"/>
              <w:rPr>
                <w:rFonts w:hint="default"/>
              </w:rPr>
            </w:pPr>
            <w:r>
              <w:rPr>
                <w:rFonts w:hint="default"/>
              </w:rPr>
              <w:t>污染物</w:t>
            </w:r>
          </w:p>
        </w:tc>
        <w:tc>
          <w:tcPr>
            <w:tcW w:w="853" w:type="pct"/>
            <w:shd w:val="clear" w:color="auto" w:fill="auto"/>
            <w:vAlign w:val="center"/>
          </w:tcPr>
          <w:p w14:paraId="5BD9298F">
            <w:pPr>
              <w:pStyle w:val="31"/>
              <w:bidi w:val="0"/>
              <w:rPr>
                <w:rFonts w:hint="default"/>
              </w:rPr>
            </w:pPr>
            <w:r>
              <w:rPr>
                <w:rFonts w:hint="default"/>
              </w:rPr>
              <w:t>预测时间</w:t>
            </w:r>
          </w:p>
        </w:tc>
        <w:tc>
          <w:tcPr>
            <w:tcW w:w="1412" w:type="pct"/>
            <w:shd w:val="clear" w:color="auto" w:fill="auto"/>
            <w:vAlign w:val="center"/>
          </w:tcPr>
          <w:p w14:paraId="6D70E27B">
            <w:pPr>
              <w:pStyle w:val="31"/>
              <w:bidi w:val="0"/>
              <w:rPr>
                <w:rFonts w:hint="default" w:eastAsia="宋体"/>
                <w:lang w:val="en-US" w:eastAsia="zh-CN"/>
              </w:rPr>
            </w:pPr>
            <w:r>
              <w:rPr>
                <w:rFonts w:hint="eastAsia"/>
                <w:lang w:val="en-US" w:eastAsia="zh-CN"/>
              </w:rPr>
              <w:t>最大预测值mg/L</w:t>
            </w:r>
          </w:p>
        </w:tc>
        <w:tc>
          <w:tcPr>
            <w:tcW w:w="1021" w:type="pct"/>
            <w:shd w:val="clear" w:color="auto" w:fill="auto"/>
            <w:vAlign w:val="center"/>
          </w:tcPr>
          <w:p w14:paraId="46B21CE1">
            <w:pPr>
              <w:pStyle w:val="31"/>
              <w:bidi w:val="0"/>
              <w:rPr>
                <w:rFonts w:hint="default"/>
              </w:rPr>
            </w:pPr>
            <w:r>
              <w:rPr>
                <w:rFonts w:hint="default"/>
              </w:rPr>
              <w:t>超标距离m</w:t>
            </w:r>
          </w:p>
        </w:tc>
        <w:tc>
          <w:tcPr>
            <w:tcW w:w="1021" w:type="pct"/>
            <w:shd w:val="clear" w:color="auto" w:fill="auto"/>
            <w:vAlign w:val="center"/>
          </w:tcPr>
          <w:p w14:paraId="42134BE3">
            <w:pPr>
              <w:pStyle w:val="31"/>
              <w:bidi w:val="0"/>
              <w:rPr>
                <w:rFonts w:hint="default" w:eastAsia="宋体"/>
                <w:lang w:val="en-US" w:eastAsia="zh-CN"/>
              </w:rPr>
            </w:pPr>
            <w:r>
              <w:rPr>
                <w:rFonts w:hint="eastAsia"/>
                <w:lang w:val="en-US" w:eastAsia="zh-CN"/>
              </w:rPr>
              <w:t>影响距离m</w:t>
            </w:r>
          </w:p>
        </w:tc>
      </w:tr>
      <w:tr w14:paraId="3D24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1" w:type="dxa"/>
            <w:bottom w:w="0" w:type="dxa"/>
            <w:right w:w="106" w:type="dxa"/>
          </w:tblCellMar>
        </w:tblPrEx>
        <w:trPr>
          <w:trHeight w:val="355" w:hRule="atLeast"/>
          <w:jc w:val="center"/>
        </w:trPr>
        <w:tc>
          <w:tcPr>
            <w:tcW w:w="690" w:type="pct"/>
            <w:vMerge w:val="restart"/>
            <w:shd w:val="clear" w:color="auto" w:fill="auto"/>
            <w:vAlign w:val="center"/>
          </w:tcPr>
          <w:p w14:paraId="0867D02F">
            <w:pPr>
              <w:pStyle w:val="31"/>
              <w:bidi w:val="0"/>
              <w:rPr>
                <w:rFonts w:hint="eastAsia"/>
              </w:rPr>
            </w:pPr>
            <w:r>
              <w:rPr>
                <w:rFonts w:hint="eastAsia"/>
                <w:lang w:val="en-US" w:eastAsia="zh-CN"/>
              </w:rPr>
              <w:t>耗氧量</w:t>
            </w:r>
          </w:p>
        </w:tc>
        <w:tc>
          <w:tcPr>
            <w:tcW w:w="853" w:type="pct"/>
            <w:shd w:val="clear" w:color="auto" w:fill="auto"/>
            <w:vAlign w:val="center"/>
          </w:tcPr>
          <w:p w14:paraId="58EE68E1">
            <w:pPr>
              <w:pStyle w:val="31"/>
              <w:bidi w:val="0"/>
              <w:rPr>
                <w:rFonts w:hint="default"/>
              </w:rPr>
            </w:pPr>
            <w:r>
              <w:rPr>
                <w:rFonts w:hint="default"/>
              </w:rPr>
              <w:t>100d</w:t>
            </w:r>
          </w:p>
        </w:tc>
        <w:tc>
          <w:tcPr>
            <w:tcW w:w="1412" w:type="pct"/>
            <w:shd w:val="clear" w:color="auto" w:fill="auto"/>
            <w:vAlign w:val="center"/>
          </w:tcPr>
          <w:p w14:paraId="74482A88">
            <w:pPr>
              <w:pStyle w:val="31"/>
              <w:bidi w:val="0"/>
              <w:rPr>
                <w:rFonts w:hint="default"/>
                <w:lang w:val="en-US" w:eastAsia="zh-CN"/>
              </w:rPr>
            </w:pPr>
            <w:r>
              <w:rPr>
                <w:rFonts w:hint="eastAsia"/>
                <w:lang w:val="en-US" w:eastAsia="zh-CN"/>
              </w:rPr>
              <w:t>208.859</w:t>
            </w:r>
          </w:p>
        </w:tc>
        <w:tc>
          <w:tcPr>
            <w:tcW w:w="1021" w:type="pct"/>
            <w:shd w:val="clear" w:color="auto" w:fill="auto"/>
            <w:vAlign w:val="center"/>
          </w:tcPr>
          <w:p w14:paraId="00BFA83A">
            <w:pPr>
              <w:pStyle w:val="31"/>
              <w:bidi w:val="0"/>
              <w:rPr>
                <w:rFonts w:hint="default" w:eastAsia="宋体"/>
                <w:lang w:val="en-US" w:eastAsia="zh-CN"/>
              </w:rPr>
            </w:pPr>
            <w:r>
              <w:rPr>
                <w:rFonts w:hint="eastAsia"/>
                <w:lang w:val="en-US" w:eastAsia="zh-CN"/>
              </w:rPr>
              <w:t>43</w:t>
            </w:r>
          </w:p>
        </w:tc>
        <w:tc>
          <w:tcPr>
            <w:tcW w:w="1021" w:type="pct"/>
            <w:shd w:val="clear" w:color="auto" w:fill="auto"/>
            <w:vAlign w:val="center"/>
          </w:tcPr>
          <w:p w14:paraId="17FA53C7">
            <w:pPr>
              <w:pStyle w:val="31"/>
              <w:bidi w:val="0"/>
              <w:rPr>
                <w:rFonts w:hint="default" w:eastAsia="宋体"/>
                <w:lang w:val="en-US" w:eastAsia="zh-CN"/>
              </w:rPr>
            </w:pPr>
            <w:r>
              <w:rPr>
                <w:rFonts w:hint="eastAsia"/>
                <w:lang w:val="en-US" w:eastAsia="zh-CN"/>
              </w:rPr>
              <w:t>67</w:t>
            </w:r>
          </w:p>
        </w:tc>
      </w:tr>
      <w:tr w14:paraId="5B30F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1" w:type="dxa"/>
            <w:bottom w:w="0" w:type="dxa"/>
            <w:right w:w="106" w:type="dxa"/>
          </w:tblCellMar>
        </w:tblPrEx>
        <w:trPr>
          <w:trHeight w:val="355" w:hRule="atLeast"/>
          <w:jc w:val="center"/>
        </w:trPr>
        <w:tc>
          <w:tcPr>
            <w:tcW w:w="690" w:type="pct"/>
            <w:vMerge w:val="continue"/>
            <w:shd w:val="clear" w:color="auto" w:fill="auto"/>
            <w:vAlign w:val="center"/>
          </w:tcPr>
          <w:p w14:paraId="136325DC">
            <w:pPr>
              <w:pStyle w:val="31"/>
              <w:bidi w:val="0"/>
              <w:rPr>
                <w:rFonts w:hint="default"/>
              </w:rPr>
            </w:pPr>
          </w:p>
        </w:tc>
        <w:tc>
          <w:tcPr>
            <w:tcW w:w="853" w:type="pct"/>
            <w:shd w:val="clear" w:color="auto" w:fill="auto"/>
            <w:vAlign w:val="center"/>
          </w:tcPr>
          <w:p w14:paraId="2CF4B94F">
            <w:pPr>
              <w:pStyle w:val="31"/>
              <w:bidi w:val="0"/>
              <w:rPr>
                <w:rFonts w:hint="default"/>
              </w:rPr>
            </w:pPr>
            <w:r>
              <w:rPr>
                <w:rFonts w:hint="default"/>
              </w:rPr>
              <w:t>365d</w:t>
            </w:r>
          </w:p>
        </w:tc>
        <w:tc>
          <w:tcPr>
            <w:tcW w:w="1412" w:type="pct"/>
            <w:shd w:val="clear" w:color="auto" w:fill="auto"/>
            <w:vAlign w:val="center"/>
          </w:tcPr>
          <w:p w14:paraId="03C982D1">
            <w:pPr>
              <w:pStyle w:val="31"/>
              <w:bidi w:val="0"/>
              <w:rPr>
                <w:rFonts w:hint="default"/>
                <w:lang w:val="en-US" w:eastAsia="zh-CN"/>
              </w:rPr>
            </w:pPr>
            <w:r>
              <w:rPr>
                <w:rFonts w:hint="eastAsia"/>
                <w:lang w:val="en-US" w:eastAsia="zh-CN"/>
              </w:rPr>
              <w:t>212.653</w:t>
            </w:r>
          </w:p>
        </w:tc>
        <w:tc>
          <w:tcPr>
            <w:tcW w:w="1021" w:type="pct"/>
            <w:shd w:val="clear" w:color="auto" w:fill="auto"/>
            <w:vAlign w:val="center"/>
          </w:tcPr>
          <w:p w14:paraId="5EBB487F">
            <w:pPr>
              <w:pStyle w:val="31"/>
              <w:bidi w:val="0"/>
              <w:rPr>
                <w:rFonts w:hint="default" w:eastAsia="宋体"/>
                <w:lang w:val="en-US" w:eastAsia="zh-CN"/>
              </w:rPr>
            </w:pPr>
            <w:r>
              <w:rPr>
                <w:rFonts w:hint="eastAsia"/>
                <w:lang w:val="en-US" w:eastAsia="zh-CN"/>
              </w:rPr>
              <w:t>100</w:t>
            </w:r>
          </w:p>
        </w:tc>
        <w:tc>
          <w:tcPr>
            <w:tcW w:w="1021" w:type="pct"/>
            <w:shd w:val="clear" w:color="auto" w:fill="auto"/>
            <w:vAlign w:val="center"/>
          </w:tcPr>
          <w:p w14:paraId="4A88D27A">
            <w:pPr>
              <w:pStyle w:val="31"/>
              <w:bidi w:val="0"/>
              <w:rPr>
                <w:rFonts w:hint="default" w:eastAsia="宋体"/>
                <w:lang w:val="en-US" w:eastAsia="zh-CN"/>
              </w:rPr>
            </w:pPr>
            <w:r>
              <w:rPr>
                <w:rFonts w:hint="eastAsia"/>
                <w:lang w:val="en-US" w:eastAsia="zh-CN"/>
              </w:rPr>
              <w:t>145</w:t>
            </w:r>
          </w:p>
        </w:tc>
      </w:tr>
      <w:tr w14:paraId="552EA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1" w:type="dxa"/>
            <w:bottom w:w="0" w:type="dxa"/>
            <w:right w:w="106" w:type="dxa"/>
          </w:tblCellMar>
        </w:tblPrEx>
        <w:trPr>
          <w:trHeight w:val="353" w:hRule="atLeast"/>
          <w:jc w:val="center"/>
        </w:trPr>
        <w:tc>
          <w:tcPr>
            <w:tcW w:w="690" w:type="pct"/>
            <w:vMerge w:val="continue"/>
            <w:shd w:val="clear" w:color="auto" w:fill="auto"/>
            <w:vAlign w:val="center"/>
          </w:tcPr>
          <w:p w14:paraId="408E4C9B">
            <w:pPr>
              <w:pStyle w:val="31"/>
              <w:bidi w:val="0"/>
              <w:rPr>
                <w:rFonts w:hint="default"/>
              </w:rPr>
            </w:pPr>
          </w:p>
        </w:tc>
        <w:tc>
          <w:tcPr>
            <w:tcW w:w="853" w:type="pct"/>
            <w:shd w:val="clear" w:color="auto" w:fill="auto"/>
            <w:vAlign w:val="center"/>
          </w:tcPr>
          <w:p w14:paraId="36979185">
            <w:pPr>
              <w:pStyle w:val="31"/>
              <w:bidi w:val="0"/>
              <w:rPr>
                <w:rFonts w:hint="default"/>
              </w:rPr>
            </w:pPr>
            <w:r>
              <w:rPr>
                <w:rFonts w:hint="default"/>
              </w:rPr>
              <w:t>1000d</w:t>
            </w:r>
          </w:p>
        </w:tc>
        <w:tc>
          <w:tcPr>
            <w:tcW w:w="1412" w:type="pct"/>
            <w:shd w:val="clear" w:color="auto" w:fill="auto"/>
            <w:vAlign w:val="center"/>
          </w:tcPr>
          <w:p w14:paraId="3B8118C0">
            <w:pPr>
              <w:pStyle w:val="31"/>
              <w:bidi w:val="0"/>
              <w:rPr>
                <w:rFonts w:hint="default"/>
                <w:lang w:val="en-US" w:eastAsia="zh-CN"/>
              </w:rPr>
            </w:pPr>
            <w:r>
              <w:rPr>
                <w:rFonts w:hint="eastAsia"/>
                <w:lang w:val="en-US" w:eastAsia="zh-CN"/>
              </w:rPr>
              <w:t>76.801</w:t>
            </w:r>
          </w:p>
        </w:tc>
        <w:tc>
          <w:tcPr>
            <w:tcW w:w="1021" w:type="pct"/>
            <w:shd w:val="clear" w:color="auto" w:fill="auto"/>
            <w:vAlign w:val="center"/>
          </w:tcPr>
          <w:p w14:paraId="42E6EB27">
            <w:pPr>
              <w:pStyle w:val="31"/>
              <w:bidi w:val="0"/>
              <w:rPr>
                <w:rFonts w:hint="default" w:eastAsia="宋体"/>
                <w:lang w:val="en-US" w:eastAsia="zh-CN"/>
              </w:rPr>
            </w:pPr>
            <w:r>
              <w:rPr>
                <w:rFonts w:hint="eastAsia"/>
                <w:lang w:val="en-US" w:eastAsia="zh-CN"/>
              </w:rPr>
              <w:t>198</w:t>
            </w:r>
          </w:p>
        </w:tc>
        <w:tc>
          <w:tcPr>
            <w:tcW w:w="1021" w:type="pct"/>
            <w:shd w:val="clear" w:color="auto" w:fill="auto"/>
            <w:vAlign w:val="center"/>
          </w:tcPr>
          <w:p w14:paraId="48E34475">
            <w:pPr>
              <w:pStyle w:val="31"/>
              <w:bidi w:val="0"/>
              <w:rPr>
                <w:rFonts w:hint="default" w:eastAsia="宋体"/>
                <w:lang w:val="en-US" w:eastAsia="zh-CN"/>
              </w:rPr>
            </w:pPr>
            <w:r>
              <w:rPr>
                <w:rFonts w:hint="eastAsia"/>
                <w:lang w:val="en-US" w:eastAsia="zh-CN"/>
              </w:rPr>
              <w:t>274</w:t>
            </w:r>
          </w:p>
        </w:tc>
      </w:tr>
      <w:tr w14:paraId="70B9B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1" w:type="dxa"/>
            <w:bottom w:w="0" w:type="dxa"/>
            <w:right w:w="106" w:type="dxa"/>
          </w:tblCellMar>
        </w:tblPrEx>
        <w:trPr>
          <w:trHeight w:val="355" w:hRule="atLeast"/>
          <w:jc w:val="center"/>
        </w:trPr>
        <w:tc>
          <w:tcPr>
            <w:tcW w:w="690" w:type="pct"/>
            <w:vMerge w:val="continue"/>
            <w:shd w:val="clear" w:color="auto" w:fill="auto"/>
            <w:vAlign w:val="center"/>
          </w:tcPr>
          <w:p w14:paraId="01920E99">
            <w:pPr>
              <w:pStyle w:val="31"/>
              <w:bidi w:val="0"/>
              <w:rPr>
                <w:rFonts w:hint="default"/>
              </w:rPr>
            </w:pPr>
          </w:p>
        </w:tc>
        <w:tc>
          <w:tcPr>
            <w:tcW w:w="853" w:type="pct"/>
            <w:shd w:val="clear" w:color="auto" w:fill="auto"/>
            <w:vAlign w:val="center"/>
          </w:tcPr>
          <w:p w14:paraId="78B49C0B">
            <w:pPr>
              <w:pStyle w:val="31"/>
              <w:bidi w:val="0"/>
              <w:rPr>
                <w:rFonts w:hint="default"/>
              </w:rPr>
            </w:pPr>
            <w:r>
              <w:rPr>
                <w:rFonts w:hint="default"/>
              </w:rPr>
              <w:t>3650d</w:t>
            </w:r>
          </w:p>
        </w:tc>
        <w:tc>
          <w:tcPr>
            <w:tcW w:w="1412" w:type="pct"/>
            <w:shd w:val="clear" w:color="auto" w:fill="auto"/>
            <w:vAlign w:val="center"/>
          </w:tcPr>
          <w:p w14:paraId="3B0E1057">
            <w:pPr>
              <w:pStyle w:val="31"/>
              <w:bidi w:val="0"/>
              <w:rPr>
                <w:rFonts w:hint="default"/>
                <w:lang w:val="en-US" w:eastAsia="zh-CN"/>
              </w:rPr>
            </w:pPr>
            <w:r>
              <w:rPr>
                <w:rFonts w:hint="eastAsia"/>
                <w:lang w:val="en-US" w:eastAsia="zh-CN"/>
              </w:rPr>
              <w:t>37.278</w:t>
            </w:r>
          </w:p>
        </w:tc>
        <w:tc>
          <w:tcPr>
            <w:tcW w:w="1021" w:type="pct"/>
            <w:shd w:val="clear" w:color="auto" w:fill="auto"/>
            <w:vAlign w:val="center"/>
          </w:tcPr>
          <w:p w14:paraId="3A26F73F">
            <w:pPr>
              <w:pStyle w:val="31"/>
              <w:bidi w:val="0"/>
              <w:rPr>
                <w:rFonts w:hint="default" w:eastAsia="宋体"/>
                <w:lang w:val="en-US" w:eastAsia="zh-CN"/>
              </w:rPr>
            </w:pPr>
            <w:r>
              <w:rPr>
                <w:rFonts w:hint="eastAsia"/>
                <w:lang w:val="en-US" w:eastAsia="zh-CN"/>
              </w:rPr>
              <w:t>552</w:t>
            </w:r>
          </w:p>
        </w:tc>
        <w:tc>
          <w:tcPr>
            <w:tcW w:w="1021" w:type="pct"/>
            <w:shd w:val="clear" w:color="auto" w:fill="auto"/>
            <w:vAlign w:val="center"/>
          </w:tcPr>
          <w:p w14:paraId="0F86633C">
            <w:pPr>
              <w:pStyle w:val="31"/>
              <w:bidi w:val="0"/>
              <w:rPr>
                <w:rFonts w:hint="default" w:eastAsia="宋体"/>
                <w:lang w:val="en-US" w:eastAsia="zh-CN"/>
              </w:rPr>
            </w:pPr>
            <w:r>
              <w:rPr>
                <w:rFonts w:hint="eastAsia"/>
                <w:lang w:val="en-US" w:eastAsia="zh-CN"/>
              </w:rPr>
              <w:t>697</w:t>
            </w:r>
          </w:p>
        </w:tc>
      </w:tr>
    </w:tbl>
    <w:p w14:paraId="7C9D158F">
      <w:pPr>
        <w:pStyle w:val="21"/>
        <w:bidi w:val="0"/>
        <w:rPr>
          <w:rFonts w:hint="default" w:ascii="Times New Roman" w:hAnsi="Times New Roman" w:cs="Times New Roman"/>
          <w:color w:val="auto"/>
          <w:highlight w:val="none"/>
          <w:u w:val="none"/>
        </w:rPr>
      </w:pPr>
      <w:r>
        <w:rPr>
          <w:rFonts w:hint="default" w:ascii="Times New Roman" w:hAnsi="Times New Roman" w:cs="Times New Roman"/>
          <w:color w:val="auto"/>
          <w:highlight w:val="none"/>
          <w:u w:val="none"/>
        </w:rPr>
        <w:t>根据软件计算结果可知：</w:t>
      </w:r>
      <w:r>
        <w:rPr>
          <w:rFonts w:hint="default" w:ascii="Times New Roman" w:hAnsi="Times New Roman" w:eastAsia="Times New Roman" w:cs="Times New Roman"/>
          <w:color w:val="auto"/>
          <w:highlight w:val="none"/>
          <w:u w:val="none"/>
        </w:rPr>
        <w:t xml:space="preserve"> </w:t>
      </w:r>
    </w:p>
    <w:p w14:paraId="64E3302F">
      <w:pPr>
        <w:pStyle w:val="21"/>
        <w:bidi w:val="0"/>
        <w:rPr>
          <w:rFonts w:hint="default" w:ascii="Times New Roman" w:hAnsi="Times New Roman" w:cs="Times New Roman"/>
          <w:color w:val="auto"/>
          <w:highlight w:val="none"/>
          <w:u w:val="none"/>
        </w:rPr>
      </w:pPr>
      <w:r>
        <w:rPr>
          <w:rFonts w:hint="default" w:ascii="Times New Roman" w:hAnsi="Times New Roman" w:cs="Times New Roman"/>
          <w:color w:val="auto"/>
          <w:highlight w:val="none"/>
          <w:u w:val="none"/>
        </w:rPr>
        <w:t>连续泄漏污染物</w:t>
      </w:r>
      <w:r>
        <w:rPr>
          <w:rFonts w:hint="default" w:ascii="Times New Roman" w:hAnsi="Times New Roman" w:eastAsia="Times New Roman" w:cs="Times New Roman"/>
          <w:color w:val="auto"/>
          <w:highlight w:val="none"/>
          <w:u w:val="none"/>
        </w:rPr>
        <w:t>100</w:t>
      </w:r>
      <w:r>
        <w:rPr>
          <w:rFonts w:hint="default" w:ascii="Times New Roman" w:hAnsi="Times New Roman" w:cs="Times New Roman"/>
          <w:color w:val="auto"/>
          <w:highlight w:val="none"/>
          <w:u w:val="none"/>
        </w:rPr>
        <w:t>天，</w:t>
      </w:r>
      <w:r>
        <w:rPr>
          <w:rFonts w:hint="eastAsia" w:cs="Times New Roman"/>
          <w:color w:val="auto"/>
          <w:highlight w:val="none"/>
          <w:u w:val="none"/>
          <w:lang w:val="en-US" w:eastAsia="zh-CN"/>
        </w:rPr>
        <w:t>耗氧量</w:t>
      </w:r>
      <w:r>
        <w:rPr>
          <w:rFonts w:hint="default" w:ascii="Times New Roman" w:hAnsi="Times New Roman" w:cs="Times New Roman"/>
          <w:color w:val="auto"/>
          <w:highlight w:val="none"/>
          <w:u w:val="none"/>
        </w:rPr>
        <w:t>超标距离为下游</w:t>
      </w:r>
      <w:r>
        <w:rPr>
          <w:rFonts w:hint="eastAsia" w:ascii="Times New Roman" w:hAnsi="Times New Roman" w:eastAsia="宋体" w:cs="Times New Roman"/>
          <w:color w:val="auto"/>
          <w:highlight w:val="none"/>
          <w:u w:val="none"/>
          <w:lang w:val="en-US" w:eastAsia="zh-CN"/>
        </w:rPr>
        <w:t>43</w:t>
      </w:r>
      <w:r>
        <w:rPr>
          <w:rFonts w:hint="default" w:ascii="Times New Roman" w:hAnsi="Times New Roman" w:eastAsia="Times New Roman" w:cs="Times New Roman"/>
          <w:color w:val="auto"/>
          <w:highlight w:val="none"/>
          <w:u w:val="none"/>
        </w:rPr>
        <w:t>m</w:t>
      </w:r>
      <w:r>
        <w:rPr>
          <w:rFonts w:hint="default" w:ascii="Times New Roman" w:hAnsi="Times New Roman" w:cs="Times New Roman"/>
          <w:color w:val="auto"/>
          <w:highlight w:val="none"/>
          <w:u w:val="none"/>
        </w:rPr>
        <w:t>，</w:t>
      </w:r>
      <w:r>
        <w:rPr>
          <w:rFonts w:hint="eastAsia" w:ascii="Times New Roman" w:hAnsi="Times New Roman" w:cs="Times New Roman"/>
          <w:color w:val="auto"/>
          <w:highlight w:val="none"/>
          <w:u w:val="none"/>
          <w:lang w:val="en-US" w:eastAsia="zh-CN"/>
        </w:rPr>
        <w:t>影响距离为下游67m</w:t>
      </w:r>
      <w:r>
        <w:rPr>
          <w:rFonts w:hint="default" w:ascii="Times New Roman" w:hAnsi="Times New Roman" w:cs="Times New Roman"/>
          <w:color w:val="auto"/>
          <w:highlight w:val="none"/>
          <w:u w:val="none"/>
        </w:rPr>
        <w:t>；连续泄漏污染物</w:t>
      </w:r>
      <w:r>
        <w:rPr>
          <w:rFonts w:hint="default" w:ascii="Times New Roman" w:hAnsi="Times New Roman" w:eastAsia="Times New Roman" w:cs="Times New Roman"/>
          <w:color w:val="auto"/>
          <w:highlight w:val="none"/>
          <w:u w:val="none"/>
        </w:rPr>
        <w:t>365</w:t>
      </w:r>
      <w:r>
        <w:rPr>
          <w:rFonts w:hint="default" w:ascii="Times New Roman" w:hAnsi="Times New Roman" w:cs="Times New Roman"/>
          <w:color w:val="auto"/>
          <w:highlight w:val="none"/>
          <w:u w:val="none"/>
        </w:rPr>
        <w:t>天，</w:t>
      </w:r>
      <w:r>
        <w:rPr>
          <w:rFonts w:hint="eastAsia" w:cs="Times New Roman"/>
          <w:color w:val="auto"/>
          <w:highlight w:val="none"/>
          <w:u w:val="none"/>
          <w:lang w:val="en-US" w:eastAsia="zh-CN"/>
        </w:rPr>
        <w:t>耗氧量</w:t>
      </w:r>
      <w:r>
        <w:rPr>
          <w:rFonts w:hint="default" w:ascii="Times New Roman" w:hAnsi="Times New Roman" w:cs="Times New Roman"/>
          <w:color w:val="auto"/>
          <w:highlight w:val="none"/>
          <w:u w:val="none"/>
        </w:rPr>
        <w:t>超标距离为下游</w:t>
      </w:r>
      <w:r>
        <w:rPr>
          <w:rFonts w:hint="eastAsia" w:ascii="Times New Roman" w:hAnsi="Times New Roman" w:eastAsia="宋体" w:cs="Times New Roman"/>
          <w:color w:val="auto"/>
          <w:highlight w:val="none"/>
          <w:u w:val="none"/>
          <w:lang w:val="en-US" w:eastAsia="zh-CN"/>
        </w:rPr>
        <w:t>100</w:t>
      </w:r>
      <w:r>
        <w:rPr>
          <w:rFonts w:hint="default" w:ascii="Times New Roman" w:hAnsi="Times New Roman" w:eastAsia="Times New Roman" w:cs="Times New Roman"/>
          <w:color w:val="auto"/>
          <w:highlight w:val="none"/>
          <w:u w:val="none"/>
        </w:rPr>
        <w:t>m</w:t>
      </w:r>
      <w:r>
        <w:rPr>
          <w:rFonts w:hint="default" w:ascii="Times New Roman" w:hAnsi="Times New Roman" w:cs="Times New Roman"/>
          <w:color w:val="auto"/>
          <w:highlight w:val="none"/>
          <w:u w:val="none"/>
        </w:rPr>
        <w:t>，</w:t>
      </w:r>
      <w:r>
        <w:rPr>
          <w:rFonts w:hint="eastAsia" w:ascii="Times New Roman" w:hAnsi="Times New Roman" w:cs="Times New Roman"/>
          <w:color w:val="auto"/>
          <w:highlight w:val="none"/>
          <w:u w:val="none"/>
          <w:lang w:val="en-US" w:eastAsia="zh-CN"/>
        </w:rPr>
        <w:t>影响距离为下游145m</w:t>
      </w:r>
      <w:r>
        <w:rPr>
          <w:rFonts w:hint="default" w:ascii="Times New Roman" w:hAnsi="Times New Roman" w:cs="Times New Roman"/>
          <w:color w:val="auto"/>
          <w:highlight w:val="none"/>
          <w:u w:val="none"/>
        </w:rPr>
        <w:t>；连续泄漏污染物</w:t>
      </w:r>
      <w:r>
        <w:rPr>
          <w:rFonts w:hint="default" w:ascii="Times New Roman" w:hAnsi="Times New Roman" w:eastAsia="Times New Roman" w:cs="Times New Roman"/>
          <w:color w:val="auto"/>
          <w:highlight w:val="none"/>
          <w:u w:val="none"/>
        </w:rPr>
        <w:t>1000</w:t>
      </w:r>
      <w:r>
        <w:rPr>
          <w:rFonts w:hint="default" w:ascii="Times New Roman" w:hAnsi="Times New Roman" w:cs="Times New Roman"/>
          <w:color w:val="auto"/>
          <w:highlight w:val="none"/>
          <w:u w:val="none"/>
        </w:rPr>
        <w:t>天，</w:t>
      </w:r>
      <w:r>
        <w:rPr>
          <w:rFonts w:hint="eastAsia" w:cs="Times New Roman"/>
          <w:color w:val="auto"/>
          <w:highlight w:val="none"/>
          <w:u w:val="none"/>
          <w:lang w:val="en-US" w:eastAsia="zh-CN"/>
        </w:rPr>
        <w:t>耗氧量</w:t>
      </w:r>
      <w:r>
        <w:rPr>
          <w:rFonts w:hint="default" w:ascii="Times New Roman" w:hAnsi="Times New Roman" w:cs="Times New Roman"/>
          <w:color w:val="auto"/>
          <w:highlight w:val="none"/>
          <w:u w:val="none"/>
        </w:rPr>
        <w:t>超标距离为下游</w:t>
      </w:r>
      <w:r>
        <w:rPr>
          <w:rFonts w:hint="eastAsia" w:ascii="Times New Roman" w:hAnsi="Times New Roman" w:eastAsia="宋体" w:cs="Times New Roman"/>
          <w:color w:val="auto"/>
          <w:highlight w:val="none"/>
          <w:u w:val="none"/>
          <w:lang w:val="en-US" w:eastAsia="zh-CN"/>
        </w:rPr>
        <w:t>198</w:t>
      </w:r>
      <w:r>
        <w:rPr>
          <w:rFonts w:hint="default" w:ascii="Times New Roman" w:hAnsi="Times New Roman" w:eastAsia="Times New Roman" w:cs="Times New Roman"/>
          <w:color w:val="auto"/>
          <w:highlight w:val="none"/>
          <w:u w:val="none"/>
        </w:rPr>
        <w:t>m</w:t>
      </w:r>
      <w:r>
        <w:rPr>
          <w:rFonts w:hint="default" w:ascii="Times New Roman" w:hAnsi="Times New Roman" w:cs="Times New Roman"/>
          <w:color w:val="auto"/>
          <w:highlight w:val="none"/>
          <w:u w:val="none"/>
        </w:rPr>
        <w:t>，</w:t>
      </w:r>
      <w:r>
        <w:rPr>
          <w:rFonts w:hint="eastAsia" w:ascii="Times New Roman" w:hAnsi="Times New Roman" w:cs="Times New Roman"/>
          <w:color w:val="auto"/>
          <w:highlight w:val="none"/>
          <w:u w:val="none"/>
          <w:lang w:val="en-US" w:eastAsia="zh-CN"/>
        </w:rPr>
        <w:t>影响距离为下游274m</w:t>
      </w:r>
      <w:r>
        <w:rPr>
          <w:rFonts w:hint="default" w:ascii="Times New Roman" w:hAnsi="Times New Roman" w:cs="Times New Roman"/>
          <w:color w:val="auto"/>
          <w:highlight w:val="none"/>
          <w:u w:val="none"/>
        </w:rPr>
        <w:t>；；连续泄漏污染物</w:t>
      </w:r>
      <w:r>
        <w:rPr>
          <w:rFonts w:hint="default" w:ascii="Times New Roman" w:hAnsi="Times New Roman" w:eastAsia="Times New Roman" w:cs="Times New Roman"/>
          <w:color w:val="auto"/>
          <w:highlight w:val="none"/>
          <w:u w:val="none"/>
        </w:rPr>
        <w:t>3560</w:t>
      </w:r>
      <w:r>
        <w:rPr>
          <w:rFonts w:hint="default" w:ascii="Times New Roman" w:hAnsi="Times New Roman" w:cs="Times New Roman"/>
          <w:color w:val="auto"/>
          <w:highlight w:val="none"/>
          <w:u w:val="none"/>
        </w:rPr>
        <w:t>天，</w:t>
      </w:r>
      <w:r>
        <w:rPr>
          <w:rFonts w:hint="eastAsia" w:cs="Times New Roman"/>
          <w:color w:val="auto"/>
          <w:highlight w:val="none"/>
          <w:u w:val="none"/>
          <w:lang w:val="en-US" w:eastAsia="zh-CN"/>
        </w:rPr>
        <w:t>耗氧量</w:t>
      </w:r>
      <w:r>
        <w:rPr>
          <w:rFonts w:hint="default" w:ascii="Times New Roman" w:hAnsi="Times New Roman" w:cs="Times New Roman"/>
          <w:color w:val="auto"/>
          <w:highlight w:val="none"/>
          <w:u w:val="none"/>
        </w:rPr>
        <w:t>超标距离为下游</w:t>
      </w:r>
      <w:r>
        <w:rPr>
          <w:rFonts w:hint="eastAsia" w:ascii="Times New Roman" w:hAnsi="Times New Roman" w:eastAsia="宋体" w:cs="Times New Roman"/>
          <w:color w:val="auto"/>
          <w:highlight w:val="none"/>
          <w:u w:val="none"/>
          <w:lang w:val="en-US" w:eastAsia="zh-CN"/>
        </w:rPr>
        <w:t>552</w:t>
      </w:r>
      <w:r>
        <w:rPr>
          <w:rFonts w:hint="default" w:ascii="Times New Roman" w:hAnsi="Times New Roman" w:eastAsia="Times New Roman" w:cs="Times New Roman"/>
          <w:color w:val="auto"/>
          <w:highlight w:val="none"/>
          <w:u w:val="none"/>
        </w:rPr>
        <w:t>m</w:t>
      </w:r>
      <w:r>
        <w:rPr>
          <w:rFonts w:hint="default" w:ascii="Times New Roman" w:hAnsi="Times New Roman" w:cs="Times New Roman"/>
          <w:color w:val="auto"/>
          <w:highlight w:val="none"/>
          <w:u w:val="none"/>
        </w:rPr>
        <w:t>，</w:t>
      </w:r>
      <w:r>
        <w:rPr>
          <w:rFonts w:hint="eastAsia" w:ascii="Times New Roman" w:hAnsi="Times New Roman" w:cs="Times New Roman"/>
          <w:color w:val="auto"/>
          <w:highlight w:val="none"/>
          <w:u w:val="none"/>
          <w:lang w:val="en-US" w:eastAsia="zh-CN"/>
        </w:rPr>
        <w:t>影响距离为下游697m</w:t>
      </w:r>
      <w:r>
        <w:rPr>
          <w:rFonts w:hint="default" w:ascii="Times New Roman" w:hAnsi="Times New Roman" w:cs="Times New Roman"/>
          <w:color w:val="auto"/>
          <w:highlight w:val="none"/>
          <w:u w:val="none"/>
        </w:rPr>
        <w:t>；。</w:t>
      </w:r>
      <w:r>
        <w:rPr>
          <w:rFonts w:hint="default" w:ascii="Times New Roman" w:hAnsi="Times New Roman" w:eastAsia="Times New Roman" w:cs="Times New Roman"/>
          <w:color w:val="auto"/>
          <w:highlight w:val="none"/>
          <w:u w:val="none"/>
        </w:rPr>
        <w:t xml:space="preserve"> </w:t>
      </w:r>
    </w:p>
    <w:p w14:paraId="130419B9">
      <w:pPr>
        <w:pStyle w:val="21"/>
        <w:bidi w:val="0"/>
        <w:rPr>
          <w:rFonts w:hint="default" w:ascii="Times New Roman" w:hAnsi="Times New Roman" w:cs="Times New Roman"/>
          <w:color w:val="auto"/>
          <w:highlight w:val="none"/>
          <w:u w:val="none"/>
          <w:lang w:val="en-US" w:eastAsia="zh-CN"/>
        </w:rPr>
      </w:pPr>
      <w:r>
        <w:rPr>
          <w:rFonts w:hint="default" w:ascii="Times New Roman" w:hAnsi="Times New Roman" w:cs="Times New Roman"/>
          <w:color w:val="auto"/>
          <w:highlight w:val="none"/>
          <w:u w:val="none"/>
        </w:rPr>
        <w:t>本项目应按监测计划要求定期对项目所在区潜水水质进行监测，一旦出现污染物泄漏地下水等事故，尽快控制污染源，避免地下水污染程度进一步扩大。</w:t>
      </w:r>
    </w:p>
    <w:p w14:paraId="0E18DB7C">
      <w:pPr>
        <w:pStyle w:val="33"/>
      </w:pPr>
      <w:bookmarkStart w:id="156" w:name="_Toc15645"/>
      <w:r>
        <w:rPr>
          <w:rFonts w:hint="eastAsia"/>
        </w:rPr>
        <w:t>5.2.4声环境影响</w:t>
      </w:r>
      <w:bookmarkEnd w:id="156"/>
    </w:p>
    <w:p w14:paraId="2CE7D14B">
      <w:pPr>
        <w:pStyle w:val="36"/>
        <w:bidi w:val="0"/>
        <w:rPr>
          <w:rFonts w:hint="eastAsia"/>
          <w:lang w:val="en-US" w:eastAsia="zh-CN"/>
        </w:rPr>
      </w:pPr>
      <w:r>
        <w:rPr>
          <w:rFonts w:hint="eastAsia"/>
          <w:lang w:val="en-US" w:eastAsia="zh-CN"/>
        </w:rPr>
        <w:t>5.2.4.1主要噪声源强</w:t>
      </w:r>
    </w:p>
    <w:p w14:paraId="38FDD732">
      <w:pPr>
        <w:pStyle w:val="21"/>
        <w:rPr>
          <w:rFonts w:hint="eastAsia"/>
          <w:lang w:val="en-US" w:eastAsia="zh-CN"/>
        </w:rPr>
      </w:pPr>
      <w:r>
        <w:rPr>
          <w:rFonts w:hint="eastAsia"/>
          <w:lang w:val="en-US" w:eastAsia="zh-CN"/>
        </w:rPr>
        <w:t>详见表3.5-3及表3.5-4，均为室外噪声源。</w:t>
      </w:r>
    </w:p>
    <w:p w14:paraId="47369445">
      <w:pPr>
        <w:pStyle w:val="36"/>
        <w:bidi w:val="0"/>
        <w:rPr>
          <w:rFonts w:hint="eastAsia"/>
          <w:lang w:val="en-US" w:eastAsia="zh-CN"/>
        </w:rPr>
      </w:pPr>
      <w:r>
        <w:rPr>
          <w:rFonts w:hint="eastAsia"/>
          <w:lang w:val="en-US" w:eastAsia="zh-CN"/>
        </w:rPr>
        <w:t>5.2.4.2预测模式及方法</w:t>
      </w:r>
    </w:p>
    <w:p w14:paraId="357BB529">
      <w:pPr>
        <w:pStyle w:val="21"/>
        <w:ind w:firstLine="480"/>
      </w:pPr>
      <w:r>
        <w:rPr>
          <w:rFonts w:hint="eastAsia"/>
        </w:rPr>
        <w:t>采用《环境影响评价技术导则 声环境》（HJ2.4-2021）附录A级附录B推荐计算公式进行计算：</w:t>
      </w:r>
    </w:p>
    <w:p w14:paraId="65E1B731">
      <w:pPr>
        <w:pStyle w:val="21"/>
        <w:ind w:firstLine="480"/>
      </w:pPr>
      <w:r>
        <w:rPr>
          <w:rFonts w:hint="eastAsia"/>
        </w:rPr>
        <w:t>1、室外噪声污染源计算公式</w:t>
      </w:r>
    </w:p>
    <w:p w14:paraId="1F3DAFB7">
      <w:pPr>
        <w:pStyle w:val="21"/>
        <w:ind w:firstLine="480"/>
      </w:pPr>
      <w:r>
        <w:rPr>
          <w:rFonts w:hint="eastAsia"/>
        </w:rPr>
        <w:t>（1）基本公式</w:t>
      </w:r>
    </w:p>
    <w:p w14:paraId="1C8ABBF3">
      <w:pPr>
        <w:pStyle w:val="21"/>
        <w:ind w:firstLine="480"/>
      </w:pPr>
      <w:r>
        <w:rPr>
          <w:rFonts w:hint="eastAsia"/>
        </w:rPr>
        <w:t>户外声传播衰减包括几何发散（</w:t>
      </w:r>
      <w:r>
        <w:t>Adiv）、大气吸收（Aatm）、地面效应（Agr）、障碍物屏蔽（Abar）、其</w:t>
      </w:r>
      <w:r>
        <w:rPr>
          <w:rFonts w:hint="eastAsia"/>
        </w:rPr>
        <w:t>他多方面效应（</w:t>
      </w:r>
      <w:r>
        <w:t>Amisc）引起的衰减。</w:t>
      </w:r>
    </w:p>
    <w:p w14:paraId="11592329">
      <w:pPr>
        <w:pStyle w:val="21"/>
        <w:ind w:firstLine="480"/>
      </w:pPr>
      <w:r>
        <w:t>a） 在环境影响评价中，应根据声源声功率级或参考位置处的声压级、户外声传播衰减，计算预</w:t>
      </w:r>
      <w:r>
        <w:rPr>
          <w:rFonts w:hint="eastAsia"/>
        </w:rPr>
        <w:t>测点的声级，分别按式（</w:t>
      </w:r>
      <w:r>
        <w:t>A.1）或式（A.2）计算。</w:t>
      </w:r>
    </w:p>
    <w:p w14:paraId="23A6931E">
      <w:pPr>
        <w:pStyle w:val="21"/>
        <w:ind w:firstLine="480"/>
      </w:pPr>
      <w:r>
        <w:drawing>
          <wp:inline distT="0" distB="0" distL="0" distR="0">
            <wp:extent cx="3599815" cy="219710"/>
            <wp:effectExtent l="0" t="0" r="635" b="8890"/>
            <wp:docPr id="27865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65562" name="图片 1"/>
                    <pic:cNvPicPr>
                      <a:picLocks noChangeAspect="1"/>
                    </pic:cNvPicPr>
                  </pic:nvPicPr>
                  <pic:blipFill>
                    <a:blip r:embed="rId24"/>
                    <a:stretch>
                      <a:fillRect/>
                    </a:stretch>
                  </pic:blipFill>
                  <pic:spPr>
                    <a:xfrm>
                      <a:off x="0" y="0"/>
                      <a:ext cx="3600000" cy="220171"/>
                    </a:xfrm>
                    <a:prstGeom prst="rect">
                      <a:avLst/>
                    </a:prstGeom>
                  </pic:spPr>
                </pic:pic>
              </a:graphicData>
            </a:graphic>
          </wp:inline>
        </w:drawing>
      </w:r>
      <w:r>
        <w:rPr>
          <w:rFonts w:hint="eastAsia"/>
        </w:rPr>
        <w:t xml:space="preserve">   （A.1）</w:t>
      </w:r>
    </w:p>
    <w:p w14:paraId="4866BAB8">
      <w:pPr>
        <w:pStyle w:val="21"/>
        <w:ind w:firstLine="480"/>
      </w:pPr>
      <w:r>
        <w:rPr>
          <w:rFonts w:hint="eastAsia"/>
        </w:rPr>
        <w:t>式中：</w:t>
      </w:r>
      <w:r>
        <w:rPr>
          <w:rFonts w:cs="Times New Roman"/>
          <w:i/>
          <w:iCs/>
        </w:rPr>
        <w:t>L</w:t>
      </w:r>
      <w:r>
        <w:rPr>
          <w:rFonts w:cs="Times New Roman"/>
          <w:i/>
          <w:iCs/>
          <w:sz w:val="14"/>
          <w:szCs w:val="14"/>
        </w:rPr>
        <w:t>p</w:t>
      </w:r>
      <w:r>
        <w:rPr>
          <w:rFonts w:cs="Times New Roman"/>
        </w:rPr>
        <w:t>(</w:t>
      </w:r>
      <w:r>
        <w:rPr>
          <w:rFonts w:cs="Times New Roman"/>
          <w:i/>
          <w:iCs/>
        </w:rPr>
        <w:t>r</w:t>
      </w:r>
      <w:r>
        <w:rPr>
          <w:rFonts w:cs="Times New Roman"/>
        </w:rPr>
        <w:t>) ——</w:t>
      </w:r>
      <w:r>
        <w:rPr>
          <w:rFonts w:hint="eastAsia"/>
        </w:rPr>
        <w:t>预测点处声压级，</w:t>
      </w:r>
      <w:r>
        <w:rPr>
          <w:rFonts w:cs="Times New Roman"/>
        </w:rPr>
        <w:t>dB</w:t>
      </w:r>
      <w:r>
        <w:rPr>
          <w:rFonts w:hint="eastAsia"/>
        </w:rPr>
        <w:t>；</w:t>
      </w:r>
    </w:p>
    <w:p w14:paraId="2815F000">
      <w:pPr>
        <w:pStyle w:val="21"/>
        <w:ind w:firstLine="480"/>
        <w:rPr>
          <w:szCs w:val="24"/>
        </w:rPr>
      </w:pPr>
      <w:r>
        <w:rPr>
          <w:rFonts w:cs="Times New Roman"/>
          <w:i/>
          <w:iCs/>
        </w:rPr>
        <w:t>L</w:t>
      </w:r>
      <w:r>
        <w:rPr>
          <w:rFonts w:cs="Times New Roman"/>
          <w:i/>
          <w:iCs/>
          <w:sz w:val="14"/>
          <w:szCs w:val="14"/>
        </w:rPr>
        <w:t xml:space="preserve">w </w:t>
      </w:r>
      <w:r>
        <w:rPr>
          <w:rFonts w:cs="Times New Roman"/>
        </w:rPr>
        <w:t>——</w:t>
      </w:r>
      <w:r>
        <w:rPr>
          <w:rFonts w:hint="eastAsia"/>
        </w:rPr>
        <w:t>由点声源产生的声功率级（</w:t>
      </w:r>
      <w:r>
        <w:rPr>
          <w:rFonts w:cs="Times New Roman"/>
        </w:rPr>
        <w:t>A</w:t>
      </w:r>
      <w:r>
        <w:rPr>
          <w:rFonts w:hint="eastAsia"/>
        </w:rPr>
        <w:t>计权或倍频带），</w:t>
      </w:r>
      <w:r>
        <w:rPr>
          <w:rFonts w:cs="Times New Roman"/>
        </w:rPr>
        <w:t>dB</w:t>
      </w:r>
      <w:r>
        <w:rPr>
          <w:rFonts w:hint="eastAsia"/>
        </w:rPr>
        <w:t xml:space="preserve">； </w:t>
      </w:r>
    </w:p>
    <w:p w14:paraId="6CA4EA97">
      <w:pPr>
        <w:pStyle w:val="21"/>
        <w:ind w:firstLine="480"/>
        <w:rPr>
          <w:szCs w:val="24"/>
        </w:rPr>
      </w:pPr>
      <w:r>
        <w:rPr>
          <w:rFonts w:cs="Times New Roman"/>
          <w:i/>
          <w:iCs/>
        </w:rPr>
        <w:t>D</w:t>
      </w:r>
      <w:r>
        <w:rPr>
          <w:rFonts w:cs="Times New Roman"/>
          <w:sz w:val="14"/>
          <w:szCs w:val="14"/>
        </w:rPr>
        <w:t xml:space="preserve">C </w:t>
      </w:r>
      <w:r>
        <w:rPr>
          <w:rFonts w:cs="Times New Roman"/>
        </w:rPr>
        <w:t>——</w:t>
      </w:r>
      <w:r>
        <w:rPr>
          <w:rFonts w:hint="eastAsia"/>
        </w:rPr>
        <w:t>指向性校正，它描述点声源的等效连续声压级与产生声功率级</w:t>
      </w:r>
      <w:r>
        <w:rPr>
          <w:rFonts w:cs="Times New Roman"/>
          <w:i/>
          <w:iCs/>
        </w:rPr>
        <w:t>L</w:t>
      </w:r>
      <w:r>
        <w:rPr>
          <w:rFonts w:cs="Times New Roman"/>
          <w:i/>
          <w:iCs/>
          <w:sz w:val="14"/>
          <w:szCs w:val="14"/>
        </w:rPr>
        <w:t>w</w:t>
      </w:r>
      <w:r>
        <w:rPr>
          <w:rFonts w:hint="eastAsia"/>
        </w:rPr>
        <w:t>的全向点声源在规定方向的声级的偏差程度，</w:t>
      </w:r>
      <w:r>
        <w:rPr>
          <w:rFonts w:cs="Times New Roman"/>
        </w:rPr>
        <w:t>dB</w:t>
      </w:r>
      <w:r>
        <w:rPr>
          <w:rFonts w:hint="eastAsia"/>
        </w:rPr>
        <w:t xml:space="preserve">； </w:t>
      </w:r>
    </w:p>
    <w:p w14:paraId="0DC8A4B6">
      <w:pPr>
        <w:pStyle w:val="21"/>
        <w:ind w:firstLine="480"/>
      </w:pPr>
      <w:r>
        <w:rPr>
          <w:i/>
          <w:iCs/>
        </w:rPr>
        <w:t>A</w:t>
      </w:r>
      <w:r>
        <w:rPr>
          <w:i/>
          <w:iCs/>
          <w:vertAlign w:val="subscript"/>
        </w:rPr>
        <w:t>div</w:t>
      </w:r>
      <w:r>
        <w:rPr>
          <w:i/>
          <w:iCs/>
        </w:rPr>
        <w:t xml:space="preserve"> </w:t>
      </w:r>
      <w:r>
        <w:t>——</w:t>
      </w:r>
      <w:r>
        <w:rPr>
          <w:rFonts w:hint="eastAsia"/>
        </w:rPr>
        <w:t>几何发散引起的衰减，</w:t>
      </w:r>
      <w:r>
        <w:t>dB</w:t>
      </w:r>
      <w:r>
        <w:rPr>
          <w:rFonts w:hint="eastAsia"/>
        </w:rPr>
        <w:t xml:space="preserve">； </w:t>
      </w:r>
    </w:p>
    <w:p w14:paraId="65638559">
      <w:pPr>
        <w:pStyle w:val="21"/>
        <w:ind w:firstLine="480"/>
      </w:pPr>
      <w:r>
        <w:rPr>
          <w:i/>
          <w:iCs/>
        </w:rPr>
        <w:t>A</w:t>
      </w:r>
      <w:r>
        <w:rPr>
          <w:i/>
          <w:iCs/>
          <w:vertAlign w:val="subscript"/>
        </w:rPr>
        <w:t>atm</w:t>
      </w:r>
      <w:r>
        <w:t xml:space="preserve"> ——</w:t>
      </w:r>
      <w:r>
        <w:rPr>
          <w:rFonts w:hint="eastAsia"/>
        </w:rPr>
        <w:t>大气吸收引起的衰减，</w:t>
      </w:r>
      <w:r>
        <w:t>dB</w:t>
      </w:r>
      <w:r>
        <w:rPr>
          <w:rFonts w:hint="eastAsia"/>
        </w:rPr>
        <w:t xml:space="preserve">； </w:t>
      </w:r>
    </w:p>
    <w:p w14:paraId="35FFA01E">
      <w:pPr>
        <w:pStyle w:val="21"/>
        <w:ind w:firstLine="480"/>
      </w:pPr>
      <w:r>
        <w:rPr>
          <w:i/>
          <w:iCs/>
        </w:rPr>
        <w:t>A</w:t>
      </w:r>
      <w:r>
        <w:rPr>
          <w:i/>
          <w:iCs/>
          <w:vertAlign w:val="subscript"/>
        </w:rPr>
        <w:t>gr</w:t>
      </w:r>
      <w:r>
        <w:rPr>
          <w:vertAlign w:val="subscript"/>
        </w:rPr>
        <w:t xml:space="preserve"> </w:t>
      </w:r>
      <w:r>
        <w:t>——</w:t>
      </w:r>
      <w:r>
        <w:rPr>
          <w:rFonts w:hint="eastAsia"/>
        </w:rPr>
        <w:t>地面效应引起的衰减，</w:t>
      </w:r>
      <w:r>
        <w:t>dB</w:t>
      </w:r>
      <w:r>
        <w:rPr>
          <w:rFonts w:hint="eastAsia"/>
        </w:rPr>
        <w:t xml:space="preserve">； </w:t>
      </w:r>
    </w:p>
    <w:p w14:paraId="2AAE713F">
      <w:pPr>
        <w:pStyle w:val="21"/>
        <w:ind w:firstLine="480"/>
      </w:pPr>
      <w:r>
        <w:rPr>
          <w:i/>
          <w:iCs/>
        </w:rPr>
        <w:t>A</w:t>
      </w:r>
      <w:r>
        <w:rPr>
          <w:i/>
          <w:iCs/>
          <w:vertAlign w:val="subscript"/>
        </w:rPr>
        <w:t>bar</w:t>
      </w:r>
      <w:r>
        <w:t xml:space="preserve"> ——</w:t>
      </w:r>
      <w:r>
        <w:rPr>
          <w:rFonts w:hint="eastAsia"/>
        </w:rPr>
        <w:t>障碍物屏蔽引起的衰减，</w:t>
      </w:r>
      <w:r>
        <w:t>dB</w:t>
      </w:r>
      <w:r>
        <w:rPr>
          <w:rFonts w:hint="eastAsia"/>
        </w:rPr>
        <w:t xml:space="preserve">； </w:t>
      </w:r>
    </w:p>
    <w:p w14:paraId="013B4945">
      <w:pPr>
        <w:pStyle w:val="21"/>
        <w:ind w:firstLine="480"/>
      </w:pPr>
      <w:r>
        <w:rPr>
          <w:i/>
          <w:iCs/>
        </w:rPr>
        <w:t>A</w:t>
      </w:r>
      <w:r>
        <w:rPr>
          <w:i/>
          <w:iCs/>
          <w:vertAlign w:val="subscript"/>
        </w:rPr>
        <w:t>misc</w:t>
      </w:r>
      <w:r>
        <w:rPr>
          <w:i/>
          <w:iCs/>
        </w:rPr>
        <w:t xml:space="preserve"> </w:t>
      </w:r>
      <w:r>
        <w:t>——</w:t>
      </w:r>
      <w:r>
        <w:rPr>
          <w:rFonts w:hint="eastAsia"/>
        </w:rPr>
        <w:t>其他多方面效应引起的衰减，</w:t>
      </w:r>
      <w:r>
        <w:t>dB</w:t>
      </w:r>
      <w:r>
        <w:rPr>
          <w:rFonts w:hint="eastAsia"/>
        </w:rPr>
        <w:t>。</w:t>
      </w:r>
    </w:p>
    <w:p w14:paraId="5A768533">
      <w:pPr>
        <w:pStyle w:val="21"/>
        <w:ind w:firstLine="480"/>
      </w:pPr>
      <w:r>
        <w:drawing>
          <wp:inline distT="0" distB="0" distL="0" distR="0">
            <wp:extent cx="3599815" cy="201295"/>
            <wp:effectExtent l="0" t="0" r="635" b="8255"/>
            <wp:docPr id="169610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1060" name="图片 1"/>
                    <pic:cNvPicPr>
                      <a:picLocks noChangeAspect="1"/>
                    </pic:cNvPicPr>
                  </pic:nvPicPr>
                  <pic:blipFill>
                    <a:blip r:embed="rId25"/>
                    <a:stretch>
                      <a:fillRect/>
                    </a:stretch>
                  </pic:blipFill>
                  <pic:spPr>
                    <a:xfrm>
                      <a:off x="0" y="0"/>
                      <a:ext cx="3600000" cy="201541"/>
                    </a:xfrm>
                    <a:prstGeom prst="rect">
                      <a:avLst/>
                    </a:prstGeom>
                  </pic:spPr>
                </pic:pic>
              </a:graphicData>
            </a:graphic>
          </wp:inline>
        </w:drawing>
      </w:r>
      <w:r>
        <w:rPr>
          <w:rFonts w:hint="eastAsia"/>
        </w:rPr>
        <w:t xml:space="preserve">    （A.2）</w:t>
      </w:r>
    </w:p>
    <w:p w14:paraId="0FE0EB05">
      <w:pPr>
        <w:pStyle w:val="21"/>
        <w:ind w:firstLine="480"/>
      </w:pPr>
      <w:r>
        <w:rPr>
          <w:rFonts w:hint="eastAsia"/>
        </w:rPr>
        <w:t>式中：</w:t>
      </w:r>
      <w:r>
        <w:rPr>
          <w:i/>
          <w:iCs/>
        </w:rPr>
        <w:t>L</w:t>
      </w:r>
      <w:r>
        <w:rPr>
          <w:i/>
          <w:iCs/>
          <w:vertAlign w:val="subscript"/>
        </w:rPr>
        <w:t>p</w:t>
      </w:r>
      <w:r>
        <w:rPr>
          <w:i/>
          <w:iCs/>
        </w:rPr>
        <w:t xml:space="preserve">(r) </w:t>
      </w:r>
      <w:r>
        <w:t>——</w:t>
      </w:r>
      <w:r>
        <w:rPr>
          <w:rFonts w:hint="eastAsia"/>
        </w:rPr>
        <w:t>预测点处声压级，</w:t>
      </w:r>
      <w:r>
        <w:t>dB</w:t>
      </w:r>
      <w:r>
        <w:rPr>
          <w:rFonts w:hint="eastAsia"/>
        </w:rPr>
        <w:t xml:space="preserve">； </w:t>
      </w:r>
    </w:p>
    <w:p w14:paraId="42A4D690">
      <w:pPr>
        <w:pStyle w:val="21"/>
        <w:ind w:firstLine="480"/>
      </w:pPr>
      <w:r>
        <w:rPr>
          <w:i/>
          <w:iCs/>
        </w:rPr>
        <w:t>L</w:t>
      </w:r>
      <w:r>
        <w:rPr>
          <w:i/>
          <w:iCs/>
          <w:vertAlign w:val="subscript"/>
        </w:rPr>
        <w:t>p</w:t>
      </w:r>
      <w:r>
        <w:rPr>
          <w:i/>
          <w:iCs/>
        </w:rPr>
        <w:t>(r0)</w:t>
      </w:r>
      <w:r>
        <w:t xml:space="preserve"> ——</w:t>
      </w:r>
      <w:r>
        <w:rPr>
          <w:rFonts w:hint="eastAsia"/>
        </w:rPr>
        <w:t>参考位置</w:t>
      </w:r>
      <w:r>
        <w:t>r0</w:t>
      </w:r>
      <w:r>
        <w:rPr>
          <w:rFonts w:hint="eastAsia"/>
        </w:rPr>
        <w:t>处的声压级，</w:t>
      </w:r>
      <w:r>
        <w:t>dB</w:t>
      </w:r>
      <w:r>
        <w:rPr>
          <w:rFonts w:hint="eastAsia"/>
        </w:rPr>
        <w:t xml:space="preserve">； </w:t>
      </w:r>
    </w:p>
    <w:p w14:paraId="48C8318C">
      <w:pPr>
        <w:pStyle w:val="21"/>
        <w:ind w:firstLine="480"/>
      </w:pPr>
      <w:r>
        <w:rPr>
          <w:i/>
          <w:iCs/>
        </w:rPr>
        <w:t>D</w:t>
      </w:r>
      <w:r>
        <w:rPr>
          <w:i/>
          <w:iCs/>
          <w:vertAlign w:val="subscript"/>
        </w:rPr>
        <w:t>C</w:t>
      </w:r>
      <w:r>
        <w:rPr>
          <w:i/>
          <w:iCs/>
        </w:rPr>
        <w:t xml:space="preserve"> </w:t>
      </w:r>
      <w:r>
        <w:t>——</w:t>
      </w:r>
      <w:r>
        <w:rPr>
          <w:rFonts w:hint="eastAsia"/>
        </w:rPr>
        <w:t>指向性校正，它描述点声源的等效连续声压级与产生声功率级</w:t>
      </w:r>
      <w:r>
        <w:t>Lw</w:t>
      </w:r>
      <w:r>
        <w:rPr>
          <w:rFonts w:hint="eastAsia"/>
        </w:rPr>
        <w:t xml:space="preserve">的全向点声源在规定方 </w:t>
      </w:r>
    </w:p>
    <w:p w14:paraId="43219C87">
      <w:pPr>
        <w:pStyle w:val="21"/>
        <w:ind w:firstLine="480"/>
      </w:pPr>
      <w:r>
        <w:rPr>
          <w:rFonts w:hint="eastAsia"/>
        </w:rPr>
        <w:t>向的声级的偏差程度，</w:t>
      </w:r>
      <w:r>
        <w:t>dB</w:t>
      </w:r>
      <w:r>
        <w:rPr>
          <w:rFonts w:hint="eastAsia"/>
        </w:rPr>
        <w:t xml:space="preserve">； </w:t>
      </w:r>
    </w:p>
    <w:p w14:paraId="7B7ECA9F">
      <w:pPr>
        <w:pStyle w:val="21"/>
        <w:ind w:firstLine="480"/>
      </w:pPr>
      <w:r>
        <w:rPr>
          <w:i/>
          <w:iCs/>
        </w:rPr>
        <w:t>A</w:t>
      </w:r>
      <w:r>
        <w:rPr>
          <w:i/>
          <w:iCs/>
          <w:vertAlign w:val="subscript"/>
        </w:rPr>
        <w:t>div</w:t>
      </w:r>
      <w:r>
        <w:t xml:space="preserve"> ——</w:t>
      </w:r>
      <w:r>
        <w:rPr>
          <w:rFonts w:hint="eastAsia"/>
        </w:rPr>
        <w:t>几何发散引起的衰减，</w:t>
      </w:r>
      <w:r>
        <w:t>dB</w:t>
      </w:r>
      <w:r>
        <w:rPr>
          <w:rFonts w:hint="eastAsia"/>
        </w:rPr>
        <w:t xml:space="preserve">； </w:t>
      </w:r>
    </w:p>
    <w:p w14:paraId="4A301EF6">
      <w:pPr>
        <w:pStyle w:val="21"/>
        <w:ind w:firstLine="480"/>
      </w:pPr>
      <w:r>
        <w:rPr>
          <w:i/>
          <w:iCs/>
        </w:rPr>
        <w:t>A</w:t>
      </w:r>
      <w:r>
        <w:rPr>
          <w:i/>
          <w:iCs/>
          <w:vertAlign w:val="subscript"/>
        </w:rPr>
        <w:t xml:space="preserve">atm </w:t>
      </w:r>
      <w:r>
        <w:t>——</w:t>
      </w:r>
      <w:r>
        <w:rPr>
          <w:rFonts w:hint="eastAsia"/>
        </w:rPr>
        <w:t>大气吸收引起的衰减，</w:t>
      </w:r>
      <w:r>
        <w:t>dB</w:t>
      </w:r>
      <w:r>
        <w:rPr>
          <w:rFonts w:hint="eastAsia"/>
        </w:rPr>
        <w:t xml:space="preserve">； </w:t>
      </w:r>
    </w:p>
    <w:p w14:paraId="33209E1B">
      <w:pPr>
        <w:pStyle w:val="21"/>
        <w:ind w:firstLine="480"/>
      </w:pPr>
      <w:r>
        <w:rPr>
          <w:i/>
          <w:iCs/>
        </w:rPr>
        <w:t>A</w:t>
      </w:r>
      <w:r>
        <w:rPr>
          <w:i/>
          <w:iCs/>
          <w:vertAlign w:val="subscript"/>
        </w:rPr>
        <w:t>gr</w:t>
      </w:r>
      <w:r>
        <w:rPr>
          <w:vertAlign w:val="subscript"/>
        </w:rPr>
        <w:t xml:space="preserve"> </w:t>
      </w:r>
      <w:r>
        <w:t>——</w:t>
      </w:r>
      <w:r>
        <w:rPr>
          <w:rFonts w:hint="eastAsia"/>
        </w:rPr>
        <w:t>地面效应引起的衰减，</w:t>
      </w:r>
      <w:r>
        <w:t>dB</w:t>
      </w:r>
      <w:r>
        <w:rPr>
          <w:rFonts w:hint="eastAsia"/>
        </w:rPr>
        <w:t xml:space="preserve">； </w:t>
      </w:r>
    </w:p>
    <w:p w14:paraId="055E4A61">
      <w:pPr>
        <w:pStyle w:val="21"/>
        <w:ind w:firstLine="480"/>
      </w:pPr>
      <w:r>
        <w:rPr>
          <w:i/>
          <w:iCs/>
        </w:rPr>
        <w:t>A</w:t>
      </w:r>
      <w:r>
        <w:rPr>
          <w:i/>
          <w:iCs/>
          <w:vertAlign w:val="subscript"/>
        </w:rPr>
        <w:t>bar</w:t>
      </w:r>
      <w:r>
        <w:rPr>
          <w:i/>
          <w:iCs/>
        </w:rPr>
        <w:t xml:space="preserve"> </w:t>
      </w:r>
      <w:r>
        <w:t>——</w:t>
      </w:r>
      <w:r>
        <w:rPr>
          <w:rFonts w:hint="eastAsia"/>
        </w:rPr>
        <w:t>障碍物屏蔽引起的衰减，</w:t>
      </w:r>
      <w:r>
        <w:t>dB</w:t>
      </w:r>
      <w:r>
        <w:rPr>
          <w:rFonts w:hint="eastAsia"/>
        </w:rPr>
        <w:t xml:space="preserve">； </w:t>
      </w:r>
    </w:p>
    <w:p w14:paraId="0D58132E">
      <w:pPr>
        <w:pStyle w:val="21"/>
        <w:ind w:firstLine="480"/>
      </w:pPr>
      <w:r>
        <w:rPr>
          <w:i/>
          <w:iCs/>
        </w:rPr>
        <w:t>A</w:t>
      </w:r>
      <w:r>
        <w:rPr>
          <w:i/>
          <w:iCs/>
          <w:vertAlign w:val="subscript"/>
        </w:rPr>
        <w:t>misc</w:t>
      </w:r>
      <w:r>
        <w:rPr>
          <w:i/>
          <w:iCs/>
        </w:rPr>
        <w:t xml:space="preserve"> </w:t>
      </w:r>
      <w:r>
        <w:t>——</w:t>
      </w:r>
      <w:r>
        <w:rPr>
          <w:rFonts w:hint="eastAsia"/>
        </w:rPr>
        <w:t>其他多方面效应引起的衰减，</w:t>
      </w:r>
      <w:r>
        <w:t>dB</w:t>
      </w:r>
      <w:r>
        <w:rPr>
          <w:rFonts w:hint="eastAsia"/>
        </w:rPr>
        <w:t>。</w:t>
      </w:r>
    </w:p>
    <w:p w14:paraId="06E47813">
      <w:pPr>
        <w:pStyle w:val="21"/>
        <w:ind w:firstLine="480"/>
        <w:rPr>
          <w:sz w:val="21"/>
        </w:rPr>
      </w:pPr>
      <w:r>
        <w:rPr>
          <w:rFonts w:cs="Times New Roman"/>
        </w:rPr>
        <w:t>b</w:t>
      </w:r>
      <w:r>
        <w:rPr>
          <w:rFonts w:hint="eastAsia"/>
        </w:rPr>
        <w:t>）预测点的</w:t>
      </w:r>
      <w:r>
        <w:rPr>
          <w:rFonts w:cs="Times New Roman"/>
        </w:rPr>
        <w:t>A</w:t>
      </w:r>
      <w:r>
        <w:rPr>
          <w:rFonts w:hint="eastAsia"/>
        </w:rPr>
        <w:t>声级</w:t>
      </w:r>
      <w:r>
        <w:rPr>
          <w:rFonts w:cs="Times New Roman"/>
          <w:i/>
          <w:iCs/>
        </w:rPr>
        <w:t>L</w:t>
      </w:r>
      <w:r>
        <w:rPr>
          <w:rFonts w:cs="Times New Roman"/>
          <w:sz w:val="14"/>
          <w:szCs w:val="14"/>
        </w:rPr>
        <w:t>A</w:t>
      </w:r>
      <w:r>
        <w:rPr>
          <w:rFonts w:cs="Times New Roman"/>
        </w:rPr>
        <w:t>(</w:t>
      </w:r>
      <w:r>
        <w:rPr>
          <w:rFonts w:cs="Times New Roman"/>
          <w:i/>
          <w:iCs/>
        </w:rPr>
        <w:t>r</w:t>
      </w:r>
      <w:r>
        <w:rPr>
          <w:rFonts w:cs="Times New Roman"/>
        </w:rPr>
        <w:t>)</w:t>
      </w:r>
      <w:r>
        <w:rPr>
          <w:rFonts w:hint="eastAsia"/>
        </w:rPr>
        <w:t>可按式（</w:t>
      </w:r>
      <w:r>
        <w:rPr>
          <w:rFonts w:cs="Times New Roman"/>
        </w:rPr>
        <w:t>A.3</w:t>
      </w:r>
      <w:r>
        <w:rPr>
          <w:rFonts w:hint="eastAsia"/>
        </w:rPr>
        <w:t xml:space="preserve">）计算，即将 </w:t>
      </w:r>
      <w:r>
        <w:rPr>
          <w:rFonts w:cs="Times New Roman"/>
        </w:rPr>
        <w:t xml:space="preserve">8 </w:t>
      </w:r>
      <w:r>
        <w:rPr>
          <w:rFonts w:hint="eastAsia"/>
        </w:rPr>
        <w:t>个倍频带声压级合成，计算出预测点的</w:t>
      </w:r>
      <w:r>
        <w:rPr>
          <w:rFonts w:cs="Times New Roman"/>
        </w:rPr>
        <w:t>A</w:t>
      </w:r>
      <w:r>
        <w:rPr>
          <w:rFonts w:hint="eastAsia"/>
          <w:sz w:val="21"/>
        </w:rPr>
        <w:t>声级</w:t>
      </w:r>
      <w:r>
        <w:rPr>
          <w:rFonts w:cs="Times New Roman"/>
          <w:sz w:val="21"/>
        </w:rPr>
        <w:t>[</w:t>
      </w:r>
      <w:r>
        <w:rPr>
          <w:rFonts w:cs="Times New Roman"/>
          <w:i/>
          <w:iCs/>
          <w:sz w:val="21"/>
        </w:rPr>
        <w:t>L</w:t>
      </w:r>
      <w:r>
        <w:rPr>
          <w:rFonts w:cs="Times New Roman"/>
          <w:sz w:val="14"/>
          <w:szCs w:val="14"/>
        </w:rPr>
        <w:t>A</w:t>
      </w:r>
      <w:r>
        <w:rPr>
          <w:rFonts w:cs="Times New Roman"/>
          <w:sz w:val="21"/>
        </w:rPr>
        <w:t>(</w:t>
      </w:r>
      <w:r>
        <w:rPr>
          <w:rFonts w:cs="Times New Roman"/>
          <w:i/>
          <w:iCs/>
          <w:sz w:val="21"/>
        </w:rPr>
        <w:t>r</w:t>
      </w:r>
      <w:r>
        <w:rPr>
          <w:rFonts w:cs="Times New Roman"/>
          <w:sz w:val="21"/>
        </w:rPr>
        <w:t>)]</w:t>
      </w:r>
      <w:r>
        <w:rPr>
          <w:rFonts w:hint="eastAsia"/>
          <w:sz w:val="21"/>
        </w:rPr>
        <w:t>。</w:t>
      </w:r>
    </w:p>
    <w:p w14:paraId="05DF1266">
      <w:pPr>
        <w:pStyle w:val="21"/>
        <w:ind w:firstLine="480"/>
      </w:pPr>
      <w:r>
        <w:drawing>
          <wp:inline distT="0" distB="0" distL="0" distR="0">
            <wp:extent cx="2546985" cy="575945"/>
            <wp:effectExtent l="0" t="0" r="5715" b="14605"/>
            <wp:docPr id="1632007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007889" name="图片 1"/>
                    <pic:cNvPicPr>
                      <a:picLocks noChangeAspect="1"/>
                    </pic:cNvPicPr>
                  </pic:nvPicPr>
                  <pic:blipFill>
                    <a:blip r:embed="rId26"/>
                    <a:stretch>
                      <a:fillRect/>
                    </a:stretch>
                  </pic:blipFill>
                  <pic:spPr>
                    <a:xfrm>
                      <a:off x="0" y="0"/>
                      <a:ext cx="2547525" cy="576000"/>
                    </a:xfrm>
                    <a:prstGeom prst="rect">
                      <a:avLst/>
                    </a:prstGeom>
                  </pic:spPr>
                </pic:pic>
              </a:graphicData>
            </a:graphic>
          </wp:inline>
        </w:drawing>
      </w:r>
      <w:r>
        <w:rPr>
          <w:rFonts w:hint="eastAsia"/>
        </w:rPr>
        <w:t xml:space="preserve">    （A.3）</w:t>
      </w:r>
    </w:p>
    <w:p w14:paraId="59D18DF2">
      <w:pPr>
        <w:pStyle w:val="21"/>
        <w:ind w:firstLine="480"/>
      </w:pPr>
      <w:r>
        <w:rPr>
          <w:rFonts w:hint="eastAsia"/>
        </w:rPr>
        <w:t>式中：</w:t>
      </w:r>
      <w:r>
        <w:rPr>
          <w:i/>
          <w:iCs/>
        </w:rPr>
        <w:t>L</w:t>
      </w:r>
      <w:r>
        <w:rPr>
          <w:i/>
          <w:iCs/>
          <w:vertAlign w:val="subscript"/>
        </w:rPr>
        <w:t>A</w:t>
      </w:r>
      <w:r>
        <w:rPr>
          <w:i/>
          <w:iCs/>
        </w:rPr>
        <w:t xml:space="preserve">(r) </w:t>
      </w:r>
      <w:r>
        <w:t>——</w:t>
      </w:r>
      <w:r>
        <w:rPr>
          <w:rFonts w:hint="eastAsia"/>
        </w:rPr>
        <w:t xml:space="preserve">距声源 </w:t>
      </w:r>
      <w:r>
        <w:t xml:space="preserve">r </w:t>
      </w:r>
      <w:r>
        <w:rPr>
          <w:rFonts w:hint="eastAsia"/>
        </w:rPr>
        <w:t xml:space="preserve">处的 </w:t>
      </w:r>
      <w:r>
        <w:t xml:space="preserve">A </w:t>
      </w:r>
      <w:r>
        <w:rPr>
          <w:rFonts w:hint="eastAsia"/>
        </w:rPr>
        <w:t>声级，</w:t>
      </w:r>
      <w:r>
        <w:t>dB(A)</w:t>
      </w:r>
      <w:r>
        <w:rPr>
          <w:rFonts w:hint="eastAsia"/>
        </w:rPr>
        <w:t xml:space="preserve">； </w:t>
      </w:r>
    </w:p>
    <w:p w14:paraId="573F7446">
      <w:pPr>
        <w:pStyle w:val="21"/>
        <w:ind w:firstLine="480"/>
      </w:pPr>
      <w:r>
        <w:rPr>
          <w:i/>
          <w:iCs/>
        </w:rPr>
        <w:t>L</w:t>
      </w:r>
      <w:r>
        <w:rPr>
          <w:i/>
          <w:iCs/>
          <w:vertAlign w:val="subscript"/>
        </w:rPr>
        <w:t>pi</w:t>
      </w:r>
      <w:r>
        <w:rPr>
          <w:i/>
          <w:iCs/>
        </w:rPr>
        <w:t xml:space="preserve">(r) </w:t>
      </w:r>
      <w:r>
        <w:t>——</w:t>
      </w:r>
      <w:r>
        <w:rPr>
          <w:rFonts w:hint="eastAsia"/>
        </w:rPr>
        <w:t>预测点（</w:t>
      </w:r>
      <w:r>
        <w:t>r</w:t>
      </w:r>
      <w:r>
        <w:rPr>
          <w:rFonts w:hint="eastAsia"/>
        </w:rPr>
        <w:t xml:space="preserve">）处，第 </w:t>
      </w:r>
      <w:r>
        <w:t xml:space="preserve">i </w:t>
      </w:r>
      <w:r>
        <w:rPr>
          <w:rFonts w:hint="eastAsia"/>
        </w:rPr>
        <w:t>倍频带声压级，</w:t>
      </w:r>
      <w:r>
        <w:t>dB</w:t>
      </w:r>
      <w:r>
        <w:rPr>
          <w:rFonts w:hint="eastAsia"/>
        </w:rPr>
        <w:t xml:space="preserve">； </w:t>
      </w:r>
    </w:p>
    <w:p w14:paraId="385C88D5">
      <w:pPr>
        <w:pStyle w:val="21"/>
        <w:ind w:firstLine="480"/>
      </w:pPr>
      <w:r>
        <w:rPr>
          <w:i/>
          <w:iCs/>
        </w:rPr>
        <w:t>ΔL</w:t>
      </w:r>
      <w:r>
        <w:rPr>
          <w:i/>
          <w:iCs/>
          <w:vertAlign w:val="subscript"/>
        </w:rPr>
        <w:t>i</w:t>
      </w:r>
      <w:r>
        <w:rPr>
          <w:i/>
          <w:iCs/>
        </w:rPr>
        <w:t xml:space="preserve"> </w:t>
      </w:r>
      <w:r>
        <w:t>——</w:t>
      </w:r>
      <w:r>
        <w:rPr>
          <w:rFonts w:hint="eastAsia"/>
        </w:rPr>
        <w:t xml:space="preserve">第 </w:t>
      </w:r>
      <w:r>
        <w:t xml:space="preserve">i </w:t>
      </w:r>
      <w:r>
        <w:rPr>
          <w:rFonts w:hint="eastAsia"/>
        </w:rPr>
        <w:t xml:space="preserve">倍频带的 </w:t>
      </w:r>
      <w:r>
        <w:t xml:space="preserve">A </w:t>
      </w:r>
      <w:r>
        <w:rPr>
          <w:rFonts w:hint="eastAsia"/>
        </w:rPr>
        <w:t>计权网络修正值，</w:t>
      </w:r>
      <w:r>
        <w:t>dB</w:t>
      </w:r>
      <w:r>
        <w:rPr>
          <w:rFonts w:hint="eastAsia"/>
        </w:rPr>
        <w:t xml:space="preserve">。 </w:t>
      </w:r>
    </w:p>
    <w:p w14:paraId="50FA2054">
      <w:pPr>
        <w:pStyle w:val="21"/>
        <w:ind w:firstLine="480"/>
      </w:pPr>
      <w:r>
        <w:t>c</w:t>
      </w:r>
      <w:r>
        <w:rPr>
          <w:rFonts w:hint="eastAsia"/>
        </w:rPr>
        <w:t>）在只考虑几何发散衰减时，可按式（</w:t>
      </w:r>
      <w:r>
        <w:t>A.4</w:t>
      </w:r>
      <w:r>
        <w:rPr>
          <w:rFonts w:hint="eastAsia"/>
        </w:rPr>
        <w:t>）计算。</w:t>
      </w:r>
    </w:p>
    <w:p w14:paraId="26B72543">
      <w:pPr>
        <w:pStyle w:val="21"/>
        <w:ind w:firstLine="480"/>
      </w:pPr>
      <w:r>
        <w:drawing>
          <wp:inline distT="0" distB="0" distL="0" distR="0">
            <wp:extent cx="1560830" cy="287655"/>
            <wp:effectExtent l="0" t="0" r="1270" b="17145"/>
            <wp:docPr id="19538367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836771" name="图片 1"/>
                    <pic:cNvPicPr>
                      <a:picLocks noChangeAspect="1"/>
                    </pic:cNvPicPr>
                  </pic:nvPicPr>
                  <pic:blipFill>
                    <a:blip r:embed="rId27"/>
                    <a:stretch>
                      <a:fillRect/>
                    </a:stretch>
                  </pic:blipFill>
                  <pic:spPr>
                    <a:xfrm>
                      <a:off x="0" y="0"/>
                      <a:ext cx="1561444" cy="288000"/>
                    </a:xfrm>
                    <a:prstGeom prst="rect">
                      <a:avLst/>
                    </a:prstGeom>
                  </pic:spPr>
                </pic:pic>
              </a:graphicData>
            </a:graphic>
          </wp:inline>
        </w:drawing>
      </w:r>
      <w:r>
        <w:rPr>
          <w:rFonts w:hint="eastAsia"/>
        </w:rPr>
        <w:t xml:space="preserve">    （A.4）</w:t>
      </w:r>
    </w:p>
    <w:p w14:paraId="5B1D40A6">
      <w:pPr>
        <w:pStyle w:val="21"/>
        <w:ind w:firstLine="480"/>
      </w:pPr>
      <w:r>
        <w:rPr>
          <w:rFonts w:hint="eastAsia"/>
        </w:rPr>
        <w:t>式中：</w:t>
      </w:r>
      <w:r>
        <w:rPr>
          <w:i/>
          <w:iCs/>
        </w:rPr>
        <w:t>L</w:t>
      </w:r>
      <w:r>
        <w:rPr>
          <w:i/>
          <w:iCs/>
          <w:vertAlign w:val="subscript"/>
        </w:rPr>
        <w:t>A</w:t>
      </w:r>
      <w:r>
        <w:rPr>
          <w:i/>
          <w:iCs/>
        </w:rPr>
        <w:t>(r)</w:t>
      </w:r>
      <w:r>
        <w:t xml:space="preserve"> ——</w:t>
      </w:r>
      <w:r>
        <w:rPr>
          <w:rFonts w:hint="eastAsia"/>
        </w:rPr>
        <w:t xml:space="preserve">距声源 </w:t>
      </w:r>
      <w:r>
        <w:t xml:space="preserve">r </w:t>
      </w:r>
      <w:r>
        <w:rPr>
          <w:rFonts w:hint="eastAsia"/>
        </w:rPr>
        <w:t xml:space="preserve">处的 </w:t>
      </w:r>
      <w:r>
        <w:t xml:space="preserve">A </w:t>
      </w:r>
      <w:r>
        <w:rPr>
          <w:rFonts w:hint="eastAsia"/>
        </w:rPr>
        <w:t>声级，</w:t>
      </w:r>
      <w:r>
        <w:t>dB(A)</w:t>
      </w:r>
      <w:r>
        <w:rPr>
          <w:rFonts w:hint="eastAsia"/>
        </w:rPr>
        <w:t xml:space="preserve">； </w:t>
      </w:r>
    </w:p>
    <w:p w14:paraId="0C45FAD2">
      <w:pPr>
        <w:pStyle w:val="21"/>
        <w:ind w:firstLine="480"/>
      </w:pPr>
      <w:r>
        <w:rPr>
          <w:i/>
          <w:iCs/>
        </w:rPr>
        <w:t>L</w:t>
      </w:r>
      <w:r>
        <w:rPr>
          <w:i/>
          <w:iCs/>
          <w:vertAlign w:val="subscript"/>
        </w:rPr>
        <w:t>A</w:t>
      </w:r>
      <w:r>
        <w:rPr>
          <w:i/>
          <w:iCs/>
        </w:rPr>
        <w:t xml:space="preserve">(r0) </w:t>
      </w:r>
      <w:r>
        <w:t>——</w:t>
      </w:r>
      <w:r>
        <w:rPr>
          <w:rFonts w:hint="eastAsia"/>
        </w:rPr>
        <w:t xml:space="preserve">参考位置 </w:t>
      </w:r>
      <w:r>
        <w:t>r0</w:t>
      </w:r>
      <w:r>
        <w:rPr>
          <w:rFonts w:hint="eastAsia"/>
        </w:rPr>
        <w:t xml:space="preserve">处的 </w:t>
      </w:r>
      <w:r>
        <w:t xml:space="preserve">A </w:t>
      </w:r>
      <w:r>
        <w:rPr>
          <w:rFonts w:hint="eastAsia"/>
        </w:rPr>
        <w:t>声级，</w:t>
      </w:r>
      <w:r>
        <w:t>dB(A)</w:t>
      </w:r>
      <w:r>
        <w:rPr>
          <w:rFonts w:hint="eastAsia"/>
        </w:rPr>
        <w:t xml:space="preserve">； </w:t>
      </w:r>
    </w:p>
    <w:p w14:paraId="211E53B8">
      <w:pPr>
        <w:pStyle w:val="21"/>
        <w:rPr>
          <w:rFonts w:hint="eastAsia"/>
        </w:rPr>
      </w:pPr>
      <w:r>
        <w:rPr>
          <w:i/>
          <w:iCs/>
        </w:rPr>
        <w:t>A</w:t>
      </w:r>
      <w:r>
        <w:rPr>
          <w:i/>
          <w:iCs/>
          <w:vertAlign w:val="subscript"/>
        </w:rPr>
        <w:t>div</w:t>
      </w:r>
      <w:r>
        <w:rPr>
          <w:i/>
          <w:iCs/>
        </w:rPr>
        <w:t xml:space="preserve"> </w:t>
      </w:r>
      <w:r>
        <w:t>——</w:t>
      </w:r>
      <w:r>
        <w:rPr>
          <w:rFonts w:hint="eastAsia"/>
        </w:rPr>
        <w:t>几何发散引起的衰减，</w:t>
      </w:r>
      <w:r>
        <w:t>dB</w:t>
      </w:r>
      <w:r>
        <w:rPr>
          <w:rFonts w:hint="eastAsia"/>
        </w:rPr>
        <w:t>。</w:t>
      </w:r>
    </w:p>
    <w:p w14:paraId="41AD7DEA">
      <w:pPr>
        <w:pStyle w:val="21"/>
        <w:ind w:firstLine="480"/>
      </w:pPr>
      <w:r>
        <w:rPr>
          <w:rFonts w:hint="eastAsia"/>
          <w:lang w:val="en-US" w:eastAsia="zh-CN"/>
        </w:rPr>
        <w:t>2</w:t>
      </w:r>
      <w:r>
        <w:rPr>
          <w:rFonts w:hint="eastAsia"/>
        </w:rPr>
        <w:t>、工业企业噪声计算</w:t>
      </w:r>
    </w:p>
    <w:p w14:paraId="37C45126">
      <w:pPr>
        <w:pStyle w:val="21"/>
        <w:ind w:firstLine="480"/>
      </w:pPr>
      <w:r>
        <w:rPr>
          <w:rFonts w:hint="eastAsia"/>
        </w:rPr>
        <w:t>设第</w:t>
      </w:r>
      <w:r>
        <w:t>i</w:t>
      </w:r>
      <w:r>
        <w:rPr>
          <w:rFonts w:hint="eastAsia"/>
        </w:rPr>
        <w:t>个室外声源在预测点产生的</w:t>
      </w:r>
      <w:r>
        <w:t>A</w:t>
      </w:r>
      <w:r>
        <w:rPr>
          <w:rFonts w:hint="eastAsia"/>
        </w:rPr>
        <w:t>声级为</w:t>
      </w:r>
      <w:r>
        <w:t>LAi</w:t>
      </w:r>
      <w:r>
        <w:rPr>
          <w:rFonts w:hint="eastAsia"/>
        </w:rPr>
        <w:t>，在</w:t>
      </w:r>
      <w:r>
        <w:t>T</w:t>
      </w:r>
      <w:r>
        <w:rPr>
          <w:rFonts w:hint="eastAsia"/>
        </w:rPr>
        <w:t>时间内该声源工作时间为</w:t>
      </w:r>
      <w:r>
        <w:t>t i</w:t>
      </w:r>
      <w:r>
        <w:rPr>
          <w:rFonts w:hint="eastAsia"/>
        </w:rPr>
        <w:t>；第</w:t>
      </w:r>
      <w:r>
        <w:t>j</w:t>
      </w:r>
      <w:r>
        <w:rPr>
          <w:rFonts w:hint="eastAsia"/>
        </w:rPr>
        <w:t>个等效室外声源在预测点产生的</w:t>
      </w:r>
      <w:r>
        <w:t>A</w:t>
      </w:r>
      <w:r>
        <w:rPr>
          <w:rFonts w:hint="eastAsia"/>
        </w:rPr>
        <w:t>声级为</w:t>
      </w:r>
      <w:r>
        <w:t>LAj</w:t>
      </w:r>
      <w:r>
        <w:rPr>
          <w:rFonts w:hint="eastAsia"/>
        </w:rPr>
        <w:t>，在</w:t>
      </w:r>
      <w:r>
        <w:t>T</w:t>
      </w:r>
      <w:r>
        <w:rPr>
          <w:rFonts w:hint="eastAsia"/>
        </w:rPr>
        <w:t>时间内该声源工作时间为</w:t>
      </w:r>
      <w:r>
        <w:t>tj</w:t>
      </w:r>
      <w:r>
        <w:rPr>
          <w:rFonts w:hint="eastAsia"/>
        </w:rPr>
        <w:t>，则拟建工程声源对预测点产生的贡献值（</w:t>
      </w:r>
      <w:r>
        <w:t>Leqg</w:t>
      </w:r>
      <w:r>
        <w:rPr>
          <w:rFonts w:hint="eastAsia"/>
        </w:rPr>
        <w:t>）为：</w:t>
      </w:r>
    </w:p>
    <w:p w14:paraId="016A022A">
      <w:pPr>
        <w:pStyle w:val="21"/>
        <w:ind w:firstLine="480"/>
      </w:pPr>
      <w:r>
        <w:drawing>
          <wp:inline distT="0" distB="0" distL="0" distR="0">
            <wp:extent cx="3260090" cy="611505"/>
            <wp:effectExtent l="0" t="0" r="16510" b="17145"/>
            <wp:docPr id="19165729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572901" name="图片 1"/>
                    <pic:cNvPicPr>
                      <a:picLocks noChangeAspect="1"/>
                    </pic:cNvPicPr>
                  </pic:nvPicPr>
                  <pic:blipFill>
                    <a:blip r:embed="rId28"/>
                    <a:stretch>
                      <a:fillRect/>
                    </a:stretch>
                  </pic:blipFill>
                  <pic:spPr>
                    <a:xfrm>
                      <a:off x="0" y="0"/>
                      <a:ext cx="3260597" cy="612000"/>
                    </a:xfrm>
                    <a:prstGeom prst="rect">
                      <a:avLst/>
                    </a:prstGeom>
                  </pic:spPr>
                </pic:pic>
              </a:graphicData>
            </a:graphic>
          </wp:inline>
        </w:drawing>
      </w:r>
      <w:r>
        <w:rPr>
          <w:rFonts w:hint="eastAsia"/>
        </w:rPr>
        <w:t xml:space="preserve">    （B.6）</w:t>
      </w:r>
    </w:p>
    <w:p w14:paraId="5AE1B330">
      <w:pPr>
        <w:pStyle w:val="21"/>
        <w:ind w:firstLine="480"/>
      </w:pPr>
      <w:r>
        <w:rPr>
          <w:rFonts w:hint="eastAsia"/>
        </w:rPr>
        <w:t>式中：</w:t>
      </w:r>
      <w:r>
        <w:rPr>
          <w:i/>
          <w:iCs/>
        </w:rPr>
        <w:t>L</w:t>
      </w:r>
      <w:r>
        <w:rPr>
          <w:i/>
          <w:iCs/>
          <w:vertAlign w:val="subscript"/>
        </w:rPr>
        <w:t>eqg</w:t>
      </w:r>
      <w:r>
        <w:t>——</w:t>
      </w:r>
      <w:r>
        <w:rPr>
          <w:rFonts w:hint="eastAsia"/>
        </w:rPr>
        <w:t>建设项目声源在预测点产生的噪声贡献值，</w:t>
      </w:r>
      <w:r>
        <w:t>dB</w:t>
      </w:r>
      <w:r>
        <w:rPr>
          <w:rFonts w:hint="eastAsia"/>
        </w:rPr>
        <w:t xml:space="preserve">； </w:t>
      </w:r>
    </w:p>
    <w:p w14:paraId="1FA41F8B">
      <w:pPr>
        <w:pStyle w:val="21"/>
        <w:ind w:firstLine="480"/>
      </w:pPr>
      <w:r>
        <w:rPr>
          <w:i/>
          <w:iCs/>
        </w:rPr>
        <w:t>T</w:t>
      </w:r>
      <w:r>
        <w:t xml:space="preserve"> ——</w:t>
      </w:r>
      <w:r>
        <w:rPr>
          <w:rFonts w:hint="eastAsia"/>
        </w:rPr>
        <w:t>用于计算等效声级的时间，</w:t>
      </w:r>
      <w:r>
        <w:t>s</w:t>
      </w:r>
      <w:r>
        <w:rPr>
          <w:rFonts w:hint="eastAsia"/>
        </w:rPr>
        <w:t xml:space="preserve">； </w:t>
      </w:r>
    </w:p>
    <w:p w14:paraId="765AD409">
      <w:pPr>
        <w:pStyle w:val="21"/>
        <w:ind w:firstLine="480"/>
      </w:pPr>
      <w:r>
        <w:rPr>
          <w:i/>
          <w:iCs/>
        </w:rPr>
        <w:t xml:space="preserve">N </w:t>
      </w:r>
      <w:r>
        <w:t>——</w:t>
      </w:r>
      <w:r>
        <w:rPr>
          <w:rFonts w:hint="eastAsia"/>
        </w:rPr>
        <w:t xml:space="preserve">室外声源个数； </w:t>
      </w:r>
    </w:p>
    <w:p w14:paraId="1585547C">
      <w:pPr>
        <w:pStyle w:val="21"/>
        <w:ind w:firstLine="480"/>
      </w:pPr>
      <w:r>
        <w:rPr>
          <w:i/>
          <w:iCs/>
        </w:rPr>
        <w:t>t</w:t>
      </w:r>
      <w:r>
        <w:rPr>
          <w:i/>
          <w:iCs/>
          <w:vertAlign w:val="subscript"/>
        </w:rPr>
        <w:t xml:space="preserve"> i </w:t>
      </w:r>
      <w:r>
        <w:t>——</w:t>
      </w:r>
      <w:r>
        <w:rPr>
          <w:rFonts w:hint="eastAsia"/>
        </w:rPr>
        <w:t xml:space="preserve">在 </w:t>
      </w:r>
      <w:r>
        <w:t xml:space="preserve">T </w:t>
      </w:r>
      <w:r>
        <w:rPr>
          <w:rFonts w:hint="eastAsia"/>
        </w:rPr>
        <w:t xml:space="preserve">时间内 </w:t>
      </w:r>
      <w:r>
        <w:t xml:space="preserve">i </w:t>
      </w:r>
      <w:r>
        <w:rPr>
          <w:rFonts w:hint="eastAsia"/>
        </w:rPr>
        <w:t>声源工作时间，</w:t>
      </w:r>
      <w:r>
        <w:t>s</w:t>
      </w:r>
      <w:r>
        <w:rPr>
          <w:rFonts w:hint="eastAsia"/>
        </w:rPr>
        <w:t xml:space="preserve">； </w:t>
      </w:r>
    </w:p>
    <w:p w14:paraId="3706CC39">
      <w:pPr>
        <w:pStyle w:val="21"/>
        <w:ind w:firstLine="480"/>
      </w:pPr>
      <w:r>
        <w:rPr>
          <w:i/>
          <w:iCs/>
        </w:rPr>
        <w:t xml:space="preserve">M </w:t>
      </w:r>
      <w:r>
        <w:t>——</w:t>
      </w:r>
      <w:r>
        <w:rPr>
          <w:rFonts w:hint="eastAsia"/>
        </w:rPr>
        <w:t xml:space="preserve">等效室外声源个数； </w:t>
      </w:r>
    </w:p>
    <w:p w14:paraId="1AD582DF">
      <w:pPr>
        <w:pStyle w:val="21"/>
        <w:ind w:firstLine="480"/>
      </w:pPr>
      <w:r>
        <w:rPr>
          <w:i/>
          <w:iCs/>
        </w:rPr>
        <w:t>t</w:t>
      </w:r>
      <w:r>
        <w:rPr>
          <w:i/>
          <w:iCs/>
          <w:vertAlign w:val="subscript"/>
        </w:rPr>
        <w:t xml:space="preserve"> j </w:t>
      </w:r>
      <w:r>
        <w:t>——</w:t>
      </w:r>
      <w:r>
        <w:rPr>
          <w:rFonts w:hint="eastAsia"/>
        </w:rPr>
        <w:t xml:space="preserve">在 </w:t>
      </w:r>
      <w:r>
        <w:t xml:space="preserve">T </w:t>
      </w:r>
      <w:r>
        <w:rPr>
          <w:rFonts w:hint="eastAsia"/>
        </w:rPr>
        <w:t xml:space="preserve">时间内 </w:t>
      </w:r>
      <w:r>
        <w:t xml:space="preserve">j </w:t>
      </w:r>
      <w:r>
        <w:rPr>
          <w:rFonts w:hint="eastAsia"/>
        </w:rPr>
        <w:t>声源工作时间，</w:t>
      </w:r>
      <w:r>
        <w:t>s</w:t>
      </w:r>
      <w:r>
        <w:rPr>
          <w:rFonts w:hint="eastAsia"/>
        </w:rPr>
        <w:t>。</w:t>
      </w:r>
    </w:p>
    <w:p w14:paraId="0C0A6887">
      <w:pPr>
        <w:pStyle w:val="21"/>
        <w:ind w:firstLine="480"/>
      </w:pPr>
      <w:r>
        <w:rPr>
          <w:rFonts w:hint="eastAsia"/>
          <w:lang w:val="en-US" w:eastAsia="zh-CN"/>
        </w:rPr>
        <w:t>3</w:t>
      </w:r>
      <w:r>
        <w:rPr>
          <w:rFonts w:hint="eastAsia"/>
        </w:rPr>
        <w:t>、预测值计算</w:t>
      </w:r>
    </w:p>
    <w:p w14:paraId="0658A969">
      <w:pPr>
        <w:pStyle w:val="21"/>
        <w:ind w:firstLine="480"/>
      </w:pPr>
      <w:r>
        <w:rPr>
          <w:rFonts w:hint="eastAsia"/>
        </w:rPr>
        <w:t>噪声预测值（</w:t>
      </w:r>
      <w:r>
        <w:t>Leq</w:t>
      </w:r>
      <w:r>
        <w:rPr>
          <w:rFonts w:hint="eastAsia"/>
        </w:rPr>
        <w:t>）计算公式为：</w:t>
      </w:r>
    </w:p>
    <w:p w14:paraId="1267D4A0">
      <w:pPr>
        <w:pStyle w:val="21"/>
        <w:ind w:firstLine="480"/>
      </w:pPr>
      <w:r>
        <w:drawing>
          <wp:inline distT="0" distB="0" distL="0" distR="0">
            <wp:extent cx="2125345" cy="359410"/>
            <wp:effectExtent l="0" t="0" r="8255" b="2540"/>
            <wp:docPr id="15980810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081003" name="图片 1"/>
                    <pic:cNvPicPr>
                      <a:picLocks noChangeAspect="1"/>
                    </pic:cNvPicPr>
                  </pic:nvPicPr>
                  <pic:blipFill>
                    <a:blip r:embed="rId29"/>
                    <a:stretch>
                      <a:fillRect/>
                    </a:stretch>
                  </pic:blipFill>
                  <pic:spPr>
                    <a:xfrm>
                      <a:off x="0" y="0"/>
                      <a:ext cx="2125385" cy="360000"/>
                    </a:xfrm>
                    <a:prstGeom prst="rect">
                      <a:avLst/>
                    </a:prstGeom>
                  </pic:spPr>
                </pic:pic>
              </a:graphicData>
            </a:graphic>
          </wp:inline>
        </w:drawing>
      </w:r>
    </w:p>
    <w:p w14:paraId="3454A96F">
      <w:pPr>
        <w:pStyle w:val="21"/>
        <w:ind w:firstLine="480"/>
      </w:pPr>
      <w:r>
        <w:rPr>
          <w:rFonts w:hint="eastAsia"/>
        </w:rPr>
        <w:t>式中：</w:t>
      </w:r>
      <w:r>
        <w:rPr>
          <w:i/>
          <w:iCs/>
        </w:rPr>
        <w:t>L</w:t>
      </w:r>
      <w:r>
        <w:rPr>
          <w:i/>
          <w:iCs/>
          <w:vertAlign w:val="subscript"/>
        </w:rPr>
        <w:t>eq</w:t>
      </w:r>
      <w:r>
        <w:rPr>
          <w:vertAlign w:val="subscript"/>
        </w:rPr>
        <w:t xml:space="preserve"> </w:t>
      </w:r>
      <w:r>
        <w:t>——预测点的噪声预测值，dB；</w:t>
      </w:r>
    </w:p>
    <w:p w14:paraId="2EF4E0B7">
      <w:pPr>
        <w:pStyle w:val="21"/>
        <w:ind w:firstLine="480"/>
      </w:pPr>
      <w:r>
        <w:rPr>
          <w:i/>
          <w:iCs/>
        </w:rPr>
        <w:t>L</w:t>
      </w:r>
      <w:r>
        <w:rPr>
          <w:i/>
          <w:iCs/>
          <w:vertAlign w:val="subscript"/>
        </w:rPr>
        <w:t>eqg</w:t>
      </w:r>
      <w:r>
        <w:t>——建设项目声源在预测点产生的噪声贡献值，dB；</w:t>
      </w:r>
    </w:p>
    <w:p w14:paraId="44E0C56E">
      <w:pPr>
        <w:pStyle w:val="21"/>
      </w:pPr>
      <w:r>
        <w:rPr>
          <w:i/>
          <w:iCs/>
        </w:rPr>
        <w:t>L</w:t>
      </w:r>
      <w:r>
        <w:rPr>
          <w:i/>
          <w:iCs/>
          <w:vertAlign w:val="subscript"/>
        </w:rPr>
        <w:t>eqb</w:t>
      </w:r>
      <w:r>
        <w:t>——预测点的背景噪声值，dB。</w:t>
      </w:r>
    </w:p>
    <w:p w14:paraId="7201CD19">
      <w:pPr>
        <w:pStyle w:val="36"/>
        <w:bidi w:val="0"/>
        <w:rPr>
          <w:rFonts w:hint="eastAsia"/>
          <w:lang w:val="en-US" w:eastAsia="zh-CN"/>
        </w:rPr>
      </w:pPr>
      <w:r>
        <w:rPr>
          <w:rFonts w:hint="eastAsia"/>
          <w:lang w:val="en-US" w:eastAsia="zh-CN"/>
        </w:rPr>
        <w:t>5.2.4.3预测内容</w:t>
      </w:r>
    </w:p>
    <w:p w14:paraId="048BBFF5">
      <w:pPr>
        <w:pStyle w:val="21"/>
        <w:ind w:firstLine="480"/>
      </w:pPr>
      <w:r>
        <w:rPr>
          <w:rFonts w:hint="eastAsia"/>
        </w:rPr>
        <w:t>本项目为改扩建项目，根据《环境影响评价技术导则 声环境》（HJ2.4-2021）本次预测内容主要包括：</w:t>
      </w:r>
    </w:p>
    <w:p w14:paraId="004FD341">
      <w:pPr>
        <w:pStyle w:val="21"/>
        <w:ind w:firstLine="480"/>
      </w:pPr>
      <w:r>
        <w:rPr>
          <w:rFonts w:hint="eastAsia"/>
        </w:rPr>
        <w:t>1）预测建设项目运营期所有声环境保护目标处的噪声贡献值和预测值，评价其超标和达标情况；</w:t>
      </w:r>
    </w:p>
    <w:p w14:paraId="2B8FD540">
      <w:pPr>
        <w:pStyle w:val="21"/>
        <w:rPr>
          <w:rFonts w:hint="eastAsia"/>
        </w:rPr>
      </w:pPr>
      <w:r>
        <w:rPr>
          <w:rFonts w:hint="eastAsia"/>
        </w:rPr>
        <w:t>2）预测和评价建设项目运营期厂界噪声贡献值，并叠加现状值，评价厂界噪声超标和达标情况。</w:t>
      </w:r>
    </w:p>
    <w:p w14:paraId="568B79DE">
      <w:pPr>
        <w:pStyle w:val="36"/>
        <w:bidi w:val="0"/>
        <w:rPr>
          <w:rFonts w:hint="eastAsia"/>
          <w:lang w:val="en-US" w:eastAsia="zh-CN"/>
        </w:rPr>
      </w:pPr>
      <w:r>
        <w:rPr>
          <w:rFonts w:hint="eastAsia"/>
          <w:lang w:val="en-US" w:eastAsia="zh-CN"/>
        </w:rPr>
        <w:t>5.2.4.4预测结果及评价</w:t>
      </w:r>
    </w:p>
    <w:p w14:paraId="5172CB40">
      <w:pPr>
        <w:pStyle w:val="21"/>
        <w:rPr>
          <w:rFonts w:hint="eastAsia"/>
        </w:rPr>
      </w:pPr>
      <w:r>
        <w:rPr>
          <w:rFonts w:hint="eastAsia"/>
        </w:rPr>
        <w:t>厂界噪声预测结果详见表5.2-</w:t>
      </w:r>
      <w:r>
        <w:rPr>
          <w:rFonts w:hint="eastAsia"/>
          <w:lang w:val="en-US" w:eastAsia="zh-CN"/>
        </w:rPr>
        <w:t>18</w:t>
      </w:r>
      <w:r>
        <w:rPr>
          <w:rFonts w:hint="eastAsia"/>
        </w:rPr>
        <w:t>，周边敏感目标预测结果详见表5.2-</w:t>
      </w:r>
      <w:r>
        <w:rPr>
          <w:rFonts w:hint="eastAsia"/>
          <w:lang w:val="en-US" w:eastAsia="zh-CN"/>
        </w:rPr>
        <w:t>19</w:t>
      </w:r>
      <w:r>
        <w:rPr>
          <w:rFonts w:hint="eastAsia"/>
        </w:rPr>
        <w:t>。</w:t>
      </w:r>
    </w:p>
    <w:p w14:paraId="03380727">
      <w:pPr>
        <w:pStyle w:val="21"/>
        <w:rPr>
          <w:rFonts w:hint="eastAsia"/>
        </w:rPr>
        <w:sectPr>
          <w:pgSz w:w="11906" w:h="16838"/>
          <w:pgMar w:top="1440" w:right="1800" w:bottom="1440" w:left="1800" w:header="851" w:footer="992" w:gutter="0"/>
          <w:pgNumType w:fmt="decimal"/>
          <w:cols w:space="425" w:num="1"/>
          <w:docGrid w:type="lines" w:linePitch="312" w:charSpace="0"/>
        </w:sectPr>
      </w:pPr>
    </w:p>
    <w:p w14:paraId="0452CA23">
      <w:pPr>
        <w:pStyle w:val="23"/>
        <w:ind w:firstLine="480"/>
      </w:pPr>
      <w:r>
        <w:rPr>
          <w:rFonts w:hint="eastAsia"/>
        </w:rPr>
        <w:t>表5.2-1</w:t>
      </w:r>
      <w:r>
        <w:rPr>
          <w:rFonts w:hint="eastAsia"/>
          <w:lang w:val="en-US" w:eastAsia="zh-CN"/>
        </w:rPr>
        <w:t>8</w:t>
      </w:r>
      <w:r>
        <w:rPr>
          <w:rFonts w:hint="eastAsia"/>
        </w:rPr>
        <w:t xml:space="preserve">  厂界噪声预测结果表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5"/>
        <w:gridCol w:w="2115"/>
        <w:gridCol w:w="1693"/>
        <w:gridCol w:w="1693"/>
        <w:gridCol w:w="1693"/>
        <w:gridCol w:w="1693"/>
        <w:gridCol w:w="2112"/>
      </w:tblGrid>
      <w:tr w14:paraId="31A2B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vAlign w:val="center"/>
          </w:tcPr>
          <w:p w14:paraId="77214CEB">
            <w:pPr>
              <w:pStyle w:val="31"/>
              <w:rPr>
                <w:rFonts w:cs="Times New Roman"/>
                <w:kern w:val="0"/>
              </w:rPr>
            </w:pPr>
            <w:r>
              <w:rPr>
                <w:rFonts w:hint="eastAsia" w:cs="Times New Roman"/>
                <w:kern w:val="0"/>
              </w:rPr>
              <w:t>预测点位</w:t>
            </w:r>
          </w:p>
        </w:tc>
        <w:tc>
          <w:tcPr>
            <w:tcW w:w="746" w:type="pct"/>
            <w:vAlign w:val="center"/>
          </w:tcPr>
          <w:p w14:paraId="5390DA04">
            <w:pPr>
              <w:pStyle w:val="31"/>
              <w:rPr>
                <w:rFonts w:cs="Times New Roman"/>
                <w:kern w:val="0"/>
              </w:rPr>
            </w:pPr>
            <w:r>
              <w:rPr>
                <w:rFonts w:hint="eastAsia" w:cs="Times New Roman"/>
                <w:kern w:val="0"/>
              </w:rPr>
              <w:t>预测时段</w:t>
            </w:r>
          </w:p>
        </w:tc>
        <w:tc>
          <w:tcPr>
            <w:tcW w:w="597" w:type="pct"/>
            <w:vAlign w:val="center"/>
          </w:tcPr>
          <w:p w14:paraId="7708B506">
            <w:pPr>
              <w:pStyle w:val="31"/>
              <w:rPr>
                <w:rFonts w:cs="Times New Roman"/>
                <w:kern w:val="0"/>
              </w:rPr>
            </w:pPr>
            <w:r>
              <w:rPr>
                <w:rFonts w:hint="eastAsia" w:cs="Times New Roman"/>
                <w:kern w:val="0"/>
              </w:rPr>
              <w:t>现状值dB(A)</w:t>
            </w:r>
          </w:p>
        </w:tc>
        <w:tc>
          <w:tcPr>
            <w:tcW w:w="597" w:type="pct"/>
            <w:vAlign w:val="center"/>
          </w:tcPr>
          <w:p w14:paraId="2415A4C3">
            <w:pPr>
              <w:pStyle w:val="31"/>
              <w:rPr>
                <w:rFonts w:cs="Times New Roman"/>
                <w:kern w:val="0"/>
              </w:rPr>
            </w:pPr>
            <w:r>
              <w:rPr>
                <w:rFonts w:hint="eastAsia" w:cs="Times New Roman"/>
                <w:kern w:val="0"/>
              </w:rPr>
              <w:t>贡献值dB(A)</w:t>
            </w:r>
          </w:p>
        </w:tc>
        <w:tc>
          <w:tcPr>
            <w:tcW w:w="597" w:type="pct"/>
            <w:vAlign w:val="center"/>
          </w:tcPr>
          <w:p w14:paraId="6D5E90CC">
            <w:pPr>
              <w:pStyle w:val="31"/>
              <w:rPr>
                <w:rFonts w:cs="Times New Roman"/>
                <w:kern w:val="0"/>
              </w:rPr>
            </w:pPr>
            <w:r>
              <w:rPr>
                <w:rFonts w:hint="eastAsia" w:cs="Times New Roman"/>
                <w:kern w:val="0"/>
              </w:rPr>
              <w:t>预测值dB(A)</w:t>
            </w:r>
          </w:p>
        </w:tc>
        <w:tc>
          <w:tcPr>
            <w:tcW w:w="597" w:type="pct"/>
            <w:vAlign w:val="center"/>
          </w:tcPr>
          <w:p w14:paraId="5FE5D8A5">
            <w:pPr>
              <w:pStyle w:val="31"/>
              <w:rPr>
                <w:rFonts w:cs="Times New Roman"/>
                <w:kern w:val="0"/>
              </w:rPr>
            </w:pPr>
            <w:r>
              <w:rPr>
                <w:rFonts w:hint="eastAsia" w:cs="Times New Roman"/>
                <w:kern w:val="0"/>
              </w:rPr>
              <w:t>标准值dB(A)</w:t>
            </w:r>
          </w:p>
        </w:tc>
        <w:tc>
          <w:tcPr>
            <w:tcW w:w="745" w:type="pct"/>
            <w:vAlign w:val="center"/>
          </w:tcPr>
          <w:p w14:paraId="0FB51992">
            <w:pPr>
              <w:pStyle w:val="31"/>
              <w:rPr>
                <w:rFonts w:cs="Times New Roman"/>
                <w:kern w:val="0"/>
              </w:rPr>
            </w:pPr>
            <w:r>
              <w:rPr>
                <w:rFonts w:hint="eastAsia" w:cs="Times New Roman"/>
                <w:kern w:val="0"/>
              </w:rPr>
              <w:t>达标情况</w:t>
            </w:r>
          </w:p>
        </w:tc>
      </w:tr>
      <w:tr w14:paraId="7E16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vAlign w:val="center"/>
          </w:tcPr>
          <w:p w14:paraId="498190C9">
            <w:pPr>
              <w:pStyle w:val="31"/>
              <w:rPr>
                <w:rFonts w:cs="Times New Roman"/>
                <w:kern w:val="0"/>
              </w:rPr>
            </w:pPr>
            <w:r>
              <w:rPr>
                <w:rFonts w:hint="eastAsia" w:cs="Times New Roman"/>
                <w:kern w:val="0"/>
              </w:rPr>
              <w:t>厂界东侧外1m</w:t>
            </w:r>
          </w:p>
        </w:tc>
        <w:tc>
          <w:tcPr>
            <w:tcW w:w="746" w:type="pct"/>
            <w:vAlign w:val="center"/>
          </w:tcPr>
          <w:p w14:paraId="0A9C5BD2">
            <w:pPr>
              <w:pStyle w:val="31"/>
              <w:rPr>
                <w:rFonts w:cs="Times New Roman"/>
                <w:kern w:val="0"/>
              </w:rPr>
            </w:pPr>
            <w:r>
              <w:rPr>
                <w:rFonts w:hint="eastAsia" w:cs="Times New Roman"/>
                <w:kern w:val="0"/>
              </w:rPr>
              <w:t>昼间</w:t>
            </w:r>
          </w:p>
        </w:tc>
        <w:tc>
          <w:tcPr>
            <w:tcW w:w="597" w:type="pct"/>
            <w:vAlign w:val="center"/>
          </w:tcPr>
          <w:p w14:paraId="2B7B30E0">
            <w:pPr>
              <w:pStyle w:val="31"/>
              <w:rPr>
                <w:rFonts w:hint="default" w:eastAsia="宋体" w:cs="Times New Roman"/>
                <w:kern w:val="0"/>
                <w:lang w:val="en-US" w:eastAsia="zh-CN"/>
              </w:rPr>
            </w:pPr>
            <w:r>
              <w:rPr>
                <w:rFonts w:hint="eastAsia" w:cs="Times New Roman"/>
                <w:kern w:val="0"/>
                <w:lang w:val="en-US" w:eastAsia="zh-CN"/>
              </w:rPr>
              <w:t>57</w:t>
            </w:r>
          </w:p>
        </w:tc>
        <w:tc>
          <w:tcPr>
            <w:tcW w:w="597" w:type="pct"/>
            <w:vAlign w:val="center"/>
          </w:tcPr>
          <w:p w14:paraId="300ED3F3">
            <w:pPr>
              <w:pStyle w:val="31"/>
              <w:rPr>
                <w:rFonts w:hint="default" w:eastAsia="宋体" w:cs="Times New Roman"/>
                <w:kern w:val="0"/>
                <w:lang w:val="en-US" w:eastAsia="zh-CN"/>
              </w:rPr>
            </w:pPr>
            <w:r>
              <w:rPr>
                <w:rFonts w:hint="eastAsia" w:cs="Times New Roman"/>
                <w:kern w:val="0"/>
                <w:lang w:val="en-US" w:eastAsia="zh-CN"/>
              </w:rPr>
              <w:t>51.8</w:t>
            </w:r>
          </w:p>
        </w:tc>
        <w:tc>
          <w:tcPr>
            <w:tcW w:w="597" w:type="pct"/>
            <w:vAlign w:val="center"/>
          </w:tcPr>
          <w:p w14:paraId="43E5CB32">
            <w:pPr>
              <w:pStyle w:val="31"/>
              <w:rPr>
                <w:rFonts w:hint="default" w:eastAsia="宋体" w:cs="Times New Roman"/>
                <w:kern w:val="0"/>
                <w:lang w:val="en-US" w:eastAsia="zh-CN"/>
              </w:rPr>
            </w:pPr>
            <w:r>
              <w:rPr>
                <w:rFonts w:hint="eastAsia" w:cs="Times New Roman"/>
                <w:kern w:val="0"/>
                <w:lang w:val="en-US" w:eastAsia="zh-CN"/>
              </w:rPr>
              <w:t>58.15</w:t>
            </w:r>
          </w:p>
        </w:tc>
        <w:tc>
          <w:tcPr>
            <w:tcW w:w="597" w:type="pct"/>
            <w:vAlign w:val="center"/>
          </w:tcPr>
          <w:p w14:paraId="61B126A9">
            <w:pPr>
              <w:pStyle w:val="31"/>
              <w:rPr>
                <w:rFonts w:hint="default" w:eastAsia="宋体" w:cs="Times New Roman"/>
                <w:kern w:val="0"/>
                <w:lang w:val="en-US" w:eastAsia="zh-CN"/>
              </w:rPr>
            </w:pPr>
            <w:r>
              <w:rPr>
                <w:rFonts w:hint="eastAsia" w:cs="Times New Roman"/>
                <w:kern w:val="0"/>
                <w:lang w:val="en-US" w:eastAsia="zh-CN"/>
              </w:rPr>
              <w:t>60</w:t>
            </w:r>
          </w:p>
        </w:tc>
        <w:tc>
          <w:tcPr>
            <w:tcW w:w="745" w:type="pct"/>
            <w:vAlign w:val="center"/>
          </w:tcPr>
          <w:p w14:paraId="64251801">
            <w:pPr>
              <w:pStyle w:val="31"/>
              <w:rPr>
                <w:rFonts w:cs="Times New Roman"/>
                <w:kern w:val="0"/>
              </w:rPr>
            </w:pPr>
            <w:r>
              <w:rPr>
                <w:rFonts w:hint="eastAsia" w:cs="Times New Roman"/>
                <w:kern w:val="0"/>
              </w:rPr>
              <w:t>达标</w:t>
            </w:r>
          </w:p>
        </w:tc>
      </w:tr>
      <w:tr w14:paraId="455A3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vAlign w:val="center"/>
          </w:tcPr>
          <w:p w14:paraId="2043E39F">
            <w:pPr>
              <w:pStyle w:val="31"/>
              <w:rPr>
                <w:rFonts w:cs="Times New Roman"/>
                <w:kern w:val="0"/>
              </w:rPr>
            </w:pPr>
            <w:r>
              <w:rPr>
                <w:rFonts w:hint="eastAsia" w:cs="Times New Roman"/>
                <w:kern w:val="0"/>
              </w:rPr>
              <w:t>厂界南侧外1m</w:t>
            </w:r>
          </w:p>
        </w:tc>
        <w:tc>
          <w:tcPr>
            <w:tcW w:w="746" w:type="pct"/>
            <w:vAlign w:val="center"/>
          </w:tcPr>
          <w:p w14:paraId="678006DA">
            <w:pPr>
              <w:pStyle w:val="31"/>
              <w:rPr>
                <w:rFonts w:cs="Times New Roman"/>
                <w:kern w:val="0"/>
              </w:rPr>
            </w:pPr>
            <w:r>
              <w:rPr>
                <w:rFonts w:hint="eastAsia" w:cs="Times New Roman"/>
                <w:kern w:val="0"/>
              </w:rPr>
              <w:t>昼间</w:t>
            </w:r>
          </w:p>
        </w:tc>
        <w:tc>
          <w:tcPr>
            <w:tcW w:w="597" w:type="pct"/>
            <w:vAlign w:val="center"/>
          </w:tcPr>
          <w:p w14:paraId="3593CCF6">
            <w:pPr>
              <w:pStyle w:val="31"/>
              <w:rPr>
                <w:rFonts w:hint="default" w:eastAsia="宋体" w:cs="Times New Roman"/>
                <w:kern w:val="0"/>
                <w:lang w:val="en-US" w:eastAsia="zh-CN"/>
              </w:rPr>
            </w:pPr>
            <w:r>
              <w:rPr>
                <w:rFonts w:hint="eastAsia" w:cs="Times New Roman"/>
                <w:kern w:val="0"/>
                <w:lang w:val="en-US" w:eastAsia="zh-CN"/>
              </w:rPr>
              <w:t>54</w:t>
            </w:r>
          </w:p>
        </w:tc>
        <w:tc>
          <w:tcPr>
            <w:tcW w:w="597" w:type="pct"/>
            <w:vAlign w:val="center"/>
          </w:tcPr>
          <w:p w14:paraId="022AC533">
            <w:pPr>
              <w:pStyle w:val="31"/>
              <w:rPr>
                <w:rFonts w:hint="default" w:eastAsia="宋体" w:cs="Times New Roman"/>
                <w:kern w:val="0"/>
                <w:lang w:val="en-US" w:eastAsia="zh-CN"/>
              </w:rPr>
            </w:pPr>
            <w:r>
              <w:rPr>
                <w:rFonts w:hint="eastAsia" w:cs="Times New Roman"/>
                <w:kern w:val="0"/>
                <w:lang w:val="en-US" w:eastAsia="zh-CN"/>
              </w:rPr>
              <w:t>52.7</w:t>
            </w:r>
          </w:p>
        </w:tc>
        <w:tc>
          <w:tcPr>
            <w:tcW w:w="597" w:type="pct"/>
            <w:vAlign w:val="center"/>
          </w:tcPr>
          <w:p w14:paraId="3DDBE21C">
            <w:pPr>
              <w:pStyle w:val="31"/>
              <w:rPr>
                <w:rFonts w:hint="default" w:eastAsia="宋体" w:cs="Times New Roman"/>
                <w:kern w:val="0"/>
                <w:lang w:val="en-US" w:eastAsia="zh-CN"/>
              </w:rPr>
            </w:pPr>
            <w:r>
              <w:rPr>
                <w:rFonts w:hint="eastAsia" w:cs="Times New Roman"/>
                <w:kern w:val="0"/>
                <w:lang w:val="en-US" w:eastAsia="zh-CN"/>
              </w:rPr>
              <w:t>56.41</w:t>
            </w:r>
          </w:p>
        </w:tc>
        <w:tc>
          <w:tcPr>
            <w:tcW w:w="597" w:type="pct"/>
            <w:vAlign w:val="center"/>
          </w:tcPr>
          <w:p w14:paraId="377E28F0">
            <w:pPr>
              <w:pStyle w:val="31"/>
              <w:rPr>
                <w:rFonts w:hint="default" w:eastAsia="宋体" w:cs="Times New Roman"/>
                <w:kern w:val="0"/>
                <w:lang w:val="en-US" w:eastAsia="zh-CN"/>
              </w:rPr>
            </w:pPr>
            <w:r>
              <w:rPr>
                <w:rFonts w:hint="eastAsia" w:cs="Times New Roman"/>
                <w:kern w:val="0"/>
                <w:lang w:val="en-US" w:eastAsia="zh-CN"/>
              </w:rPr>
              <w:t>60</w:t>
            </w:r>
          </w:p>
        </w:tc>
        <w:tc>
          <w:tcPr>
            <w:tcW w:w="745" w:type="pct"/>
          </w:tcPr>
          <w:p w14:paraId="7DF544B8">
            <w:pPr>
              <w:pStyle w:val="31"/>
              <w:rPr>
                <w:rFonts w:cs="Times New Roman"/>
                <w:kern w:val="0"/>
              </w:rPr>
            </w:pPr>
            <w:r>
              <w:rPr>
                <w:rFonts w:hint="eastAsia" w:cs="Times New Roman"/>
                <w:kern w:val="0"/>
              </w:rPr>
              <w:t>达标</w:t>
            </w:r>
          </w:p>
        </w:tc>
      </w:tr>
      <w:tr w14:paraId="06FE6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vAlign w:val="center"/>
          </w:tcPr>
          <w:p w14:paraId="5FF020D7">
            <w:pPr>
              <w:pStyle w:val="31"/>
              <w:rPr>
                <w:rFonts w:cs="Times New Roman"/>
                <w:kern w:val="0"/>
              </w:rPr>
            </w:pPr>
            <w:r>
              <w:rPr>
                <w:rFonts w:hint="eastAsia" w:cs="Times New Roman"/>
                <w:kern w:val="0"/>
              </w:rPr>
              <w:t>厂界西侧外1m</w:t>
            </w:r>
          </w:p>
        </w:tc>
        <w:tc>
          <w:tcPr>
            <w:tcW w:w="746" w:type="pct"/>
            <w:vAlign w:val="center"/>
          </w:tcPr>
          <w:p w14:paraId="1A28BDDC">
            <w:pPr>
              <w:pStyle w:val="31"/>
              <w:rPr>
                <w:rFonts w:cs="Times New Roman"/>
                <w:kern w:val="0"/>
              </w:rPr>
            </w:pPr>
            <w:r>
              <w:rPr>
                <w:rFonts w:hint="eastAsia" w:cs="Times New Roman"/>
                <w:kern w:val="0"/>
              </w:rPr>
              <w:t>昼间</w:t>
            </w:r>
          </w:p>
        </w:tc>
        <w:tc>
          <w:tcPr>
            <w:tcW w:w="597" w:type="pct"/>
            <w:vAlign w:val="center"/>
          </w:tcPr>
          <w:p w14:paraId="28086E06">
            <w:pPr>
              <w:pStyle w:val="31"/>
              <w:rPr>
                <w:rFonts w:hint="default" w:eastAsia="宋体" w:cs="Times New Roman"/>
                <w:kern w:val="0"/>
                <w:lang w:val="en-US" w:eastAsia="zh-CN"/>
              </w:rPr>
            </w:pPr>
            <w:r>
              <w:rPr>
                <w:rFonts w:hint="eastAsia" w:cs="Times New Roman"/>
                <w:kern w:val="0"/>
                <w:lang w:val="en-US" w:eastAsia="zh-CN"/>
              </w:rPr>
              <w:t>54</w:t>
            </w:r>
          </w:p>
        </w:tc>
        <w:tc>
          <w:tcPr>
            <w:tcW w:w="597" w:type="pct"/>
            <w:vAlign w:val="center"/>
          </w:tcPr>
          <w:p w14:paraId="6671B27F">
            <w:pPr>
              <w:pStyle w:val="31"/>
              <w:rPr>
                <w:rFonts w:hint="default" w:eastAsia="宋体" w:cs="Times New Roman"/>
                <w:kern w:val="0"/>
                <w:lang w:val="en-US" w:eastAsia="zh-CN"/>
              </w:rPr>
            </w:pPr>
            <w:r>
              <w:rPr>
                <w:rFonts w:hint="eastAsia" w:cs="Times New Roman"/>
                <w:kern w:val="0"/>
                <w:lang w:val="en-US" w:eastAsia="zh-CN"/>
              </w:rPr>
              <w:t>48.7</w:t>
            </w:r>
          </w:p>
        </w:tc>
        <w:tc>
          <w:tcPr>
            <w:tcW w:w="597" w:type="pct"/>
            <w:vAlign w:val="center"/>
          </w:tcPr>
          <w:p w14:paraId="32D99591">
            <w:pPr>
              <w:pStyle w:val="31"/>
              <w:rPr>
                <w:rFonts w:hint="default" w:eastAsia="宋体" w:cs="Times New Roman"/>
                <w:kern w:val="0"/>
                <w:lang w:val="en-US" w:eastAsia="zh-CN"/>
              </w:rPr>
            </w:pPr>
            <w:r>
              <w:rPr>
                <w:rFonts w:hint="eastAsia" w:cs="Times New Roman"/>
                <w:kern w:val="0"/>
                <w:lang w:val="en-US" w:eastAsia="zh-CN"/>
              </w:rPr>
              <w:t>55.12</w:t>
            </w:r>
          </w:p>
        </w:tc>
        <w:tc>
          <w:tcPr>
            <w:tcW w:w="597" w:type="pct"/>
            <w:vAlign w:val="center"/>
          </w:tcPr>
          <w:p w14:paraId="604BB6F0">
            <w:pPr>
              <w:pStyle w:val="31"/>
              <w:rPr>
                <w:rFonts w:hint="default" w:eastAsia="宋体" w:cs="Times New Roman"/>
                <w:kern w:val="0"/>
                <w:lang w:val="en-US" w:eastAsia="zh-CN"/>
              </w:rPr>
            </w:pPr>
            <w:r>
              <w:rPr>
                <w:rFonts w:hint="eastAsia" w:cs="Times New Roman"/>
                <w:kern w:val="0"/>
                <w:lang w:val="en-US" w:eastAsia="zh-CN"/>
              </w:rPr>
              <w:t>60</w:t>
            </w:r>
          </w:p>
        </w:tc>
        <w:tc>
          <w:tcPr>
            <w:tcW w:w="745" w:type="pct"/>
          </w:tcPr>
          <w:p w14:paraId="53B5F82B">
            <w:pPr>
              <w:pStyle w:val="31"/>
              <w:rPr>
                <w:rFonts w:cs="Times New Roman"/>
                <w:kern w:val="0"/>
              </w:rPr>
            </w:pPr>
            <w:r>
              <w:rPr>
                <w:rFonts w:hint="eastAsia" w:cs="Times New Roman"/>
                <w:kern w:val="0"/>
              </w:rPr>
              <w:t>达标</w:t>
            </w:r>
          </w:p>
        </w:tc>
      </w:tr>
      <w:tr w14:paraId="5898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pct"/>
            <w:vAlign w:val="center"/>
          </w:tcPr>
          <w:p w14:paraId="7FC66474">
            <w:pPr>
              <w:pStyle w:val="31"/>
              <w:rPr>
                <w:rFonts w:cs="Times New Roman"/>
                <w:kern w:val="0"/>
              </w:rPr>
            </w:pPr>
            <w:r>
              <w:rPr>
                <w:rFonts w:hint="eastAsia" w:cs="Times New Roman"/>
                <w:kern w:val="0"/>
              </w:rPr>
              <w:t>厂界北侧外1m</w:t>
            </w:r>
          </w:p>
        </w:tc>
        <w:tc>
          <w:tcPr>
            <w:tcW w:w="746" w:type="pct"/>
            <w:vAlign w:val="center"/>
          </w:tcPr>
          <w:p w14:paraId="7908B511">
            <w:pPr>
              <w:pStyle w:val="31"/>
              <w:rPr>
                <w:rFonts w:cs="Times New Roman"/>
                <w:kern w:val="0"/>
              </w:rPr>
            </w:pPr>
            <w:r>
              <w:rPr>
                <w:rFonts w:hint="eastAsia" w:cs="Times New Roman"/>
                <w:kern w:val="0"/>
              </w:rPr>
              <w:t>昼间</w:t>
            </w:r>
          </w:p>
        </w:tc>
        <w:tc>
          <w:tcPr>
            <w:tcW w:w="597" w:type="pct"/>
            <w:vAlign w:val="center"/>
          </w:tcPr>
          <w:p w14:paraId="5E1741FD">
            <w:pPr>
              <w:pStyle w:val="31"/>
              <w:rPr>
                <w:rFonts w:hint="default" w:eastAsia="宋体" w:cs="Times New Roman"/>
                <w:kern w:val="0"/>
                <w:lang w:val="en-US" w:eastAsia="zh-CN"/>
              </w:rPr>
            </w:pPr>
            <w:r>
              <w:rPr>
                <w:rFonts w:hint="eastAsia" w:cs="Times New Roman"/>
                <w:kern w:val="0"/>
                <w:lang w:val="en-US" w:eastAsia="zh-CN"/>
              </w:rPr>
              <w:t>52</w:t>
            </w:r>
          </w:p>
        </w:tc>
        <w:tc>
          <w:tcPr>
            <w:tcW w:w="597" w:type="pct"/>
            <w:vAlign w:val="center"/>
          </w:tcPr>
          <w:p w14:paraId="3D4B67A5">
            <w:pPr>
              <w:pStyle w:val="31"/>
              <w:rPr>
                <w:rFonts w:hint="default" w:eastAsia="宋体" w:cs="Times New Roman"/>
                <w:kern w:val="0"/>
                <w:lang w:val="en-US" w:eastAsia="zh-CN"/>
              </w:rPr>
            </w:pPr>
            <w:r>
              <w:rPr>
                <w:rFonts w:hint="eastAsia" w:cs="Times New Roman"/>
                <w:kern w:val="0"/>
                <w:lang w:val="en-US" w:eastAsia="zh-CN"/>
              </w:rPr>
              <w:t>53.7</w:t>
            </w:r>
          </w:p>
        </w:tc>
        <w:tc>
          <w:tcPr>
            <w:tcW w:w="597" w:type="pct"/>
            <w:vAlign w:val="center"/>
          </w:tcPr>
          <w:p w14:paraId="10D3EB87">
            <w:pPr>
              <w:pStyle w:val="31"/>
              <w:rPr>
                <w:rFonts w:hint="default" w:eastAsia="宋体" w:cs="Times New Roman"/>
                <w:kern w:val="0"/>
                <w:lang w:val="en-US" w:eastAsia="zh-CN"/>
              </w:rPr>
            </w:pPr>
            <w:r>
              <w:rPr>
                <w:rFonts w:hint="eastAsia" w:cs="Times New Roman"/>
                <w:kern w:val="0"/>
                <w:lang w:val="en-US" w:eastAsia="zh-CN"/>
              </w:rPr>
              <w:t>55.94</w:t>
            </w:r>
          </w:p>
        </w:tc>
        <w:tc>
          <w:tcPr>
            <w:tcW w:w="597" w:type="pct"/>
            <w:vAlign w:val="center"/>
          </w:tcPr>
          <w:p w14:paraId="2CFF5191">
            <w:pPr>
              <w:pStyle w:val="31"/>
              <w:rPr>
                <w:rFonts w:hint="default" w:eastAsia="宋体" w:cs="Times New Roman"/>
                <w:kern w:val="0"/>
                <w:lang w:val="en-US" w:eastAsia="zh-CN"/>
              </w:rPr>
            </w:pPr>
            <w:r>
              <w:rPr>
                <w:rFonts w:hint="eastAsia" w:cs="Times New Roman"/>
                <w:kern w:val="0"/>
                <w:lang w:val="en-US" w:eastAsia="zh-CN"/>
              </w:rPr>
              <w:t>60</w:t>
            </w:r>
          </w:p>
        </w:tc>
        <w:tc>
          <w:tcPr>
            <w:tcW w:w="745" w:type="pct"/>
          </w:tcPr>
          <w:p w14:paraId="59E8F201">
            <w:pPr>
              <w:pStyle w:val="31"/>
              <w:rPr>
                <w:rFonts w:cs="Times New Roman"/>
                <w:kern w:val="0"/>
              </w:rPr>
            </w:pPr>
            <w:r>
              <w:rPr>
                <w:rFonts w:hint="eastAsia" w:cs="Times New Roman"/>
                <w:kern w:val="0"/>
              </w:rPr>
              <w:t>达标</w:t>
            </w:r>
          </w:p>
        </w:tc>
      </w:tr>
    </w:tbl>
    <w:p w14:paraId="7494FDDB">
      <w:pPr>
        <w:pStyle w:val="21"/>
        <w:ind w:firstLine="420"/>
        <w:rPr>
          <w:rFonts w:hint="eastAsia" w:ascii="仿宋" w:hAnsi="仿宋" w:eastAsia="仿宋"/>
          <w:sz w:val="21"/>
          <w:szCs w:val="20"/>
        </w:rPr>
      </w:pPr>
      <w:r>
        <w:rPr>
          <w:rFonts w:hint="eastAsia" w:ascii="仿宋" w:hAnsi="仿宋" w:eastAsia="仿宋"/>
          <w:sz w:val="21"/>
          <w:szCs w:val="20"/>
        </w:rPr>
        <w:t>注：现状值采用现状监测数据最大值，项目夜间不运行</w:t>
      </w:r>
    </w:p>
    <w:p w14:paraId="12DBC3AE">
      <w:pPr>
        <w:pStyle w:val="23"/>
        <w:ind w:firstLine="480"/>
      </w:pPr>
      <w:r>
        <w:rPr>
          <w:rFonts w:hint="eastAsia"/>
        </w:rPr>
        <w:t>表5.2-1</w:t>
      </w:r>
      <w:r>
        <w:rPr>
          <w:rFonts w:hint="eastAsia"/>
          <w:lang w:val="en-US" w:eastAsia="zh-CN"/>
        </w:rPr>
        <w:t>9</w:t>
      </w:r>
      <w:r>
        <w:rPr>
          <w:rFonts w:hint="eastAsia"/>
        </w:rPr>
        <w:t xml:space="preserve">  工业企业声环境保护目标预测结果与达标分析表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05"/>
        <w:gridCol w:w="1243"/>
        <w:gridCol w:w="904"/>
        <w:gridCol w:w="906"/>
        <w:gridCol w:w="904"/>
        <w:gridCol w:w="906"/>
        <w:gridCol w:w="791"/>
        <w:gridCol w:w="794"/>
        <w:gridCol w:w="954"/>
        <w:gridCol w:w="859"/>
        <w:gridCol w:w="904"/>
        <w:gridCol w:w="906"/>
        <w:gridCol w:w="904"/>
        <w:gridCol w:w="909"/>
        <w:gridCol w:w="814"/>
        <w:gridCol w:w="811"/>
      </w:tblGrid>
      <w:tr w14:paraId="7467F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80" w:type="pct"/>
            <w:vMerge w:val="restart"/>
            <w:vAlign w:val="center"/>
          </w:tcPr>
          <w:p w14:paraId="13EEAD46">
            <w:pPr>
              <w:pStyle w:val="31"/>
              <w:rPr>
                <w:rFonts w:cs="Times New Roman"/>
                <w:kern w:val="0"/>
              </w:rPr>
            </w:pPr>
            <w:r>
              <w:rPr>
                <w:rFonts w:hint="eastAsia" w:cs="Times New Roman"/>
                <w:kern w:val="0"/>
              </w:rPr>
              <w:t>序号</w:t>
            </w:r>
          </w:p>
        </w:tc>
        <w:tc>
          <w:tcPr>
            <w:tcW w:w="443" w:type="pct"/>
            <w:vMerge w:val="restart"/>
            <w:vAlign w:val="center"/>
          </w:tcPr>
          <w:p w14:paraId="467A1FB6">
            <w:pPr>
              <w:pStyle w:val="31"/>
              <w:rPr>
                <w:rFonts w:cs="Times New Roman"/>
                <w:kern w:val="0"/>
              </w:rPr>
            </w:pPr>
            <w:r>
              <w:rPr>
                <w:rFonts w:hint="eastAsia" w:cs="Times New Roman"/>
                <w:kern w:val="0"/>
              </w:rPr>
              <w:t>名称</w:t>
            </w:r>
          </w:p>
        </w:tc>
        <w:tc>
          <w:tcPr>
            <w:tcW w:w="645" w:type="pct"/>
            <w:gridSpan w:val="2"/>
            <w:vAlign w:val="center"/>
          </w:tcPr>
          <w:p w14:paraId="561F5551">
            <w:pPr>
              <w:pStyle w:val="31"/>
              <w:rPr>
                <w:rFonts w:cs="Times New Roman"/>
                <w:kern w:val="0"/>
              </w:rPr>
            </w:pPr>
            <w:r>
              <w:rPr>
                <w:rFonts w:hint="eastAsia" w:cs="Times New Roman"/>
                <w:kern w:val="0"/>
              </w:rPr>
              <w:t>噪声背景值/dB(A)</w:t>
            </w:r>
          </w:p>
        </w:tc>
        <w:tc>
          <w:tcPr>
            <w:tcW w:w="645" w:type="pct"/>
            <w:gridSpan w:val="2"/>
            <w:vAlign w:val="center"/>
          </w:tcPr>
          <w:p w14:paraId="0B18FA37">
            <w:pPr>
              <w:pStyle w:val="31"/>
              <w:rPr>
                <w:rFonts w:cs="Times New Roman"/>
                <w:kern w:val="0"/>
              </w:rPr>
            </w:pPr>
            <w:r>
              <w:rPr>
                <w:rFonts w:hint="eastAsia" w:cs="Times New Roman"/>
                <w:kern w:val="0"/>
              </w:rPr>
              <w:t>噪声现状值/dB(A)</w:t>
            </w:r>
          </w:p>
        </w:tc>
        <w:tc>
          <w:tcPr>
            <w:tcW w:w="565" w:type="pct"/>
            <w:gridSpan w:val="2"/>
            <w:vAlign w:val="center"/>
          </w:tcPr>
          <w:p w14:paraId="5843D823">
            <w:pPr>
              <w:pStyle w:val="31"/>
              <w:rPr>
                <w:rFonts w:cs="Times New Roman"/>
                <w:kern w:val="0"/>
              </w:rPr>
            </w:pPr>
            <w:r>
              <w:rPr>
                <w:rFonts w:hint="eastAsia" w:cs="Times New Roman"/>
                <w:kern w:val="0"/>
              </w:rPr>
              <w:t>噪声标准/dB(A)</w:t>
            </w:r>
          </w:p>
        </w:tc>
        <w:tc>
          <w:tcPr>
            <w:tcW w:w="646" w:type="pct"/>
            <w:gridSpan w:val="2"/>
            <w:vAlign w:val="center"/>
          </w:tcPr>
          <w:p w14:paraId="3DC78D7B">
            <w:pPr>
              <w:pStyle w:val="31"/>
              <w:rPr>
                <w:rFonts w:cs="Times New Roman"/>
                <w:kern w:val="0"/>
              </w:rPr>
            </w:pPr>
            <w:r>
              <w:rPr>
                <w:rFonts w:hint="eastAsia" w:cs="Times New Roman"/>
                <w:kern w:val="0"/>
              </w:rPr>
              <w:t>噪声贡献值/dB(A)</w:t>
            </w:r>
          </w:p>
        </w:tc>
        <w:tc>
          <w:tcPr>
            <w:tcW w:w="645" w:type="pct"/>
            <w:gridSpan w:val="2"/>
          </w:tcPr>
          <w:p w14:paraId="2B8B8E90">
            <w:pPr>
              <w:pStyle w:val="31"/>
              <w:rPr>
                <w:rFonts w:cs="Times New Roman"/>
                <w:kern w:val="0"/>
              </w:rPr>
            </w:pPr>
            <w:r>
              <w:rPr>
                <w:rFonts w:hint="eastAsia" w:cs="Times New Roman"/>
                <w:kern w:val="0"/>
              </w:rPr>
              <w:t>噪声预测值/dB(A)</w:t>
            </w:r>
          </w:p>
        </w:tc>
        <w:tc>
          <w:tcPr>
            <w:tcW w:w="646" w:type="pct"/>
            <w:gridSpan w:val="2"/>
            <w:vAlign w:val="center"/>
          </w:tcPr>
          <w:p w14:paraId="23E8ECDA">
            <w:pPr>
              <w:pStyle w:val="31"/>
              <w:rPr>
                <w:rFonts w:cs="Times New Roman"/>
                <w:kern w:val="0"/>
              </w:rPr>
            </w:pPr>
            <w:r>
              <w:rPr>
                <w:rFonts w:hint="eastAsia" w:cs="Times New Roman"/>
                <w:kern w:val="0"/>
              </w:rPr>
              <w:t>较现状增量/dB(A)</w:t>
            </w:r>
          </w:p>
        </w:tc>
        <w:tc>
          <w:tcPr>
            <w:tcW w:w="579" w:type="pct"/>
            <w:gridSpan w:val="2"/>
            <w:vAlign w:val="center"/>
          </w:tcPr>
          <w:p w14:paraId="39D32610">
            <w:pPr>
              <w:pStyle w:val="31"/>
              <w:rPr>
                <w:rFonts w:cs="Times New Roman"/>
                <w:kern w:val="0"/>
              </w:rPr>
            </w:pPr>
            <w:r>
              <w:rPr>
                <w:rFonts w:hint="eastAsia" w:cs="Times New Roman"/>
                <w:kern w:val="0"/>
              </w:rPr>
              <w:t>超标和达标情况</w:t>
            </w:r>
          </w:p>
        </w:tc>
      </w:tr>
      <w:tr w14:paraId="2C7BD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80" w:type="pct"/>
            <w:vMerge w:val="continue"/>
            <w:vAlign w:val="center"/>
          </w:tcPr>
          <w:p w14:paraId="5368594D">
            <w:pPr>
              <w:pStyle w:val="31"/>
              <w:rPr>
                <w:rFonts w:cs="Times New Roman"/>
                <w:kern w:val="0"/>
              </w:rPr>
            </w:pPr>
          </w:p>
        </w:tc>
        <w:tc>
          <w:tcPr>
            <w:tcW w:w="443" w:type="pct"/>
            <w:vMerge w:val="continue"/>
            <w:vAlign w:val="center"/>
          </w:tcPr>
          <w:p w14:paraId="6536BFDA">
            <w:pPr>
              <w:pStyle w:val="31"/>
              <w:rPr>
                <w:rFonts w:cs="Times New Roman"/>
                <w:kern w:val="0"/>
              </w:rPr>
            </w:pPr>
          </w:p>
        </w:tc>
        <w:tc>
          <w:tcPr>
            <w:tcW w:w="322" w:type="pct"/>
            <w:vAlign w:val="center"/>
          </w:tcPr>
          <w:p w14:paraId="006B0915">
            <w:pPr>
              <w:pStyle w:val="31"/>
              <w:rPr>
                <w:rFonts w:cs="Times New Roman"/>
                <w:kern w:val="0"/>
              </w:rPr>
            </w:pPr>
            <w:r>
              <w:rPr>
                <w:rFonts w:hint="eastAsia" w:cs="Times New Roman"/>
                <w:kern w:val="0"/>
              </w:rPr>
              <w:t>昼间</w:t>
            </w:r>
          </w:p>
        </w:tc>
        <w:tc>
          <w:tcPr>
            <w:tcW w:w="322" w:type="pct"/>
            <w:vAlign w:val="center"/>
          </w:tcPr>
          <w:p w14:paraId="254819E9">
            <w:pPr>
              <w:pStyle w:val="31"/>
              <w:rPr>
                <w:rFonts w:cs="Times New Roman"/>
                <w:kern w:val="0"/>
              </w:rPr>
            </w:pPr>
            <w:r>
              <w:rPr>
                <w:rFonts w:hint="eastAsia" w:cs="Times New Roman"/>
                <w:kern w:val="0"/>
              </w:rPr>
              <w:t>夜间</w:t>
            </w:r>
          </w:p>
        </w:tc>
        <w:tc>
          <w:tcPr>
            <w:tcW w:w="322" w:type="pct"/>
            <w:vAlign w:val="center"/>
          </w:tcPr>
          <w:p w14:paraId="5A16CAB9">
            <w:pPr>
              <w:pStyle w:val="31"/>
              <w:rPr>
                <w:rFonts w:cs="Times New Roman"/>
                <w:kern w:val="0"/>
              </w:rPr>
            </w:pPr>
            <w:r>
              <w:rPr>
                <w:rFonts w:hint="eastAsia" w:cs="Times New Roman"/>
                <w:kern w:val="0"/>
              </w:rPr>
              <w:t>昼间</w:t>
            </w:r>
          </w:p>
        </w:tc>
        <w:tc>
          <w:tcPr>
            <w:tcW w:w="322" w:type="pct"/>
            <w:vAlign w:val="center"/>
          </w:tcPr>
          <w:p w14:paraId="376C00B3">
            <w:pPr>
              <w:pStyle w:val="31"/>
              <w:rPr>
                <w:rFonts w:cs="Times New Roman"/>
                <w:kern w:val="0"/>
              </w:rPr>
            </w:pPr>
            <w:r>
              <w:rPr>
                <w:rFonts w:hint="eastAsia" w:cs="Times New Roman"/>
                <w:kern w:val="0"/>
              </w:rPr>
              <w:t>夜间</w:t>
            </w:r>
          </w:p>
        </w:tc>
        <w:tc>
          <w:tcPr>
            <w:tcW w:w="282" w:type="pct"/>
            <w:vAlign w:val="center"/>
          </w:tcPr>
          <w:p w14:paraId="45639AF5">
            <w:pPr>
              <w:pStyle w:val="31"/>
              <w:rPr>
                <w:rFonts w:cs="Times New Roman"/>
                <w:kern w:val="0"/>
              </w:rPr>
            </w:pPr>
            <w:r>
              <w:rPr>
                <w:rFonts w:hint="eastAsia" w:cs="Times New Roman"/>
                <w:kern w:val="0"/>
              </w:rPr>
              <w:t>昼间</w:t>
            </w:r>
          </w:p>
        </w:tc>
        <w:tc>
          <w:tcPr>
            <w:tcW w:w="282" w:type="pct"/>
            <w:vAlign w:val="center"/>
          </w:tcPr>
          <w:p w14:paraId="193C913B">
            <w:pPr>
              <w:pStyle w:val="31"/>
              <w:rPr>
                <w:rFonts w:cs="Times New Roman"/>
                <w:kern w:val="0"/>
              </w:rPr>
            </w:pPr>
            <w:r>
              <w:rPr>
                <w:rFonts w:hint="eastAsia" w:cs="Times New Roman"/>
                <w:kern w:val="0"/>
              </w:rPr>
              <w:t>夜间</w:t>
            </w:r>
          </w:p>
        </w:tc>
        <w:tc>
          <w:tcPr>
            <w:tcW w:w="340" w:type="pct"/>
            <w:vAlign w:val="center"/>
          </w:tcPr>
          <w:p w14:paraId="439C514F">
            <w:pPr>
              <w:pStyle w:val="31"/>
              <w:rPr>
                <w:rFonts w:cs="Times New Roman"/>
                <w:kern w:val="0"/>
              </w:rPr>
            </w:pPr>
            <w:r>
              <w:rPr>
                <w:rFonts w:hint="eastAsia" w:cs="Times New Roman"/>
                <w:kern w:val="0"/>
              </w:rPr>
              <w:t>昼间</w:t>
            </w:r>
          </w:p>
        </w:tc>
        <w:tc>
          <w:tcPr>
            <w:tcW w:w="306" w:type="pct"/>
            <w:vAlign w:val="center"/>
          </w:tcPr>
          <w:p w14:paraId="5EE82B79">
            <w:pPr>
              <w:pStyle w:val="31"/>
              <w:rPr>
                <w:rFonts w:cs="Times New Roman"/>
                <w:kern w:val="0"/>
              </w:rPr>
            </w:pPr>
            <w:r>
              <w:rPr>
                <w:rFonts w:hint="eastAsia" w:cs="Times New Roman"/>
                <w:kern w:val="0"/>
              </w:rPr>
              <w:t>夜间</w:t>
            </w:r>
          </w:p>
        </w:tc>
        <w:tc>
          <w:tcPr>
            <w:tcW w:w="322" w:type="pct"/>
            <w:vAlign w:val="center"/>
          </w:tcPr>
          <w:p w14:paraId="0BD8B0C1">
            <w:pPr>
              <w:pStyle w:val="31"/>
              <w:rPr>
                <w:rFonts w:cs="Times New Roman"/>
                <w:kern w:val="0"/>
              </w:rPr>
            </w:pPr>
            <w:r>
              <w:rPr>
                <w:rFonts w:hint="eastAsia" w:cs="Times New Roman"/>
                <w:kern w:val="0"/>
              </w:rPr>
              <w:t>昼间</w:t>
            </w:r>
          </w:p>
        </w:tc>
        <w:tc>
          <w:tcPr>
            <w:tcW w:w="322" w:type="pct"/>
            <w:vAlign w:val="center"/>
          </w:tcPr>
          <w:p w14:paraId="13018FE4">
            <w:pPr>
              <w:pStyle w:val="31"/>
              <w:rPr>
                <w:rFonts w:cs="Times New Roman"/>
                <w:kern w:val="0"/>
              </w:rPr>
            </w:pPr>
            <w:r>
              <w:rPr>
                <w:rFonts w:hint="eastAsia" w:cs="Times New Roman"/>
                <w:kern w:val="0"/>
              </w:rPr>
              <w:t>夜间</w:t>
            </w:r>
          </w:p>
        </w:tc>
        <w:tc>
          <w:tcPr>
            <w:tcW w:w="322" w:type="pct"/>
            <w:vAlign w:val="center"/>
          </w:tcPr>
          <w:p w14:paraId="3DF9E503">
            <w:pPr>
              <w:pStyle w:val="31"/>
              <w:rPr>
                <w:rFonts w:cs="Times New Roman"/>
                <w:kern w:val="0"/>
              </w:rPr>
            </w:pPr>
            <w:r>
              <w:rPr>
                <w:rFonts w:hint="eastAsia" w:cs="Times New Roman"/>
                <w:kern w:val="0"/>
              </w:rPr>
              <w:t>昼间</w:t>
            </w:r>
          </w:p>
        </w:tc>
        <w:tc>
          <w:tcPr>
            <w:tcW w:w="323" w:type="pct"/>
            <w:vAlign w:val="center"/>
          </w:tcPr>
          <w:p w14:paraId="36D36CFF">
            <w:pPr>
              <w:pStyle w:val="31"/>
              <w:rPr>
                <w:rFonts w:cs="Times New Roman"/>
                <w:kern w:val="0"/>
              </w:rPr>
            </w:pPr>
            <w:r>
              <w:rPr>
                <w:rFonts w:hint="eastAsia" w:cs="Times New Roman"/>
                <w:kern w:val="0"/>
              </w:rPr>
              <w:t>夜间</w:t>
            </w:r>
          </w:p>
        </w:tc>
        <w:tc>
          <w:tcPr>
            <w:tcW w:w="290" w:type="pct"/>
            <w:vAlign w:val="center"/>
          </w:tcPr>
          <w:p w14:paraId="6809425C">
            <w:pPr>
              <w:pStyle w:val="31"/>
              <w:rPr>
                <w:rFonts w:cs="Times New Roman"/>
                <w:kern w:val="0"/>
              </w:rPr>
            </w:pPr>
            <w:r>
              <w:rPr>
                <w:rFonts w:hint="eastAsia" w:cs="Times New Roman"/>
                <w:kern w:val="0"/>
              </w:rPr>
              <w:t>昼间</w:t>
            </w:r>
          </w:p>
        </w:tc>
        <w:tc>
          <w:tcPr>
            <w:tcW w:w="289" w:type="pct"/>
            <w:vAlign w:val="center"/>
          </w:tcPr>
          <w:p w14:paraId="4643A773">
            <w:pPr>
              <w:pStyle w:val="31"/>
              <w:rPr>
                <w:rFonts w:cs="Times New Roman"/>
                <w:kern w:val="0"/>
              </w:rPr>
            </w:pPr>
            <w:r>
              <w:rPr>
                <w:rFonts w:hint="eastAsia" w:cs="Times New Roman"/>
                <w:kern w:val="0"/>
              </w:rPr>
              <w:t>夜间</w:t>
            </w:r>
          </w:p>
        </w:tc>
      </w:tr>
      <w:tr w14:paraId="74D72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80" w:type="pct"/>
            <w:vAlign w:val="center"/>
          </w:tcPr>
          <w:p w14:paraId="256ABE9D">
            <w:pPr>
              <w:pStyle w:val="31"/>
              <w:rPr>
                <w:rFonts w:cs="Times New Roman"/>
                <w:kern w:val="0"/>
              </w:rPr>
            </w:pPr>
            <w:r>
              <w:rPr>
                <w:rFonts w:hint="eastAsia" w:cs="Times New Roman"/>
                <w:kern w:val="0"/>
              </w:rPr>
              <w:t>1</w:t>
            </w:r>
          </w:p>
        </w:tc>
        <w:tc>
          <w:tcPr>
            <w:tcW w:w="443" w:type="pct"/>
            <w:vAlign w:val="center"/>
          </w:tcPr>
          <w:p w14:paraId="0B1F417D">
            <w:pPr>
              <w:pStyle w:val="31"/>
              <w:rPr>
                <w:rFonts w:cs="Times New Roman"/>
                <w:kern w:val="0"/>
              </w:rPr>
            </w:pPr>
            <w:r>
              <w:rPr>
                <w:rFonts w:hint="eastAsia" w:cs="Times New Roman"/>
                <w:kern w:val="0"/>
                <w:lang w:val="en-US" w:eastAsia="zh-CN"/>
              </w:rPr>
              <w:t>东</w:t>
            </w:r>
            <w:r>
              <w:rPr>
                <w:rFonts w:hint="eastAsia" w:cs="Times New Roman"/>
                <w:kern w:val="0"/>
              </w:rPr>
              <w:t>侧居民点</w:t>
            </w:r>
          </w:p>
        </w:tc>
        <w:tc>
          <w:tcPr>
            <w:tcW w:w="322" w:type="pct"/>
            <w:vAlign w:val="center"/>
          </w:tcPr>
          <w:p w14:paraId="49201195">
            <w:pPr>
              <w:pStyle w:val="31"/>
              <w:rPr>
                <w:rFonts w:hint="default" w:eastAsia="宋体" w:cs="Times New Roman"/>
                <w:kern w:val="0"/>
                <w:lang w:val="en-US" w:eastAsia="zh-CN"/>
              </w:rPr>
            </w:pPr>
            <w:r>
              <w:rPr>
                <w:rFonts w:hint="eastAsia" w:cs="Times New Roman"/>
                <w:kern w:val="0"/>
                <w:lang w:val="en-US" w:eastAsia="zh-CN"/>
              </w:rPr>
              <w:t>52</w:t>
            </w:r>
          </w:p>
        </w:tc>
        <w:tc>
          <w:tcPr>
            <w:tcW w:w="322" w:type="pct"/>
            <w:vAlign w:val="center"/>
          </w:tcPr>
          <w:p w14:paraId="6E4F4B4E">
            <w:pPr>
              <w:pStyle w:val="31"/>
              <w:rPr>
                <w:rFonts w:hint="default" w:eastAsia="宋体" w:cs="Times New Roman"/>
                <w:kern w:val="0"/>
                <w:lang w:val="en-US" w:eastAsia="zh-CN"/>
              </w:rPr>
            </w:pPr>
            <w:r>
              <w:rPr>
                <w:rFonts w:hint="eastAsia" w:cs="Times New Roman"/>
                <w:kern w:val="0"/>
                <w:lang w:val="en-US" w:eastAsia="zh-CN"/>
              </w:rPr>
              <w:t>42</w:t>
            </w:r>
          </w:p>
        </w:tc>
        <w:tc>
          <w:tcPr>
            <w:tcW w:w="322" w:type="pct"/>
            <w:vAlign w:val="center"/>
          </w:tcPr>
          <w:p w14:paraId="7308E8CB">
            <w:pPr>
              <w:pStyle w:val="31"/>
              <w:rPr>
                <w:rFonts w:hint="default" w:eastAsia="宋体" w:cs="Times New Roman"/>
                <w:kern w:val="0"/>
                <w:lang w:val="en-US" w:eastAsia="zh-CN"/>
              </w:rPr>
            </w:pPr>
            <w:r>
              <w:rPr>
                <w:rFonts w:hint="eastAsia" w:cs="Times New Roman"/>
                <w:kern w:val="0"/>
                <w:lang w:val="en-US" w:eastAsia="zh-CN"/>
              </w:rPr>
              <w:t>52</w:t>
            </w:r>
          </w:p>
        </w:tc>
        <w:tc>
          <w:tcPr>
            <w:tcW w:w="322" w:type="pct"/>
            <w:vAlign w:val="center"/>
          </w:tcPr>
          <w:p w14:paraId="37D79E85">
            <w:pPr>
              <w:pStyle w:val="31"/>
              <w:rPr>
                <w:rFonts w:hint="default" w:eastAsia="宋体" w:cs="Times New Roman"/>
                <w:kern w:val="0"/>
                <w:lang w:val="en-US" w:eastAsia="zh-CN"/>
              </w:rPr>
            </w:pPr>
            <w:r>
              <w:rPr>
                <w:rFonts w:hint="eastAsia" w:cs="Times New Roman"/>
                <w:kern w:val="0"/>
                <w:lang w:val="en-US" w:eastAsia="zh-CN"/>
              </w:rPr>
              <w:t>42</w:t>
            </w:r>
          </w:p>
        </w:tc>
        <w:tc>
          <w:tcPr>
            <w:tcW w:w="282" w:type="pct"/>
            <w:vAlign w:val="center"/>
          </w:tcPr>
          <w:p w14:paraId="65E92802">
            <w:pPr>
              <w:pStyle w:val="31"/>
              <w:rPr>
                <w:rFonts w:hint="default" w:eastAsia="宋体" w:cs="Times New Roman"/>
                <w:kern w:val="0"/>
                <w:lang w:val="en-US" w:eastAsia="zh-CN"/>
              </w:rPr>
            </w:pPr>
            <w:r>
              <w:rPr>
                <w:rFonts w:hint="eastAsia" w:cs="Times New Roman"/>
                <w:kern w:val="0"/>
                <w:lang w:val="en-US" w:eastAsia="zh-CN"/>
              </w:rPr>
              <w:t>60</w:t>
            </w:r>
          </w:p>
        </w:tc>
        <w:tc>
          <w:tcPr>
            <w:tcW w:w="282" w:type="pct"/>
            <w:vAlign w:val="center"/>
          </w:tcPr>
          <w:p w14:paraId="3CB0D0CF">
            <w:pPr>
              <w:pStyle w:val="31"/>
              <w:rPr>
                <w:rFonts w:hint="default" w:eastAsia="宋体" w:cs="Times New Roman"/>
                <w:kern w:val="0"/>
                <w:lang w:val="en-US" w:eastAsia="zh-CN"/>
              </w:rPr>
            </w:pPr>
            <w:r>
              <w:rPr>
                <w:rFonts w:hint="eastAsia" w:cs="Times New Roman"/>
                <w:kern w:val="0"/>
                <w:lang w:val="en-US" w:eastAsia="zh-CN"/>
              </w:rPr>
              <w:t>50</w:t>
            </w:r>
          </w:p>
        </w:tc>
        <w:tc>
          <w:tcPr>
            <w:tcW w:w="340" w:type="pct"/>
            <w:vAlign w:val="center"/>
          </w:tcPr>
          <w:p w14:paraId="6647673E">
            <w:pPr>
              <w:pStyle w:val="31"/>
              <w:rPr>
                <w:rFonts w:hint="default" w:eastAsia="宋体" w:cs="Times New Roman"/>
                <w:kern w:val="0"/>
                <w:lang w:val="en-US" w:eastAsia="zh-CN"/>
              </w:rPr>
            </w:pPr>
            <w:r>
              <w:rPr>
                <w:rFonts w:hint="eastAsia" w:cs="Times New Roman"/>
                <w:kern w:val="0"/>
                <w:lang w:val="en-US" w:eastAsia="zh-CN"/>
              </w:rPr>
              <w:t>42.5</w:t>
            </w:r>
          </w:p>
        </w:tc>
        <w:tc>
          <w:tcPr>
            <w:tcW w:w="306" w:type="pct"/>
            <w:vAlign w:val="center"/>
          </w:tcPr>
          <w:p w14:paraId="5C50B1C1">
            <w:pPr>
              <w:pStyle w:val="31"/>
              <w:rPr>
                <w:rFonts w:hint="eastAsia" w:eastAsia="宋体" w:cs="Times New Roman"/>
                <w:kern w:val="0"/>
                <w:lang w:val="en-US" w:eastAsia="zh-CN"/>
              </w:rPr>
            </w:pPr>
            <w:r>
              <w:rPr>
                <w:rFonts w:hint="eastAsia" w:cs="Times New Roman"/>
                <w:kern w:val="0"/>
                <w:lang w:val="en-US" w:eastAsia="zh-CN"/>
              </w:rPr>
              <w:t>0</w:t>
            </w:r>
          </w:p>
        </w:tc>
        <w:tc>
          <w:tcPr>
            <w:tcW w:w="322" w:type="pct"/>
          </w:tcPr>
          <w:p w14:paraId="1EC01919">
            <w:pPr>
              <w:pStyle w:val="31"/>
              <w:rPr>
                <w:rFonts w:hint="default" w:eastAsia="宋体" w:cs="Times New Roman"/>
                <w:kern w:val="0"/>
                <w:lang w:val="en-US" w:eastAsia="zh-CN"/>
              </w:rPr>
            </w:pPr>
            <w:r>
              <w:rPr>
                <w:rFonts w:hint="eastAsia" w:cs="Times New Roman"/>
                <w:kern w:val="0"/>
                <w:lang w:val="en-US" w:eastAsia="zh-CN"/>
              </w:rPr>
              <w:t>52.46</w:t>
            </w:r>
          </w:p>
        </w:tc>
        <w:tc>
          <w:tcPr>
            <w:tcW w:w="322" w:type="pct"/>
          </w:tcPr>
          <w:p w14:paraId="4A8FA1B5">
            <w:pPr>
              <w:pStyle w:val="31"/>
              <w:rPr>
                <w:rFonts w:hint="default" w:eastAsia="宋体" w:cs="Times New Roman"/>
                <w:kern w:val="0"/>
                <w:lang w:val="en-US" w:eastAsia="zh-CN"/>
              </w:rPr>
            </w:pPr>
            <w:r>
              <w:rPr>
                <w:rFonts w:hint="eastAsia" w:cs="Times New Roman"/>
                <w:kern w:val="0"/>
                <w:lang w:val="en-US" w:eastAsia="zh-CN"/>
              </w:rPr>
              <w:t>42</w:t>
            </w:r>
          </w:p>
        </w:tc>
        <w:tc>
          <w:tcPr>
            <w:tcW w:w="322" w:type="pct"/>
            <w:vAlign w:val="center"/>
          </w:tcPr>
          <w:p w14:paraId="033B7D7E">
            <w:pPr>
              <w:pStyle w:val="31"/>
              <w:rPr>
                <w:rFonts w:hint="default" w:eastAsia="宋体" w:cs="Times New Roman"/>
                <w:kern w:val="0"/>
                <w:lang w:val="en-US" w:eastAsia="zh-CN"/>
              </w:rPr>
            </w:pPr>
            <w:r>
              <w:rPr>
                <w:rFonts w:hint="eastAsia" w:cs="Times New Roman"/>
                <w:kern w:val="0"/>
                <w:lang w:val="en-US" w:eastAsia="zh-CN"/>
              </w:rPr>
              <w:t>+0.45</w:t>
            </w:r>
          </w:p>
        </w:tc>
        <w:tc>
          <w:tcPr>
            <w:tcW w:w="323" w:type="pct"/>
            <w:vAlign w:val="center"/>
          </w:tcPr>
          <w:p w14:paraId="1C49EAFF">
            <w:pPr>
              <w:pStyle w:val="31"/>
              <w:rPr>
                <w:rFonts w:hint="eastAsia" w:eastAsia="宋体" w:cs="Times New Roman"/>
                <w:kern w:val="0"/>
                <w:lang w:val="en-US" w:eastAsia="zh-CN"/>
              </w:rPr>
            </w:pPr>
            <w:r>
              <w:rPr>
                <w:rFonts w:hint="eastAsia" w:cs="Times New Roman"/>
                <w:kern w:val="0"/>
                <w:lang w:val="en-US" w:eastAsia="zh-CN"/>
              </w:rPr>
              <w:t>0</w:t>
            </w:r>
          </w:p>
        </w:tc>
        <w:tc>
          <w:tcPr>
            <w:tcW w:w="290" w:type="pct"/>
          </w:tcPr>
          <w:p w14:paraId="5AC8F029">
            <w:pPr>
              <w:pStyle w:val="31"/>
              <w:rPr>
                <w:rFonts w:cs="Times New Roman"/>
                <w:kern w:val="0"/>
              </w:rPr>
            </w:pPr>
            <w:r>
              <w:rPr>
                <w:rFonts w:hint="eastAsia" w:cs="Times New Roman"/>
                <w:kern w:val="0"/>
              </w:rPr>
              <w:t>达标</w:t>
            </w:r>
          </w:p>
        </w:tc>
        <w:tc>
          <w:tcPr>
            <w:tcW w:w="289" w:type="pct"/>
          </w:tcPr>
          <w:p w14:paraId="69B23639">
            <w:pPr>
              <w:pStyle w:val="31"/>
              <w:rPr>
                <w:rFonts w:cs="Times New Roman"/>
                <w:kern w:val="0"/>
              </w:rPr>
            </w:pPr>
            <w:r>
              <w:rPr>
                <w:rFonts w:hint="eastAsia" w:cs="Times New Roman"/>
                <w:kern w:val="0"/>
              </w:rPr>
              <w:t>达标</w:t>
            </w:r>
          </w:p>
        </w:tc>
      </w:tr>
    </w:tbl>
    <w:p w14:paraId="6758AD3F">
      <w:pPr>
        <w:pStyle w:val="21"/>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r>
        <w:rPr>
          <w:rFonts w:hint="eastAsia" w:ascii="仿宋" w:hAnsi="仿宋" w:eastAsia="仿宋"/>
          <w:sz w:val="21"/>
          <w:szCs w:val="20"/>
        </w:rPr>
        <w:t>注：现状值采用现状监测数据最大值，项目夜间不运行</w:t>
      </w:r>
    </w:p>
    <w:p w14:paraId="12667149">
      <w:pPr>
        <w:pStyle w:val="21"/>
        <w:ind w:firstLine="480"/>
      </w:pPr>
      <w:r>
        <w:rPr>
          <w:rFonts w:hint="eastAsia"/>
        </w:rPr>
        <w:t>根据监测结果可知：</w:t>
      </w:r>
    </w:p>
    <w:p w14:paraId="193B11D0">
      <w:pPr>
        <w:pStyle w:val="21"/>
        <w:ind w:firstLine="480"/>
      </w:pPr>
      <w:r>
        <w:rPr>
          <w:rFonts w:hint="eastAsia"/>
        </w:rPr>
        <w:t>1）本次扩建项目新增噪声源厂界噪声贡献值均能满足《工业企业厂界环境噪声排放标准》（GB12348-2008）</w:t>
      </w:r>
      <w:r>
        <w:rPr>
          <w:rFonts w:hint="eastAsia"/>
          <w:lang w:val="en-US" w:eastAsia="zh-CN"/>
        </w:rPr>
        <w:t>2</w:t>
      </w:r>
      <w:r>
        <w:rPr>
          <w:rFonts w:hint="eastAsia"/>
        </w:rPr>
        <w:t>类声环境功能区环境噪声排放限值；</w:t>
      </w:r>
    </w:p>
    <w:p w14:paraId="0A2705F9">
      <w:pPr>
        <w:pStyle w:val="21"/>
        <w:ind w:firstLine="480"/>
      </w:pPr>
      <w:r>
        <w:rPr>
          <w:rFonts w:hint="eastAsia"/>
        </w:rPr>
        <w:t>2）项目扩建后厂界噪声贡献值叠加现状监测值后，厂界噪声均能满足《工业企业厂界环境噪声排放标准》（GB12348-2008）</w:t>
      </w:r>
      <w:r>
        <w:rPr>
          <w:rFonts w:hint="eastAsia"/>
          <w:lang w:val="en-US" w:eastAsia="zh-CN"/>
        </w:rPr>
        <w:t>2</w:t>
      </w:r>
      <w:r>
        <w:rPr>
          <w:rFonts w:hint="eastAsia"/>
        </w:rPr>
        <w:t>类声环境功能区环境噪声排放限值；</w:t>
      </w:r>
    </w:p>
    <w:p w14:paraId="60A4018D">
      <w:pPr>
        <w:pStyle w:val="21"/>
        <w:rPr>
          <w:rFonts w:hint="eastAsia"/>
        </w:rPr>
      </w:pPr>
      <w:r>
        <w:rPr>
          <w:rFonts w:hint="eastAsia"/>
        </w:rPr>
        <w:t>3）项目扩建后北侧居民点噪声预测值均能满足《声环境质量标准》（GB</w:t>
      </w:r>
      <w:r>
        <w:t xml:space="preserve"> </w:t>
      </w:r>
      <w:r>
        <w:rPr>
          <w:rFonts w:hint="eastAsia"/>
        </w:rPr>
        <w:t>3096-2008）中2类声环境功能区环境噪声限值。</w:t>
      </w:r>
    </w:p>
    <w:p w14:paraId="2F9BCEA7">
      <w:pPr>
        <w:pStyle w:val="36"/>
        <w:bidi w:val="0"/>
        <w:rPr>
          <w:rFonts w:hint="eastAsia"/>
          <w:lang w:val="en-US" w:eastAsia="zh-CN"/>
        </w:rPr>
      </w:pPr>
      <w:r>
        <w:rPr>
          <w:rFonts w:hint="eastAsia"/>
          <w:lang w:val="en-US" w:eastAsia="zh-CN"/>
        </w:rPr>
        <w:t>5.2.4.5小结</w:t>
      </w:r>
    </w:p>
    <w:p w14:paraId="617C4C66">
      <w:pPr>
        <w:pStyle w:val="21"/>
        <w:ind w:firstLine="480"/>
      </w:pPr>
      <w:r>
        <w:rPr>
          <w:rFonts w:hint="eastAsia"/>
        </w:rPr>
        <w:t>综上所述，本次扩建项目运营后，厂界噪声均能满足工业企业厂界环境噪声排放标准》（GB12348-2008）</w:t>
      </w:r>
      <w:r>
        <w:rPr>
          <w:rFonts w:hint="eastAsia"/>
          <w:lang w:val="en-US" w:eastAsia="zh-CN"/>
        </w:rPr>
        <w:t>2</w:t>
      </w:r>
      <w:r>
        <w:rPr>
          <w:rFonts w:hint="eastAsia"/>
        </w:rPr>
        <w:t>类声环境功能区环境噪声排放限值，周边环境保护目标声环境均能满足《声环境质量标准》（GB</w:t>
      </w:r>
      <w:r>
        <w:t xml:space="preserve"> </w:t>
      </w:r>
      <w:r>
        <w:rPr>
          <w:rFonts w:hint="eastAsia"/>
        </w:rPr>
        <w:t>3096-2008）中2类声环境功能区环境噪声限值，项目噪声环境影响可以接受。</w:t>
      </w:r>
    </w:p>
    <w:p w14:paraId="5AFDE382">
      <w:pPr>
        <w:pStyle w:val="33"/>
      </w:pPr>
      <w:bookmarkStart w:id="157" w:name="_Toc16609"/>
      <w:r>
        <w:rPr>
          <w:rFonts w:hint="eastAsia"/>
        </w:rPr>
        <w:t>5.2.5固体废物影响</w:t>
      </w:r>
      <w:bookmarkEnd w:id="157"/>
    </w:p>
    <w:p w14:paraId="3AAC56BF">
      <w:pPr>
        <w:pStyle w:val="36"/>
        <w:bidi w:val="0"/>
        <w:rPr>
          <w:rFonts w:hint="eastAsia"/>
          <w:lang w:val="en-US" w:eastAsia="zh-CN"/>
        </w:rPr>
      </w:pPr>
      <w:r>
        <w:rPr>
          <w:rFonts w:hint="eastAsia"/>
          <w:lang w:val="en-US" w:eastAsia="zh-CN"/>
        </w:rPr>
        <w:t>5.2.5.1固体废物产生及处置</w:t>
      </w:r>
    </w:p>
    <w:p w14:paraId="067EE461">
      <w:pPr>
        <w:pStyle w:val="23"/>
        <w:bidi w:val="0"/>
        <w:rPr>
          <w:rFonts w:hint="default"/>
          <w:lang w:val="en-US" w:eastAsia="zh-CN"/>
        </w:rPr>
      </w:pPr>
      <w:r>
        <w:rPr>
          <w:rFonts w:hint="eastAsia"/>
          <w:lang w:val="en-US" w:eastAsia="zh-CN"/>
        </w:rPr>
        <w:t>表5.2-  固体废物产生及处置情况表</w:t>
      </w: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871"/>
        <w:gridCol w:w="822"/>
        <w:gridCol w:w="1546"/>
        <w:gridCol w:w="1280"/>
        <w:gridCol w:w="1652"/>
        <w:gridCol w:w="692"/>
      </w:tblGrid>
      <w:tr w14:paraId="145EF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42B8C5ED">
            <w:pPr>
              <w:pStyle w:val="31"/>
              <w:bidi w:val="0"/>
              <w:jc w:val="center"/>
              <w:rPr>
                <w:rFonts w:hint="default"/>
                <w:lang w:val="en-US" w:eastAsia="zh-CN"/>
              </w:rPr>
            </w:pPr>
            <w:r>
              <w:rPr>
                <w:rFonts w:hint="eastAsia"/>
                <w:lang w:val="en-US" w:eastAsia="zh-CN"/>
              </w:rPr>
              <w:t>序号</w:t>
            </w:r>
          </w:p>
        </w:tc>
        <w:tc>
          <w:tcPr>
            <w:tcW w:w="1098" w:type="pct"/>
            <w:vAlign w:val="center"/>
          </w:tcPr>
          <w:p w14:paraId="354DA43F">
            <w:pPr>
              <w:pStyle w:val="31"/>
              <w:bidi w:val="0"/>
              <w:jc w:val="center"/>
              <w:rPr>
                <w:rFonts w:hint="default"/>
                <w:lang w:val="en-US" w:eastAsia="zh-CN"/>
              </w:rPr>
            </w:pPr>
            <w:r>
              <w:rPr>
                <w:rFonts w:hint="eastAsia"/>
                <w:lang w:val="en-US" w:eastAsia="zh-CN"/>
              </w:rPr>
              <w:t>固废名称</w:t>
            </w:r>
          </w:p>
        </w:tc>
        <w:tc>
          <w:tcPr>
            <w:tcW w:w="482" w:type="pct"/>
            <w:vAlign w:val="center"/>
          </w:tcPr>
          <w:p w14:paraId="76BD4597">
            <w:pPr>
              <w:pStyle w:val="31"/>
              <w:bidi w:val="0"/>
              <w:jc w:val="center"/>
              <w:rPr>
                <w:rFonts w:hint="default"/>
                <w:lang w:val="en-US" w:eastAsia="zh-CN"/>
              </w:rPr>
            </w:pPr>
            <w:r>
              <w:rPr>
                <w:rFonts w:hint="eastAsia"/>
                <w:lang w:val="en-US" w:eastAsia="zh-CN"/>
              </w:rPr>
              <w:t>类别</w:t>
            </w:r>
          </w:p>
        </w:tc>
        <w:tc>
          <w:tcPr>
            <w:tcW w:w="907" w:type="pct"/>
            <w:vAlign w:val="center"/>
          </w:tcPr>
          <w:p w14:paraId="23BE7F7E">
            <w:pPr>
              <w:pStyle w:val="31"/>
              <w:bidi w:val="0"/>
              <w:jc w:val="center"/>
              <w:rPr>
                <w:rFonts w:hint="default"/>
                <w:lang w:val="en-US" w:eastAsia="zh-CN"/>
              </w:rPr>
            </w:pPr>
            <w:r>
              <w:rPr>
                <w:rFonts w:hint="eastAsia"/>
                <w:lang w:val="en-US" w:eastAsia="zh-CN"/>
              </w:rPr>
              <w:t>代码</w:t>
            </w:r>
          </w:p>
        </w:tc>
        <w:tc>
          <w:tcPr>
            <w:tcW w:w="751" w:type="pct"/>
            <w:vAlign w:val="center"/>
          </w:tcPr>
          <w:p w14:paraId="4F917194">
            <w:pPr>
              <w:pStyle w:val="31"/>
              <w:bidi w:val="0"/>
              <w:jc w:val="center"/>
              <w:rPr>
                <w:rFonts w:hint="default"/>
                <w:lang w:val="en-US" w:eastAsia="zh-CN"/>
              </w:rPr>
            </w:pPr>
            <w:r>
              <w:rPr>
                <w:rFonts w:hint="eastAsia"/>
                <w:lang w:val="en-US" w:eastAsia="zh-CN"/>
              </w:rPr>
              <w:t>产生量t/a</w:t>
            </w:r>
          </w:p>
        </w:tc>
        <w:tc>
          <w:tcPr>
            <w:tcW w:w="969" w:type="pct"/>
            <w:vAlign w:val="center"/>
          </w:tcPr>
          <w:p w14:paraId="523B598F">
            <w:pPr>
              <w:pStyle w:val="31"/>
              <w:bidi w:val="0"/>
              <w:jc w:val="center"/>
              <w:rPr>
                <w:rFonts w:hint="default"/>
                <w:lang w:val="en-US" w:eastAsia="zh-CN"/>
              </w:rPr>
            </w:pPr>
            <w:r>
              <w:rPr>
                <w:rFonts w:hint="eastAsia"/>
                <w:lang w:val="en-US" w:eastAsia="zh-CN"/>
              </w:rPr>
              <w:t>处置方式</w:t>
            </w:r>
          </w:p>
        </w:tc>
        <w:tc>
          <w:tcPr>
            <w:tcW w:w="406" w:type="pct"/>
            <w:vAlign w:val="center"/>
          </w:tcPr>
          <w:p w14:paraId="3F78D7AE">
            <w:pPr>
              <w:pStyle w:val="31"/>
              <w:bidi w:val="0"/>
              <w:jc w:val="center"/>
              <w:rPr>
                <w:rFonts w:hint="default"/>
                <w:lang w:val="en-US" w:eastAsia="zh-CN"/>
              </w:rPr>
            </w:pPr>
            <w:r>
              <w:rPr>
                <w:rFonts w:hint="eastAsia"/>
                <w:lang w:val="en-US" w:eastAsia="zh-CN"/>
              </w:rPr>
              <w:t>排放量t/a</w:t>
            </w:r>
          </w:p>
        </w:tc>
      </w:tr>
      <w:tr w14:paraId="76EB7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6961F9E">
            <w:pPr>
              <w:pStyle w:val="31"/>
              <w:bidi w:val="0"/>
              <w:jc w:val="center"/>
              <w:rPr>
                <w:rFonts w:hint="default"/>
                <w:lang w:val="en-US" w:eastAsia="zh-CN"/>
              </w:rPr>
            </w:pPr>
            <w:r>
              <w:rPr>
                <w:rFonts w:hint="eastAsia"/>
                <w:lang w:val="en-US" w:eastAsia="zh-CN"/>
              </w:rPr>
              <w:t>1</w:t>
            </w:r>
          </w:p>
        </w:tc>
        <w:tc>
          <w:tcPr>
            <w:tcW w:w="1098" w:type="pct"/>
            <w:vAlign w:val="center"/>
          </w:tcPr>
          <w:p w14:paraId="03BE8482">
            <w:pPr>
              <w:pStyle w:val="31"/>
              <w:bidi w:val="0"/>
              <w:jc w:val="center"/>
              <w:rPr>
                <w:rFonts w:hint="default"/>
                <w:lang w:val="en-US" w:eastAsia="zh-CN"/>
              </w:rPr>
            </w:pPr>
            <w:r>
              <w:rPr>
                <w:rFonts w:hint="eastAsia"/>
                <w:lang w:val="en-US" w:eastAsia="zh-CN"/>
              </w:rPr>
              <w:t>生活垃圾</w:t>
            </w:r>
          </w:p>
        </w:tc>
        <w:tc>
          <w:tcPr>
            <w:tcW w:w="482" w:type="pct"/>
            <w:vAlign w:val="center"/>
          </w:tcPr>
          <w:p w14:paraId="1CBC82E7">
            <w:pPr>
              <w:pStyle w:val="31"/>
              <w:bidi w:val="0"/>
              <w:jc w:val="center"/>
              <w:rPr>
                <w:rFonts w:hint="default"/>
                <w:lang w:val="en-US" w:eastAsia="zh-CN"/>
              </w:rPr>
            </w:pPr>
            <w:r>
              <w:rPr>
                <w:rFonts w:hint="eastAsia"/>
                <w:lang w:val="en-US" w:eastAsia="zh-CN"/>
              </w:rPr>
              <w:t>生活垃圾</w:t>
            </w:r>
          </w:p>
        </w:tc>
        <w:tc>
          <w:tcPr>
            <w:tcW w:w="907" w:type="pct"/>
            <w:vAlign w:val="center"/>
          </w:tcPr>
          <w:p w14:paraId="2EEE0787">
            <w:pPr>
              <w:pStyle w:val="31"/>
              <w:bidi w:val="0"/>
              <w:jc w:val="center"/>
              <w:rPr>
                <w:rFonts w:hint="default"/>
                <w:lang w:val="en-US" w:eastAsia="zh-CN"/>
              </w:rPr>
            </w:pPr>
            <w:r>
              <w:rPr>
                <w:rFonts w:hint="eastAsia"/>
                <w:lang w:val="en-US" w:eastAsia="zh-CN"/>
              </w:rPr>
              <w:t>/</w:t>
            </w:r>
          </w:p>
        </w:tc>
        <w:tc>
          <w:tcPr>
            <w:tcW w:w="751" w:type="pct"/>
            <w:vAlign w:val="center"/>
          </w:tcPr>
          <w:p w14:paraId="658FBEB6">
            <w:pPr>
              <w:pStyle w:val="31"/>
              <w:bidi w:val="0"/>
              <w:jc w:val="center"/>
              <w:rPr>
                <w:rFonts w:hint="default"/>
                <w:lang w:val="en-US" w:eastAsia="zh-CN"/>
              </w:rPr>
            </w:pPr>
            <w:r>
              <w:rPr>
                <w:rFonts w:hint="eastAsia"/>
                <w:lang w:val="en-US" w:eastAsia="zh-CN"/>
              </w:rPr>
              <w:t>3</w:t>
            </w:r>
          </w:p>
        </w:tc>
        <w:tc>
          <w:tcPr>
            <w:tcW w:w="969" w:type="pct"/>
            <w:vAlign w:val="center"/>
          </w:tcPr>
          <w:p w14:paraId="57FB379D">
            <w:pPr>
              <w:pStyle w:val="31"/>
              <w:bidi w:val="0"/>
              <w:jc w:val="center"/>
              <w:rPr>
                <w:rFonts w:hint="eastAsia"/>
                <w:lang w:val="en-US" w:eastAsia="zh-CN"/>
              </w:rPr>
            </w:pPr>
            <w:r>
              <w:rPr>
                <w:rFonts w:hint="eastAsia"/>
                <w:lang w:val="en-US" w:eastAsia="zh-CN"/>
              </w:rPr>
              <w:t>分类垃圾桶收集，</w:t>
            </w:r>
          </w:p>
          <w:p w14:paraId="3D15C249">
            <w:pPr>
              <w:pStyle w:val="31"/>
              <w:bidi w:val="0"/>
              <w:jc w:val="center"/>
              <w:rPr>
                <w:rFonts w:hint="default"/>
                <w:lang w:val="en-US" w:eastAsia="zh-CN"/>
              </w:rPr>
            </w:pPr>
            <w:r>
              <w:rPr>
                <w:rFonts w:hint="eastAsia"/>
                <w:lang w:val="en-US" w:eastAsia="zh-CN"/>
              </w:rPr>
              <w:t>委托环卫部门处理</w:t>
            </w:r>
          </w:p>
        </w:tc>
        <w:tc>
          <w:tcPr>
            <w:tcW w:w="406" w:type="pct"/>
            <w:vAlign w:val="center"/>
          </w:tcPr>
          <w:p w14:paraId="77AFC402">
            <w:pPr>
              <w:pStyle w:val="31"/>
              <w:bidi w:val="0"/>
              <w:jc w:val="center"/>
              <w:rPr>
                <w:rFonts w:hint="default"/>
                <w:lang w:val="en-US" w:eastAsia="zh-CN"/>
              </w:rPr>
            </w:pPr>
            <w:r>
              <w:rPr>
                <w:rFonts w:hint="eastAsia"/>
                <w:lang w:val="en-US" w:eastAsia="zh-CN"/>
              </w:rPr>
              <w:t>0</w:t>
            </w:r>
          </w:p>
        </w:tc>
      </w:tr>
      <w:tr w14:paraId="56FD0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B1867D9">
            <w:pPr>
              <w:pStyle w:val="31"/>
              <w:bidi w:val="0"/>
              <w:jc w:val="center"/>
              <w:rPr>
                <w:rFonts w:hint="default"/>
                <w:lang w:val="en-US" w:eastAsia="zh-CN"/>
              </w:rPr>
            </w:pPr>
            <w:r>
              <w:rPr>
                <w:rFonts w:hint="eastAsia"/>
                <w:lang w:val="en-US" w:eastAsia="zh-CN"/>
              </w:rPr>
              <w:t>2</w:t>
            </w:r>
          </w:p>
        </w:tc>
        <w:tc>
          <w:tcPr>
            <w:tcW w:w="1098" w:type="pct"/>
            <w:shd w:val="clear" w:color="auto" w:fill="auto"/>
            <w:vAlign w:val="center"/>
          </w:tcPr>
          <w:p w14:paraId="31531C98">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钢板、钢材碎料及铁锈铁渣等</w:t>
            </w:r>
          </w:p>
        </w:tc>
        <w:tc>
          <w:tcPr>
            <w:tcW w:w="482" w:type="pct"/>
            <w:vMerge w:val="restart"/>
            <w:vAlign w:val="center"/>
          </w:tcPr>
          <w:p w14:paraId="1E6EBCAB">
            <w:pPr>
              <w:pStyle w:val="31"/>
              <w:bidi w:val="0"/>
              <w:jc w:val="center"/>
              <w:rPr>
                <w:rFonts w:hint="default"/>
                <w:lang w:val="en-US" w:eastAsia="zh-CN"/>
              </w:rPr>
            </w:pPr>
            <w:r>
              <w:rPr>
                <w:rFonts w:hint="eastAsia"/>
                <w:lang w:val="en-US" w:eastAsia="zh-CN"/>
              </w:rPr>
              <w:t>一般固体废物</w:t>
            </w:r>
          </w:p>
        </w:tc>
        <w:tc>
          <w:tcPr>
            <w:tcW w:w="907" w:type="pct"/>
            <w:vAlign w:val="center"/>
          </w:tcPr>
          <w:p w14:paraId="46938919">
            <w:pPr>
              <w:pStyle w:val="31"/>
              <w:bidi w:val="0"/>
              <w:jc w:val="center"/>
              <w:rPr>
                <w:rFonts w:hint="default"/>
                <w:lang w:val="en-US" w:eastAsia="zh-CN"/>
              </w:rPr>
            </w:pPr>
            <w:r>
              <w:rPr>
                <w:rFonts w:hint="eastAsia"/>
                <w:lang w:val="en-US" w:eastAsia="zh-CN"/>
              </w:rPr>
              <w:t>900-001-S17</w:t>
            </w:r>
          </w:p>
        </w:tc>
        <w:tc>
          <w:tcPr>
            <w:tcW w:w="751" w:type="pct"/>
            <w:vAlign w:val="center"/>
          </w:tcPr>
          <w:p w14:paraId="6D0C1831">
            <w:pPr>
              <w:pStyle w:val="31"/>
              <w:bidi w:val="0"/>
              <w:jc w:val="center"/>
              <w:rPr>
                <w:rFonts w:hint="default"/>
                <w:lang w:val="en-US" w:eastAsia="zh-CN"/>
              </w:rPr>
            </w:pPr>
            <w:r>
              <w:rPr>
                <w:rFonts w:hint="eastAsia"/>
                <w:lang w:val="en-US" w:eastAsia="zh-CN"/>
              </w:rPr>
              <w:t>2923.21</w:t>
            </w:r>
          </w:p>
        </w:tc>
        <w:tc>
          <w:tcPr>
            <w:tcW w:w="969" w:type="pct"/>
            <w:vMerge w:val="restart"/>
            <w:vAlign w:val="center"/>
          </w:tcPr>
          <w:p w14:paraId="04BF03C7">
            <w:pPr>
              <w:pStyle w:val="31"/>
              <w:bidi w:val="0"/>
              <w:jc w:val="center"/>
              <w:rPr>
                <w:rFonts w:hint="default"/>
                <w:lang w:val="en-US" w:eastAsia="zh-CN"/>
              </w:rPr>
            </w:pPr>
            <w:r>
              <w:rPr>
                <w:rFonts w:hint="eastAsia"/>
                <w:lang w:val="en-US" w:eastAsia="zh-CN"/>
              </w:rPr>
              <w:t>拆解后场地不进行长时间贮存，直接装车外售</w:t>
            </w:r>
          </w:p>
        </w:tc>
        <w:tc>
          <w:tcPr>
            <w:tcW w:w="406" w:type="pct"/>
            <w:vAlign w:val="center"/>
          </w:tcPr>
          <w:p w14:paraId="682D7638">
            <w:pPr>
              <w:pStyle w:val="31"/>
              <w:bidi w:val="0"/>
              <w:jc w:val="center"/>
              <w:rPr>
                <w:rFonts w:hint="default"/>
                <w:lang w:val="en-US" w:eastAsia="zh-CN"/>
              </w:rPr>
            </w:pPr>
            <w:r>
              <w:rPr>
                <w:rFonts w:hint="eastAsia"/>
                <w:lang w:val="en-US" w:eastAsia="zh-CN"/>
              </w:rPr>
              <w:t>0</w:t>
            </w:r>
          </w:p>
        </w:tc>
      </w:tr>
      <w:tr w14:paraId="339AE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842A9DD">
            <w:pPr>
              <w:pStyle w:val="31"/>
              <w:bidi w:val="0"/>
              <w:jc w:val="center"/>
              <w:rPr>
                <w:rFonts w:hint="default"/>
                <w:lang w:val="en-US" w:eastAsia="zh-CN"/>
              </w:rPr>
            </w:pPr>
            <w:r>
              <w:rPr>
                <w:rFonts w:hint="eastAsia"/>
                <w:lang w:val="en-US" w:eastAsia="zh-CN"/>
              </w:rPr>
              <w:t>2</w:t>
            </w:r>
          </w:p>
        </w:tc>
        <w:tc>
          <w:tcPr>
            <w:tcW w:w="1098" w:type="pct"/>
            <w:shd w:val="clear" w:color="auto" w:fill="auto"/>
            <w:vAlign w:val="center"/>
          </w:tcPr>
          <w:p w14:paraId="42A61F09">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木材家具</w:t>
            </w:r>
          </w:p>
        </w:tc>
        <w:tc>
          <w:tcPr>
            <w:tcW w:w="482" w:type="pct"/>
            <w:vMerge w:val="continue"/>
            <w:vAlign w:val="center"/>
          </w:tcPr>
          <w:p w14:paraId="4E1BA931">
            <w:pPr>
              <w:pStyle w:val="31"/>
              <w:bidi w:val="0"/>
              <w:jc w:val="center"/>
              <w:rPr>
                <w:rFonts w:hint="default"/>
                <w:lang w:val="en-US" w:eastAsia="zh-CN"/>
              </w:rPr>
            </w:pPr>
          </w:p>
        </w:tc>
        <w:tc>
          <w:tcPr>
            <w:tcW w:w="907" w:type="pct"/>
            <w:vAlign w:val="center"/>
          </w:tcPr>
          <w:p w14:paraId="456EACA3">
            <w:pPr>
              <w:pStyle w:val="31"/>
              <w:bidi w:val="0"/>
              <w:jc w:val="center"/>
              <w:rPr>
                <w:rFonts w:hint="default"/>
                <w:lang w:val="en-US" w:eastAsia="zh-CN"/>
              </w:rPr>
            </w:pPr>
            <w:r>
              <w:rPr>
                <w:rFonts w:hint="eastAsia"/>
                <w:lang w:val="en-US" w:eastAsia="zh-CN"/>
              </w:rPr>
              <w:t>900-009-S17</w:t>
            </w:r>
          </w:p>
        </w:tc>
        <w:tc>
          <w:tcPr>
            <w:tcW w:w="751" w:type="pct"/>
            <w:vAlign w:val="center"/>
          </w:tcPr>
          <w:p w14:paraId="02EF54AF">
            <w:pPr>
              <w:pStyle w:val="31"/>
              <w:bidi w:val="0"/>
              <w:jc w:val="center"/>
              <w:rPr>
                <w:rFonts w:hint="default"/>
                <w:lang w:val="en-US" w:eastAsia="zh-CN"/>
              </w:rPr>
            </w:pPr>
            <w:r>
              <w:rPr>
                <w:rFonts w:hint="eastAsia"/>
                <w:lang w:val="en-US" w:eastAsia="zh-CN"/>
              </w:rPr>
              <w:t>25.79</w:t>
            </w:r>
          </w:p>
        </w:tc>
        <w:tc>
          <w:tcPr>
            <w:tcW w:w="969" w:type="pct"/>
            <w:vMerge w:val="continue"/>
            <w:vAlign w:val="center"/>
          </w:tcPr>
          <w:p w14:paraId="7AA807FC">
            <w:pPr>
              <w:pStyle w:val="31"/>
              <w:bidi w:val="0"/>
              <w:rPr>
                <w:rFonts w:hint="default"/>
                <w:lang w:val="en-US" w:eastAsia="zh-CN"/>
              </w:rPr>
            </w:pPr>
          </w:p>
        </w:tc>
        <w:tc>
          <w:tcPr>
            <w:tcW w:w="406" w:type="pct"/>
            <w:vAlign w:val="center"/>
          </w:tcPr>
          <w:p w14:paraId="550276A9">
            <w:pPr>
              <w:pStyle w:val="31"/>
              <w:bidi w:val="0"/>
              <w:jc w:val="center"/>
              <w:rPr>
                <w:rFonts w:hint="default"/>
                <w:lang w:val="en-US" w:eastAsia="zh-CN"/>
              </w:rPr>
            </w:pPr>
            <w:r>
              <w:rPr>
                <w:rFonts w:hint="eastAsia"/>
                <w:lang w:val="en-US" w:eastAsia="zh-CN"/>
              </w:rPr>
              <w:t>0</w:t>
            </w:r>
          </w:p>
        </w:tc>
      </w:tr>
      <w:tr w14:paraId="50EFE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F01735C">
            <w:pPr>
              <w:pStyle w:val="31"/>
              <w:bidi w:val="0"/>
              <w:jc w:val="center"/>
              <w:rPr>
                <w:rFonts w:hint="default"/>
                <w:lang w:val="en-US" w:eastAsia="zh-CN"/>
              </w:rPr>
            </w:pPr>
            <w:r>
              <w:rPr>
                <w:rFonts w:hint="eastAsia"/>
                <w:lang w:val="en-US" w:eastAsia="zh-CN"/>
              </w:rPr>
              <w:t>3</w:t>
            </w:r>
          </w:p>
        </w:tc>
        <w:tc>
          <w:tcPr>
            <w:tcW w:w="1098" w:type="pct"/>
            <w:shd w:val="clear" w:color="auto" w:fill="auto"/>
            <w:vAlign w:val="center"/>
          </w:tcPr>
          <w:p w14:paraId="6F9D5AAC">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有色金属（含螺旋桨铜、铝碎料、铜碎料等）</w:t>
            </w:r>
          </w:p>
        </w:tc>
        <w:tc>
          <w:tcPr>
            <w:tcW w:w="482" w:type="pct"/>
            <w:vMerge w:val="continue"/>
            <w:vAlign w:val="center"/>
          </w:tcPr>
          <w:p w14:paraId="6F598AE7">
            <w:pPr>
              <w:pStyle w:val="31"/>
              <w:bidi w:val="0"/>
              <w:jc w:val="center"/>
              <w:rPr>
                <w:rFonts w:hint="default"/>
                <w:lang w:val="en-US" w:eastAsia="zh-CN"/>
              </w:rPr>
            </w:pPr>
          </w:p>
        </w:tc>
        <w:tc>
          <w:tcPr>
            <w:tcW w:w="907" w:type="pct"/>
            <w:vAlign w:val="center"/>
          </w:tcPr>
          <w:p w14:paraId="72384D46">
            <w:pPr>
              <w:pStyle w:val="31"/>
              <w:bidi w:val="0"/>
              <w:jc w:val="center"/>
              <w:rPr>
                <w:rFonts w:hint="default"/>
                <w:lang w:val="en-US" w:eastAsia="zh-CN"/>
              </w:rPr>
            </w:pPr>
            <w:r>
              <w:rPr>
                <w:rFonts w:hint="eastAsia"/>
                <w:lang w:val="en-US" w:eastAsia="zh-CN"/>
              </w:rPr>
              <w:t>900-002-S17</w:t>
            </w:r>
          </w:p>
        </w:tc>
        <w:tc>
          <w:tcPr>
            <w:tcW w:w="751" w:type="pct"/>
            <w:vAlign w:val="center"/>
          </w:tcPr>
          <w:p w14:paraId="73996F2F">
            <w:pPr>
              <w:pStyle w:val="31"/>
              <w:bidi w:val="0"/>
              <w:jc w:val="center"/>
              <w:rPr>
                <w:rFonts w:hint="default"/>
                <w:lang w:val="en-US" w:eastAsia="zh-CN"/>
              </w:rPr>
            </w:pPr>
            <w:r>
              <w:rPr>
                <w:rFonts w:hint="eastAsia"/>
                <w:lang w:val="en-US" w:eastAsia="zh-CN"/>
              </w:rPr>
              <w:t>42.99</w:t>
            </w:r>
          </w:p>
        </w:tc>
        <w:tc>
          <w:tcPr>
            <w:tcW w:w="969" w:type="pct"/>
            <w:vMerge w:val="continue"/>
            <w:vAlign w:val="center"/>
          </w:tcPr>
          <w:p w14:paraId="429F543D">
            <w:pPr>
              <w:pStyle w:val="31"/>
              <w:bidi w:val="0"/>
              <w:rPr>
                <w:rFonts w:hint="default"/>
                <w:lang w:val="en-US" w:eastAsia="zh-CN"/>
              </w:rPr>
            </w:pPr>
          </w:p>
        </w:tc>
        <w:tc>
          <w:tcPr>
            <w:tcW w:w="406" w:type="pct"/>
            <w:vAlign w:val="center"/>
          </w:tcPr>
          <w:p w14:paraId="55B9B12C">
            <w:pPr>
              <w:pStyle w:val="31"/>
              <w:bidi w:val="0"/>
              <w:jc w:val="center"/>
              <w:rPr>
                <w:rFonts w:hint="default"/>
                <w:lang w:val="en-US" w:eastAsia="zh-CN"/>
              </w:rPr>
            </w:pPr>
            <w:r>
              <w:rPr>
                <w:rFonts w:hint="eastAsia"/>
                <w:lang w:val="en-US" w:eastAsia="zh-CN"/>
              </w:rPr>
              <w:t>0</w:t>
            </w:r>
          </w:p>
        </w:tc>
      </w:tr>
      <w:tr w14:paraId="15861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5DCA467">
            <w:pPr>
              <w:pStyle w:val="31"/>
              <w:bidi w:val="0"/>
              <w:jc w:val="center"/>
              <w:rPr>
                <w:rFonts w:hint="default"/>
                <w:lang w:val="en-US" w:eastAsia="zh-CN"/>
              </w:rPr>
            </w:pPr>
            <w:r>
              <w:rPr>
                <w:rFonts w:hint="eastAsia"/>
                <w:lang w:val="en-US" w:eastAsia="zh-CN"/>
              </w:rPr>
              <w:t>4</w:t>
            </w:r>
          </w:p>
        </w:tc>
        <w:tc>
          <w:tcPr>
            <w:tcW w:w="1098" w:type="pct"/>
            <w:shd w:val="clear" w:color="auto" w:fill="auto"/>
            <w:vAlign w:val="center"/>
          </w:tcPr>
          <w:p w14:paraId="15C39954">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电线电缆</w:t>
            </w:r>
          </w:p>
        </w:tc>
        <w:tc>
          <w:tcPr>
            <w:tcW w:w="482" w:type="pct"/>
            <w:vMerge w:val="continue"/>
            <w:vAlign w:val="center"/>
          </w:tcPr>
          <w:p w14:paraId="4E10D9F6">
            <w:pPr>
              <w:pStyle w:val="31"/>
              <w:bidi w:val="0"/>
              <w:jc w:val="center"/>
              <w:rPr>
                <w:rFonts w:hint="default"/>
                <w:lang w:val="en-US" w:eastAsia="zh-CN"/>
              </w:rPr>
            </w:pPr>
          </w:p>
        </w:tc>
        <w:tc>
          <w:tcPr>
            <w:tcW w:w="907" w:type="pct"/>
            <w:vAlign w:val="center"/>
          </w:tcPr>
          <w:p w14:paraId="185B80EB">
            <w:pPr>
              <w:pStyle w:val="31"/>
              <w:bidi w:val="0"/>
              <w:jc w:val="center"/>
              <w:rPr>
                <w:rFonts w:hint="default"/>
                <w:lang w:val="en-US" w:eastAsia="zh-CN"/>
              </w:rPr>
            </w:pPr>
            <w:r>
              <w:rPr>
                <w:rFonts w:hint="eastAsia"/>
                <w:lang w:val="en-US" w:eastAsia="zh-CN"/>
              </w:rPr>
              <w:t>900-099-S17</w:t>
            </w:r>
          </w:p>
        </w:tc>
        <w:tc>
          <w:tcPr>
            <w:tcW w:w="751" w:type="pct"/>
            <w:vAlign w:val="center"/>
          </w:tcPr>
          <w:p w14:paraId="4637D9AD">
            <w:pPr>
              <w:pStyle w:val="31"/>
              <w:bidi w:val="0"/>
              <w:jc w:val="center"/>
              <w:rPr>
                <w:rFonts w:hint="default"/>
                <w:lang w:val="en-US" w:eastAsia="zh-CN"/>
              </w:rPr>
            </w:pPr>
            <w:r>
              <w:rPr>
                <w:rFonts w:hint="eastAsia"/>
                <w:lang w:val="en-US" w:eastAsia="zh-CN"/>
              </w:rPr>
              <w:t>17.20</w:t>
            </w:r>
          </w:p>
        </w:tc>
        <w:tc>
          <w:tcPr>
            <w:tcW w:w="969" w:type="pct"/>
            <w:vMerge w:val="continue"/>
            <w:vAlign w:val="center"/>
          </w:tcPr>
          <w:p w14:paraId="6CF92FE0">
            <w:pPr>
              <w:pStyle w:val="31"/>
              <w:bidi w:val="0"/>
              <w:rPr>
                <w:rFonts w:hint="default"/>
                <w:lang w:val="en-US" w:eastAsia="zh-CN"/>
              </w:rPr>
            </w:pPr>
          </w:p>
        </w:tc>
        <w:tc>
          <w:tcPr>
            <w:tcW w:w="406" w:type="pct"/>
            <w:vAlign w:val="center"/>
          </w:tcPr>
          <w:p w14:paraId="3F9F2EE1">
            <w:pPr>
              <w:pStyle w:val="31"/>
              <w:bidi w:val="0"/>
              <w:jc w:val="center"/>
              <w:rPr>
                <w:rFonts w:hint="default"/>
                <w:lang w:val="en-US" w:eastAsia="zh-CN"/>
              </w:rPr>
            </w:pPr>
            <w:r>
              <w:rPr>
                <w:rFonts w:hint="eastAsia"/>
                <w:lang w:val="en-US" w:eastAsia="zh-CN"/>
              </w:rPr>
              <w:t>0</w:t>
            </w:r>
          </w:p>
        </w:tc>
      </w:tr>
      <w:tr w14:paraId="55F44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7AC753B">
            <w:pPr>
              <w:pStyle w:val="31"/>
              <w:bidi w:val="0"/>
              <w:jc w:val="center"/>
              <w:rPr>
                <w:rFonts w:hint="default"/>
                <w:lang w:val="en-US" w:eastAsia="zh-CN"/>
              </w:rPr>
            </w:pPr>
            <w:r>
              <w:rPr>
                <w:rFonts w:hint="eastAsia"/>
                <w:lang w:val="en-US" w:eastAsia="zh-CN"/>
              </w:rPr>
              <w:t>5</w:t>
            </w:r>
          </w:p>
        </w:tc>
        <w:tc>
          <w:tcPr>
            <w:tcW w:w="1098" w:type="pct"/>
            <w:shd w:val="clear" w:color="auto" w:fill="auto"/>
            <w:vAlign w:val="center"/>
          </w:tcPr>
          <w:p w14:paraId="4AA40D35">
            <w:pPr>
              <w:pStyle w:val="31"/>
              <w:bidi w:val="0"/>
              <w:ind w:firstLine="0" w:firstLineChars="0"/>
              <w:jc w:val="center"/>
              <w:rPr>
                <w:rFonts w:hint="default" w:ascii="Times New Roman" w:hAnsi="Times New Roman" w:eastAsia="宋体" w:cstheme="minorBidi"/>
                <w:kern w:val="2"/>
                <w:sz w:val="21"/>
                <w:szCs w:val="21"/>
                <w:u w:val="none"/>
                <w:lang w:val="en-US" w:eastAsia="zh-CN" w:bidi="ar-SA"/>
                <w14:ligatures w14:val="standardContextual"/>
              </w:rPr>
            </w:pPr>
            <w:r>
              <w:rPr>
                <w:u w:val="none"/>
              </w:rPr>
              <w:t>机械设备及仪器仪表（起货机、绞缆机、起重机、机修设备、主机、发电机组、通讯导航仪器、水泵等）</w:t>
            </w:r>
          </w:p>
        </w:tc>
        <w:tc>
          <w:tcPr>
            <w:tcW w:w="482" w:type="pct"/>
            <w:vMerge w:val="continue"/>
            <w:vAlign w:val="center"/>
          </w:tcPr>
          <w:p w14:paraId="4D715A1F">
            <w:pPr>
              <w:pStyle w:val="31"/>
              <w:bidi w:val="0"/>
              <w:jc w:val="center"/>
              <w:rPr>
                <w:rFonts w:hint="default"/>
                <w:lang w:val="en-US" w:eastAsia="zh-CN"/>
              </w:rPr>
            </w:pPr>
          </w:p>
        </w:tc>
        <w:tc>
          <w:tcPr>
            <w:tcW w:w="907" w:type="pct"/>
            <w:vAlign w:val="center"/>
          </w:tcPr>
          <w:p w14:paraId="1C4EBA29">
            <w:pPr>
              <w:pStyle w:val="31"/>
              <w:bidi w:val="0"/>
              <w:jc w:val="center"/>
              <w:rPr>
                <w:rFonts w:hint="default"/>
                <w:lang w:val="en-US" w:eastAsia="zh-CN"/>
              </w:rPr>
            </w:pPr>
            <w:r>
              <w:rPr>
                <w:rFonts w:hint="eastAsia"/>
                <w:lang w:val="en-US" w:eastAsia="zh-CN"/>
              </w:rPr>
              <w:t>900-013-S17</w:t>
            </w:r>
          </w:p>
        </w:tc>
        <w:tc>
          <w:tcPr>
            <w:tcW w:w="751" w:type="pct"/>
            <w:vAlign w:val="center"/>
          </w:tcPr>
          <w:p w14:paraId="074DDA51">
            <w:pPr>
              <w:pStyle w:val="31"/>
              <w:bidi w:val="0"/>
              <w:jc w:val="center"/>
              <w:rPr>
                <w:rFonts w:hint="default"/>
                <w:lang w:val="en-US" w:eastAsia="zh-CN"/>
              </w:rPr>
            </w:pPr>
            <w:r>
              <w:rPr>
                <w:rFonts w:hint="eastAsia"/>
                <w:lang w:val="en-US" w:eastAsia="zh-CN"/>
              </w:rPr>
              <w:t>429.88</w:t>
            </w:r>
          </w:p>
        </w:tc>
        <w:tc>
          <w:tcPr>
            <w:tcW w:w="969" w:type="pct"/>
            <w:vMerge w:val="continue"/>
            <w:vAlign w:val="center"/>
          </w:tcPr>
          <w:p w14:paraId="21984C3C">
            <w:pPr>
              <w:pStyle w:val="31"/>
              <w:bidi w:val="0"/>
              <w:rPr>
                <w:rFonts w:hint="default"/>
                <w:lang w:val="en-US" w:eastAsia="zh-CN"/>
              </w:rPr>
            </w:pPr>
          </w:p>
        </w:tc>
        <w:tc>
          <w:tcPr>
            <w:tcW w:w="406" w:type="pct"/>
            <w:vAlign w:val="center"/>
          </w:tcPr>
          <w:p w14:paraId="5C074A87">
            <w:pPr>
              <w:pStyle w:val="31"/>
              <w:bidi w:val="0"/>
              <w:jc w:val="center"/>
              <w:rPr>
                <w:rFonts w:hint="default"/>
                <w:lang w:val="en-US" w:eastAsia="zh-CN"/>
              </w:rPr>
            </w:pPr>
            <w:r>
              <w:rPr>
                <w:rFonts w:hint="eastAsia"/>
                <w:lang w:val="en-US" w:eastAsia="zh-CN"/>
              </w:rPr>
              <w:t>0</w:t>
            </w:r>
          </w:p>
        </w:tc>
      </w:tr>
      <w:tr w14:paraId="5821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37008A79">
            <w:pPr>
              <w:pStyle w:val="31"/>
              <w:bidi w:val="0"/>
              <w:jc w:val="center"/>
              <w:rPr>
                <w:rFonts w:hint="default"/>
                <w:lang w:val="en-US" w:eastAsia="zh-CN"/>
              </w:rPr>
            </w:pPr>
            <w:r>
              <w:rPr>
                <w:rFonts w:hint="eastAsia"/>
                <w:lang w:val="en-US" w:eastAsia="zh-CN"/>
              </w:rPr>
              <w:t>6</w:t>
            </w:r>
          </w:p>
        </w:tc>
        <w:tc>
          <w:tcPr>
            <w:tcW w:w="1098" w:type="pct"/>
            <w:vAlign w:val="center"/>
          </w:tcPr>
          <w:p w14:paraId="083BF1F8">
            <w:pPr>
              <w:pStyle w:val="31"/>
              <w:bidi w:val="0"/>
              <w:jc w:val="center"/>
              <w:rPr>
                <w:rFonts w:hint="default"/>
                <w:lang w:val="en-US" w:eastAsia="zh-CN"/>
              </w:rPr>
            </w:pPr>
            <w:r>
              <w:rPr>
                <w:rFonts w:hint="eastAsia"/>
                <w:lang w:val="en-US" w:eastAsia="zh-CN"/>
              </w:rPr>
              <w:t>不可回收一般固废</w:t>
            </w:r>
          </w:p>
        </w:tc>
        <w:tc>
          <w:tcPr>
            <w:tcW w:w="482" w:type="pct"/>
            <w:vMerge w:val="continue"/>
            <w:vAlign w:val="center"/>
          </w:tcPr>
          <w:p w14:paraId="2EF5E7F4">
            <w:pPr>
              <w:pStyle w:val="31"/>
              <w:bidi w:val="0"/>
              <w:jc w:val="center"/>
              <w:rPr>
                <w:rFonts w:hint="default"/>
                <w:lang w:val="en-US" w:eastAsia="zh-CN"/>
              </w:rPr>
            </w:pPr>
          </w:p>
        </w:tc>
        <w:tc>
          <w:tcPr>
            <w:tcW w:w="907" w:type="pct"/>
            <w:vAlign w:val="center"/>
          </w:tcPr>
          <w:p w14:paraId="3BC4DFDB">
            <w:pPr>
              <w:pStyle w:val="31"/>
              <w:bidi w:val="0"/>
              <w:jc w:val="center"/>
              <w:rPr>
                <w:rFonts w:hint="default"/>
                <w:lang w:val="en-US" w:eastAsia="zh-CN"/>
              </w:rPr>
            </w:pPr>
            <w:r>
              <w:rPr>
                <w:rFonts w:hint="eastAsia"/>
                <w:lang w:val="en-US" w:eastAsia="zh-CN"/>
              </w:rPr>
              <w:t>900-099-S59</w:t>
            </w:r>
          </w:p>
        </w:tc>
        <w:tc>
          <w:tcPr>
            <w:tcW w:w="751" w:type="pct"/>
            <w:vAlign w:val="center"/>
          </w:tcPr>
          <w:p w14:paraId="76951FA7">
            <w:pPr>
              <w:pStyle w:val="31"/>
              <w:bidi w:val="0"/>
              <w:jc w:val="center"/>
              <w:rPr>
                <w:rFonts w:hint="default"/>
                <w:lang w:val="en-US" w:eastAsia="zh-CN"/>
              </w:rPr>
            </w:pPr>
            <w:r>
              <w:rPr>
                <w:rFonts w:hint="eastAsia"/>
                <w:lang w:val="en-US" w:eastAsia="zh-CN"/>
              </w:rPr>
              <w:t>0.34</w:t>
            </w:r>
          </w:p>
        </w:tc>
        <w:tc>
          <w:tcPr>
            <w:tcW w:w="969" w:type="pct"/>
            <w:vAlign w:val="center"/>
          </w:tcPr>
          <w:p w14:paraId="19C5D1EC">
            <w:pPr>
              <w:pStyle w:val="31"/>
              <w:bidi w:val="0"/>
              <w:rPr>
                <w:rFonts w:hint="default"/>
                <w:lang w:val="en-US" w:eastAsia="zh-CN"/>
              </w:rPr>
            </w:pPr>
            <w:r>
              <w:rPr>
                <w:rFonts w:hint="eastAsia"/>
                <w:lang w:val="en-US" w:eastAsia="zh-CN"/>
              </w:rPr>
              <w:t>一般固废暂存间暂存，委托环卫部门处理</w:t>
            </w:r>
          </w:p>
        </w:tc>
        <w:tc>
          <w:tcPr>
            <w:tcW w:w="406" w:type="pct"/>
            <w:vAlign w:val="center"/>
          </w:tcPr>
          <w:p w14:paraId="2FBFABFC">
            <w:pPr>
              <w:pStyle w:val="31"/>
              <w:bidi w:val="0"/>
              <w:jc w:val="center"/>
              <w:rPr>
                <w:rFonts w:hint="default"/>
                <w:lang w:val="en-US" w:eastAsia="zh-CN"/>
              </w:rPr>
            </w:pPr>
            <w:r>
              <w:rPr>
                <w:rFonts w:hint="eastAsia"/>
                <w:lang w:val="en-US" w:eastAsia="zh-CN"/>
              </w:rPr>
              <w:t>0</w:t>
            </w:r>
          </w:p>
        </w:tc>
      </w:tr>
      <w:tr w14:paraId="65DA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363FD22">
            <w:pPr>
              <w:pStyle w:val="31"/>
              <w:bidi w:val="0"/>
              <w:jc w:val="center"/>
              <w:rPr>
                <w:rFonts w:hint="default"/>
                <w:lang w:val="en-US" w:eastAsia="zh-CN"/>
              </w:rPr>
            </w:pPr>
            <w:r>
              <w:rPr>
                <w:rFonts w:hint="eastAsia"/>
                <w:lang w:val="en-US" w:eastAsia="zh-CN"/>
              </w:rPr>
              <w:t>7</w:t>
            </w:r>
          </w:p>
        </w:tc>
        <w:tc>
          <w:tcPr>
            <w:tcW w:w="1098" w:type="pct"/>
            <w:shd w:val="clear" w:color="auto" w:fill="auto"/>
            <w:vAlign w:val="center"/>
          </w:tcPr>
          <w:p w14:paraId="6BF0BE4A">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482" w:type="pct"/>
            <w:vMerge w:val="restart"/>
            <w:vAlign w:val="center"/>
          </w:tcPr>
          <w:p w14:paraId="21B2CE1E">
            <w:pPr>
              <w:pStyle w:val="31"/>
              <w:bidi w:val="0"/>
              <w:jc w:val="center"/>
              <w:rPr>
                <w:rFonts w:hint="default"/>
                <w:lang w:val="en-US" w:eastAsia="zh-CN"/>
              </w:rPr>
            </w:pPr>
            <w:r>
              <w:rPr>
                <w:rFonts w:hint="eastAsia"/>
                <w:lang w:val="en-US" w:eastAsia="zh-CN"/>
              </w:rPr>
              <w:t>危险废物</w:t>
            </w:r>
          </w:p>
        </w:tc>
        <w:tc>
          <w:tcPr>
            <w:tcW w:w="907" w:type="pct"/>
            <w:vAlign w:val="center"/>
          </w:tcPr>
          <w:p w14:paraId="591B6288">
            <w:pPr>
              <w:pStyle w:val="31"/>
              <w:bidi w:val="0"/>
              <w:jc w:val="center"/>
              <w:rPr>
                <w:rFonts w:hint="default"/>
                <w:lang w:val="en-US" w:eastAsia="zh-CN"/>
              </w:rPr>
            </w:pPr>
            <w:r>
              <w:rPr>
                <w:rFonts w:hint="eastAsia"/>
                <w:lang w:val="en-US" w:eastAsia="zh-CN"/>
              </w:rPr>
              <w:t>900-199-08</w:t>
            </w:r>
          </w:p>
        </w:tc>
        <w:tc>
          <w:tcPr>
            <w:tcW w:w="751" w:type="pct"/>
            <w:vAlign w:val="center"/>
          </w:tcPr>
          <w:p w14:paraId="543A7501">
            <w:pPr>
              <w:pStyle w:val="31"/>
              <w:bidi w:val="0"/>
              <w:jc w:val="center"/>
              <w:rPr>
                <w:rFonts w:hint="default"/>
                <w:lang w:val="en-US" w:eastAsia="zh-CN"/>
              </w:rPr>
            </w:pPr>
            <w:r>
              <w:rPr>
                <w:rFonts w:hint="eastAsia"/>
                <w:lang w:val="en-US" w:eastAsia="zh-CN"/>
              </w:rPr>
              <w:t>0.195</w:t>
            </w:r>
          </w:p>
        </w:tc>
        <w:tc>
          <w:tcPr>
            <w:tcW w:w="969" w:type="pct"/>
            <w:vMerge w:val="restart"/>
            <w:vAlign w:val="center"/>
          </w:tcPr>
          <w:p w14:paraId="5DD6870C">
            <w:pPr>
              <w:pStyle w:val="31"/>
              <w:bidi w:val="0"/>
              <w:rPr>
                <w:rFonts w:hint="default"/>
                <w:lang w:val="en-US" w:eastAsia="zh-CN"/>
              </w:rPr>
            </w:pPr>
            <w:r>
              <w:rPr>
                <w:rFonts w:hint="eastAsia"/>
                <w:lang w:val="en-US" w:eastAsia="zh-CN"/>
              </w:rPr>
              <w:t>暂存于危险废物暂存间，委托有资质单位收集处理</w:t>
            </w:r>
          </w:p>
        </w:tc>
        <w:tc>
          <w:tcPr>
            <w:tcW w:w="406" w:type="pct"/>
            <w:vAlign w:val="center"/>
          </w:tcPr>
          <w:p w14:paraId="68C50CAC">
            <w:pPr>
              <w:pStyle w:val="31"/>
              <w:bidi w:val="0"/>
              <w:jc w:val="center"/>
              <w:rPr>
                <w:rFonts w:hint="default"/>
                <w:lang w:val="en-US" w:eastAsia="zh-CN"/>
              </w:rPr>
            </w:pPr>
            <w:r>
              <w:rPr>
                <w:rFonts w:hint="eastAsia"/>
                <w:lang w:val="en-US" w:eastAsia="zh-CN"/>
              </w:rPr>
              <w:t>0</w:t>
            </w:r>
          </w:p>
        </w:tc>
      </w:tr>
      <w:tr w14:paraId="001B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60BC084">
            <w:pPr>
              <w:pStyle w:val="31"/>
              <w:bidi w:val="0"/>
              <w:jc w:val="center"/>
              <w:rPr>
                <w:rFonts w:hint="default"/>
                <w:lang w:val="en-US" w:eastAsia="zh-CN"/>
              </w:rPr>
            </w:pPr>
            <w:r>
              <w:rPr>
                <w:rFonts w:hint="eastAsia"/>
                <w:lang w:val="en-US" w:eastAsia="zh-CN"/>
              </w:rPr>
              <w:t>8</w:t>
            </w:r>
          </w:p>
        </w:tc>
        <w:tc>
          <w:tcPr>
            <w:tcW w:w="0" w:type="auto"/>
            <w:shd w:val="clear" w:color="auto" w:fill="auto"/>
            <w:vAlign w:val="center"/>
          </w:tcPr>
          <w:p w14:paraId="7C14E5AE">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482" w:type="pct"/>
            <w:vMerge w:val="continue"/>
          </w:tcPr>
          <w:p w14:paraId="46AB2E1B">
            <w:pPr>
              <w:pStyle w:val="31"/>
              <w:bidi w:val="0"/>
              <w:jc w:val="center"/>
              <w:rPr>
                <w:rFonts w:hint="default"/>
                <w:lang w:val="en-US" w:eastAsia="zh-CN"/>
              </w:rPr>
            </w:pPr>
          </w:p>
        </w:tc>
        <w:tc>
          <w:tcPr>
            <w:tcW w:w="0" w:type="auto"/>
          </w:tcPr>
          <w:p w14:paraId="5955F22C">
            <w:pPr>
              <w:pStyle w:val="31"/>
              <w:bidi w:val="0"/>
              <w:jc w:val="center"/>
              <w:rPr>
                <w:rFonts w:hint="default"/>
                <w:lang w:val="en-US" w:eastAsia="zh-CN"/>
              </w:rPr>
            </w:pPr>
            <w:r>
              <w:rPr>
                <w:rFonts w:hint="eastAsia"/>
                <w:lang w:val="en-US" w:eastAsia="zh-CN"/>
              </w:rPr>
              <w:t>900-052-31</w:t>
            </w:r>
          </w:p>
        </w:tc>
        <w:tc>
          <w:tcPr>
            <w:tcW w:w="0" w:type="auto"/>
          </w:tcPr>
          <w:p w14:paraId="24C0922C">
            <w:pPr>
              <w:pStyle w:val="31"/>
              <w:bidi w:val="0"/>
              <w:jc w:val="center"/>
              <w:rPr>
                <w:rFonts w:hint="default"/>
                <w:lang w:val="en-US" w:eastAsia="zh-CN"/>
              </w:rPr>
            </w:pPr>
            <w:r>
              <w:rPr>
                <w:rFonts w:hint="eastAsia"/>
                <w:lang w:val="en-US" w:eastAsia="zh-CN"/>
              </w:rPr>
              <w:t>0.142</w:t>
            </w:r>
          </w:p>
        </w:tc>
        <w:tc>
          <w:tcPr>
            <w:tcW w:w="969" w:type="pct"/>
            <w:vMerge w:val="continue"/>
          </w:tcPr>
          <w:p w14:paraId="159AB517">
            <w:pPr>
              <w:pStyle w:val="31"/>
              <w:bidi w:val="0"/>
              <w:rPr>
                <w:rFonts w:hint="eastAsia"/>
                <w:lang w:val="en-US" w:eastAsia="zh-CN"/>
              </w:rPr>
            </w:pPr>
          </w:p>
        </w:tc>
        <w:tc>
          <w:tcPr>
            <w:tcW w:w="0" w:type="auto"/>
          </w:tcPr>
          <w:p w14:paraId="4015C927">
            <w:pPr>
              <w:pStyle w:val="31"/>
              <w:bidi w:val="0"/>
              <w:jc w:val="center"/>
              <w:rPr>
                <w:rFonts w:hint="default"/>
                <w:lang w:val="en-US" w:eastAsia="zh-CN"/>
              </w:rPr>
            </w:pPr>
            <w:r>
              <w:rPr>
                <w:rFonts w:hint="eastAsia"/>
                <w:lang w:val="en-US" w:eastAsia="zh-CN"/>
              </w:rPr>
              <w:t>0</w:t>
            </w:r>
          </w:p>
        </w:tc>
      </w:tr>
      <w:tr w14:paraId="5647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5F4634F">
            <w:pPr>
              <w:pStyle w:val="31"/>
              <w:bidi w:val="0"/>
              <w:jc w:val="center"/>
              <w:rPr>
                <w:rFonts w:hint="default"/>
                <w:lang w:val="en-US" w:eastAsia="zh-CN"/>
              </w:rPr>
            </w:pPr>
            <w:r>
              <w:rPr>
                <w:rFonts w:hint="eastAsia"/>
                <w:lang w:val="en-US" w:eastAsia="zh-CN"/>
              </w:rPr>
              <w:t>9</w:t>
            </w:r>
          </w:p>
        </w:tc>
        <w:tc>
          <w:tcPr>
            <w:tcW w:w="0" w:type="auto"/>
            <w:shd w:val="clear" w:color="auto" w:fill="auto"/>
            <w:vAlign w:val="center"/>
          </w:tcPr>
          <w:p w14:paraId="7630E05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482" w:type="pct"/>
            <w:vMerge w:val="continue"/>
          </w:tcPr>
          <w:p w14:paraId="7F0AF92B">
            <w:pPr>
              <w:pStyle w:val="31"/>
              <w:bidi w:val="0"/>
              <w:jc w:val="center"/>
              <w:rPr>
                <w:rFonts w:hint="default"/>
                <w:lang w:val="en-US" w:eastAsia="zh-CN"/>
              </w:rPr>
            </w:pPr>
          </w:p>
        </w:tc>
        <w:tc>
          <w:tcPr>
            <w:tcW w:w="0" w:type="auto"/>
          </w:tcPr>
          <w:p w14:paraId="649FCCDD">
            <w:pPr>
              <w:pStyle w:val="31"/>
              <w:bidi w:val="0"/>
              <w:jc w:val="center"/>
              <w:rPr>
                <w:rFonts w:hint="default"/>
                <w:lang w:val="en-US" w:eastAsia="zh-CN"/>
              </w:rPr>
            </w:pPr>
            <w:r>
              <w:rPr>
                <w:rFonts w:hint="eastAsia"/>
                <w:lang w:val="en-US" w:eastAsia="zh-CN"/>
              </w:rPr>
              <w:t>900-249-08</w:t>
            </w:r>
          </w:p>
        </w:tc>
        <w:tc>
          <w:tcPr>
            <w:tcW w:w="0" w:type="auto"/>
          </w:tcPr>
          <w:p w14:paraId="2346B368">
            <w:pPr>
              <w:pStyle w:val="31"/>
              <w:bidi w:val="0"/>
              <w:jc w:val="center"/>
              <w:rPr>
                <w:rFonts w:hint="default"/>
                <w:lang w:val="en-US" w:eastAsia="zh-CN"/>
              </w:rPr>
            </w:pPr>
            <w:r>
              <w:rPr>
                <w:rFonts w:hint="eastAsia"/>
                <w:lang w:val="en-US" w:eastAsia="zh-CN"/>
              </w:rPr>
              <w:t>0.106</w:t>
            </w:r>
          </w:p>
        </w:tc>
        <w:tc>
          <w:tcPr>
            <w:tcW w:w="969" w:type="pct"/>
            <w:vMerge w:val="continue"/>
          </w:tcPr>
          <w:p w14:paraId="102D362A">
            <w:pPr>
              <w:pStyle w:val="31"/>
              <w:bidi w:val="0"/>
              <w:rPr>
                <w:rFonts w:hint="eastAsia"/>
                <w:lang w:val="en-US" w:eastAsia="zh-CN"/>
              </w:rPr>
            </w:pPr>
          </w:p>
        </w:tc>
        <w:tc>
          <w:tcPr>
            <w:tcW w:w="0" w:type="auto"/>
          </w:tcPr>
          <w:p w14:paraId="7BE3165A">
            <w:pPr>
              <w:pStyle w:val="31"/>
              <w:bidi w:val="0"/>
              <w:jc w:val="center"/>
              <w:rPr>
                <w:rFonts w:hint="default"/>
                <w:lang w:val="en-US" w:eastAsia="zh-CN"/>
              </w:rPr>
            </w:pPr>
            <w:r>
              <w:rPr>
                <w:rFonts w:hint="eastAsia"/>
                <w:lang w:val="en-US" w:eastAsia="zh-CN"/>
              </w:rPr>
              <w:t>0</w:t>
            </w:r>
          </w:p>
        </w:tc>
      </w:tr>
      <w:tr w14:paraId="74176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B50A44D">
            <w:pPr>
              <w:pStyle w:val="31"/>
              <w:bidi w:val="0"/>
              <w:jc w:val="center"/>
              <w:rPr>
                <w:rFonts w:hint="default"/>
                <w:lang w:val="en-US" w:eastAsia="zh-CN"/>
              </w:rPr>
            </w:pPr>
            <w:r>
              <w:rPr>
                <w:rFonts w:hint="eastAsia"/>
                <w:lang w:val="en-US" w:eastAsia="zh-CN"/>
              </w:rPr>
              <w:t>10</w:t>
            </w:r>
          </w:p>
        </w:tc>
        <w:tc>
          <w:tcPr>
            <w:tcW w:w="0" w:type="auto"/>
            <w:shd w:val="clear" w:color="auto" w:fill="auto"/>
            <w:vAlign w:val="center"/>
          </w:tcPr>
          <w:p w14:paraId="0A61CC7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废漆渣（剥落油漆/涂料碎片）</w:t>
            </w:r>
          </w:p>
        </w:tc>
        <w:tc>
          <w:tcPr>
            <w:tcW w:w="482" w:type="pct"/>
            <w:vMerge w:val="continue"/>
          </w:tcPr>
          <w:p w14:paraId="645ECEF8">
            <w:pPr>
              <w:pStyle w:val="31"/>
              <w:bidi w:val="0"/>
              <w:jc w:val="center"/>
              <w:rPr>
                <w:rFonts w:hint="default"/>
                <w:lang w:val="en-US" w:eastAsia="zh-CN"/>
              </w:rPr>
            </w:pPr>
          </w:p>
        </w:tc>
        <w:tc>
          <w:tcPr>
            <w:tcW w:w="0" w:type="auto"/>
          </w:tcPr>
          <w:p w14:paraId="20AD6E2E">
            <w:pPr>
              <w:pStyle w:val="31"/>
              <w:bidi w:val="0"/>
              <w:jc w:val="center"/>
              <w:rPr>
                <w:rFonts w:hint="default"/>
                <w:lang w:val="en-US" w:eastAsia="zh-CN"/>
              </w:rPr>
            </w:pPr>
            <w:r>
              <w:rPr>
                <w:rFonts w:hint="eastAsia"/>
                <w:lang w:val="en-US" w:eastAsia="zh-CN"/>
              </w:rPr>
              <w:t>900-252-12</w:t>
            </w:r>
          </w:p>
        </w:tc>
        <w:tc>
          <w:tcPr>
            <w:tcW w:w="0" w:type="auto"/>
          </w:tcPr>
          <w:p w14:paraId="1CBB9475">
            <w:pPr>
              <w:pStyle w:val="31"/>
              <w:bidi w:val="0"/>
              <w:jc w:val="center"/>
              <w:rPr>
                <w:rFonts w:hint="default"/>
                <w:lang w:val="en-US" w:eastAsia="zh-CN"/>
              </w:rPr>
            </w:pPr>
            <w:r>
              <w:rPr>
                <w:rFonts w:hint="eastAsia"/>
                <w:lang w:val="en-US" w:eastAsia="zh-CN"/>
              </w:rPr>
              <w:t>0.094</w:t>
            </w:r>
          </w:p>
        </w:tc>
        <w:tc>
          <w:tcPr>
            <w:tcW w:w="969" w:type="pct"/>
            <w:vMerge w:val="continue"/>
          </w:tcPr>
          <w:p w14:paraId="20310826">
            <w:pPr>
              <w:pStyle w:val="31"/>
              <w:bidi w:val="0"/>
              <w:rPr>
                <w:rFonts w:hint="eastAsia"/>
                <w:lang w:val="en-US" w:eastAsia="zh-CN"/>
              </w:rPr>
            </w:pPr>
          </w:p>
        </w:tc>
        <w:tc>
          <w:tcPr>
            <w:tcW w:w="0" w:type="auto"/>
          </w:tcPr>
          <w:p w14:paraId="4C8D8280">
            <w:pPr>
              <w:pStyle w:val="31"/>
              <w:bidi w:val="0"/>
              <w:jc w:val="center"/>
              <w:rPr>
                <w:rFonts w:hint="default"/>
                <w:lang w:val="en-US" w:eastAsia="zh-CN"/>
              </w:rPr>
            </w:pPr>
            <w:r>
              <w:rPr>
                <w:rFonts w:hint="eastAsia"/>
                <w:lang w:val="en-US" w:eastAsia="zh-CN"/>
              </w:rPr>
              <w:t>0</w:t>
            </w:r>
          </w:p>
        </w:tc>
      </w:tr>
      <w:tr w14:paraId="188CC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2033B75">
            <w:pPr>
              <w:pStyle w:val="31"/>
              <w:bidi w:val="0"/>
              <w:jc w:val="center"/>
              <w:rPr>
                <w:rFonts w:hint="default"/>
                <w:lang w:val="en-US" w:eastAsia="zh-CN"/>
              </w:rPr>
            </w:pPr>
            <w:r>
              <w:rPr>
                <w:rFonts w:hint="eastAsia"/>
                <w:lang w:val="en-US" w:eastAsia="zh-CN"/>
              </w:rPr>
              <w:t>11</w:t>
            </w:r>
          </w:p>
        </w:tc>
        <w:tc>
          <w:tcPr>
            <w:tcW w:w="0" w:type="auto"/>
            <w:shd w:val="clear" w:color="auto" w:fill="auto"/>
            <w:vAlign w:val="center"/>
          </w:tcPr>
          <w:p w14:paraId="4899F88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482" w:type="pct"/>
            <w:vMerge w:val="continue"/>
          </w:tcPr>
          <w:p w14:paraId="6857E350">
            <w:pPr>
              <w:pStyle w:val="31"/>
              <w:bidi w:val="0"/>
              <w:jc w:val="center"/>
              <w:rPr>
                <w:rFonts w:hint="default"/>
                <w:lang w:val="en-US" w:eastAsia="zh-CN"/>
              </w:rPr>
            </w:pPr>
          </w:p>
        </w:tc>
        <w:tc>
          <w:tcPr>
            <w:tcW w:w="0" w:type="auto"/>
          </w:tcPr>
          <w:p w14:paraId="0C8F6E73">
            <w:pPr>
              <w:pStyle w:val="31"/>
              <w:bidi w:val="0"/>
              <w:jc w:val="center"/>
              <w:rPr>
                <w:rFonts w:hint="default"/>
                <w:lang w:val="en-US" w:eastAsia="zh-CN"/>
              </w:rPr>
            </w:pPr>
            <w:r>
              <w:rPr>
                <w:rFonts w:hint="eastAsia"/>
                <w:lang w:val="en-US" w:eastAsia="zh-CN"/>
              </w:rPr>
              <w:t>373-002-36</w:t>
            </w:r>
          </w:p>
        </w:tc>
        <w:tc>
          <w:tcPr>
            <w:tcW w:w="0" w:type="auto"/>
          </w:tcPr>
          <w:p w14:paraId="5C4CA4A6">
            <w:pPr>
              <w:pStyle w:val="31"/>
              <w:bidi w:val="0"/>
              <w:jc w:val="center"/>
              <w:rPr>
                <w:rFonts w:hint="default"/>
                <w:lang w:val="en-US" w:eastAsia="zh-CN"/>
              </w:rPr>
            </w:pPr>
            <w:r>
              <w:rPr>
                <w:rFonts w:hint="eastAsia"/>
                <w:lang w:val="en-US" w:eastAsia="zh-CN"/>
              </w:rPr>
              <w:t>0.038</w:t>
            </w:r>
          </w:p>
        </w:tc>
        <w:tc>
          <w:tcPr>
            <w:tcW w:w="969" w:type="pct"/>
            <w:vMerge w:val="continue"/>
          </w:tcPr>
          <w:p w14:paraId="098A4EA7">
            <w:pPr>
              <w:pStyle w:val="31"/>
              <w:bidi w:val="0"/>
              <w:rPr>
                <w:rFonts w:hint="eastAsia"/>
                <w:lang w:val="en-US" w:eastAsia="zh-CN"/>
              </w:rPr>
            </w:pPr>
          </w:p>
        </w:tc>
        <w:tc>
          <w:tcPr>
            <w:tcW w:w="0" w:type="auto"/>
          </w:tcPr>
          <w:p w14:paraId="508D3932">
            <w:pPr>
              <w:pStyle w:val="31"/>
              <w:bidi w:val="0"/>
              <w:jc w:val="center"/>
              <w:rPr>
                <w:rFonts w:hint="default"/>
                <w:lang w:val="en-US" w:eastAsia="zh-CN"/>
              </w:rPr>
            </w:pPr>
            <w:r>
              <w:rPr>
                <w:rFonts w:hint="eastAsia"/>
                <w:lang w:val="en-US" w:eastAsia="zh-CN"/>
              </w:rPr>
              <w:t>0</w:t>
            </w:r>
          </w:p>
        </w:tc>
      </w:tr>
      <w:tr w14:paraId="2B4F2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693FDC8">
            <w:pPr>
              <w:pStyle w:val="31"/>
              <w:bidi w:val="0"/>
              <w:jc w:val="center"/>
              <w:rPr>
                <w:rFonts w:hint="default"/>
                <w:lang w:val="en-US" w:eastAsia="zh-CN"/>
              </w:rPr>
            </w:pPr>
            <w:r>
              <w:rPr>
                <w:rFonts w:hint="eastAsia"/>
                <w:lang w:val="en-US" w:eastAsia="zh-CN"/>
              </w:rPr>
              <w:t>12</w:t>
            </w:r>
          </w:p>
        </w:tc>
        <w:tc>
          <w:tcPr>
            <w:tcW w:w="0" w:type="auto"/>
            <w:shd w:val="clear" w:color="auto" w:fill="auto"/>
            <w:vAlign w:val="center"/>
          </w:tcPr>
          <w:p w14:paraId="5D1A113B">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482" w:type="pct"/>
            <w:vMerge w:val="continue"/>
          </w:tcPr>
          <w:p w14:paraId="5A9D3208">
            <w:pPr>
              <w:pStyle w:val="31"/>
              <w:bidi w:val="0"/>
              <w:jc w:val="center"/>
              <w:rPr>
                <w:rFonts w:hint="default"/>
                <w:lang w:val="en-US" w:eastAsia="zh-CN"/>
              </w:rPr>
            </w:pPr>
          </w:p>
        </w:tc>
        <w:tc>
          <w:tcPr>
            <w:tcW w:w="0" w:type="auto"/>
          </w:tcPr>
          <w:p w14:paraId="733282B1">
            <w:pPr>
              <w:pStyle w:val="31"/>
              <w:bidi w:val="0"/>
              <w:jc w:val="center"/>
              <w:rPr>
                <w:rFonts w:hint="default"/>
                <w:lang w:val="en-US" w:eastAsia="zh-CN"/>
              </w:rPr>
            </w:pPr>
            <w:r>
              <w:rPr>
                <w:rFonts w:hint="eastAsia"/>
                <w:lang w:val="en-US" w:eastAsia="zh-CN"/>
              </w:rPr>
              <w:t>900-045-49</w:t>
            </w:r>
          </w:p>
        </w:tc>
        <w:tc>
          <w:tcPr>
            <w:tcW w:w="0" w:type="auto"/>
          </w:tcPr>
          <w:p w14:paraId="252CC2EA">
            <w:pPr>
              <w:pStyle w:val="31"/>
              <w:bidi w:val="0"/>
              <w:jc w:val="center"/>
              <w:rPr>
                <w:rFonts w:hint="default"/>
                <w:lang w:val="en-US" w:eastAsia="zh-CN"/>
              </w:rPr>
            </w:pPr>
            <w:r>
              <w:rPr>
                <w:rFonts w:hint="eastAsia"/>
                <w:lang w:val="en-US" w:eastAsia="zh-CN"/>
              </w:rPr>
              <w:t>0.006</w:t>
            </w:r>
          </w:p>
        </w:tc>
        <w:tc>
          <w:tcPr>
            <w:tcW w:w="969" w:type="pct"/>
            <w:vMerge w:val="continue"/>
          </w:tcPr>
          <w:p w14:paraId="6460E392">
            <w:pPr>
              <w:pStyle w:val="31"/>
              <w:bidi w:val="0"/>
              <w:rPr>
                <w:rFonts w:hint="eastAsia"/>
                <w:lang w:val="en-US" w:eastAsia="zh-CN"/>
              </w:rPr>
            </w:pPr>
          </w:p>
        </w:tc>
        <w:tc>
          <w:tcPr>
            <w:tcW w:w="0" w:type="auto"/>
          </w:tcPr>
          <w:p w14:paraId="6CDD9925">
            <w:pPr>
              <w:pStyle w:val="31"/>
              <w:bidi w:val="0"/>
              <w:jc w:val="center"/>
              <w:rPr>
                <w:rFonts w:hint="default"/>
                <w:lang w:val="en-US" w:eastAsia="zh-CN"/>
              </w:rPr>
            </w:pPr>
            <w:r>
              <w:rPr>
                <w:rFonts w:hint="eastAsia"/>
                <w:lang w:val="en-US" w:eastAsia="zh-CN"/>
              </w:rPr>
              <w:t>0</w:t>
            </w:r>
          </w:p>
        </w:tc>
      </w:tr>
      <w:tr w14:paraId="549D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A150D56">
            <w:pPr>
              <w:pStyle w:val="31"/>
              <w:bidi w:val="0"/>
              <w:jc w:val="center"/>
              <w:rPr>
                <w:rFonts w:hint="default"/>
                <w:lang w:val="en-US" w:eastAsia="zh-CN"/>
              </w:rPr>
            </w:pPr>
            <w:r>
              <w:rPr>
                <w:rFonts w:hint="eastAsia"/>
                <w:lang w:val="en-US" w:eastAsia="zh-CN"/>
              </w:rPr>
              <w:t>13</w:t>
            </w:r>
          </w:p>
        </w:tc>
        <w:tc>
          <w:tcPr>
            <w:tcW w:w="0" w:type="auto"/>
            <w:shd w:val="clear" w:color="auto" w:fill="auto"/>
            <w:vAlign w:val="center"/>
          </w:tcPr>
          <w:p w14:paraId="4AE3736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482" w:type="pct"/>
            <w:vMerge w:val="continue"/>
          </w:tcPr>
          <w:p w14:paraId="4A7D15FD">
            <w:pPr>
              <w:pStyle w:val="31"/>
              <w:bidi w:val="0"/>
              <w:jc w:val="center"/>
              <w:rPr>
                <w:rFonts w:hint="default"/>
                <w:lang w:val="en-US" w:eastAsia="zh-CN"/>
              </w:rPr>
            </w:pPr>
          </w:p>
        </w:tc>
        <w:tc>
          <w:tcPr>
            <w:tcW w:w="0" w:type="auto"/>
          </w:tcPr>
          <w:p w14:paraId="73E28593">
            <w:pPr>
              <w:pStyle w:val="31"/>
              <w:bidi w:val="0"/>
              <w:jc w:val="center"/>
              <w:rPr>
                <w:rFonts w:hint="default"/>
                <w:lang w:val="en-US" w:eastAsia="zh-CN"/>
              </w:rPr>
            </w:pPr>
            <w:r>
              <w:rPr>
                <w:rFonts w:hint="eastAsia"/>
                <w:lang w:val="en-US" w:eastAsia="zh-CN"/>
              </w:rPr>
              <w:t>900-999-49</w:t>
            </w:r>
          </w:p>
        </w:tc>
        <w:tc>
          <w:tcPr>
            <w:tcW w:w="0" w:type="auto"/>
          </w:tcPr>
          <w:p w14:paraId="6BF3DA54">
            <w:pPr>
              <w:pStyle w:val="31"/>
              <w:bidi w:val="0"/>
              <w:jc w:val="center"/>
              <w:rPr>
                <w:rFonts w:hint="default"/>
                <w:lang w:val="en-US" w:eastAsia="zh-CN"/>
              </w:rPr>
            </w:pPr>
            <w:r>
              <w:rPr>
                <w:rFonts w:hint="eastAsia"/>
                <w:lang w:val="en-US" w:eastAsia="zh-CN"/>
              </w:rPr>
              <w:t>0.006</w:t>
            </w:r>
          </w:p>
        </w:tc>
        <w:tc>
          <w:tcPr>
            <w:tcW w:w="969" w:type="pct"/>
            <w:vMerge w:val="continue"/>
          </w:tcPr>
          <w:p w14:paraId="7F29FC34">
            <w:pPr>
              <w:pStyle w:val="31"/>
              <w:bidi w:val="0"/>
              <w:rPr>
                <w:rFonts w:hint="eastAsia"/>
                <w:lang w:val="en-US" w:eastAsia="zh-CN"/>
              </w:rPr>
            </w:pPr>
          </w:p>
        </w:tc>
        <w:tc>
          <w:tcPr>
            <w:tcW w:w="0" w:type="auto"/>
          </w:tcPr>
          <w:p w14:paraId="500035DB">
            <w:pPr>
              <w:pStyle w:val="31"/>
              <w:bidi w:val="0"/>
              <w:jc w:val="center"/>
              <w:rPr>
                <w:rFonts w:hint="default"/>
                <w:lang w:val="en-US" w:eastAsia="zh-CN"/>
              </w:rPr>
            </w:pPr>
            <w:r>
              <w:rPr>
                <w:rFonts w:hint="eastAsia"/>
                <w:lang w:val="en-US" w:eastAsia="zh-CN"/>
              </w:rPr>
              <w:t>0</w:t>
            </w:r>
          </w:p>
        </w:tc>
      </w:tr>
      <w:tr w14:paraId="6A806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5C03AA0">
            <w:pPr>
              <w:pStyle w:val="31"/>
              <w:bidi w:val="0"/>
              <w:jc w:val="center"/>
              <w:rPr>
                <w:rFonts w:hint="default"/>
                <w:lang w:val="en-US" w:eastAsia="zh-CN"/>
              </w:rPr>
            </w:pPr>
            <w:r>
              <w:rPr>
                <w:rFonts w:hint="eastAsia"/>
                <w:lang w:val="en-US" w:eastAsia="zh-CN"/>
              </w:rPr>
              <w:t>14</w:t>
            </w:r>
          </w:p>
        </w:tc>
        <w:tc>
          <w:tcPr>
            <w:tcW w:w="0" w:type="auto"/>
            <w:shd w:val="clear" w:color="auto" w:fill="auto"/>
            <w:vAlign w:val="center"/>
          </w:tcPr>
          <w:p w14:paraId="237A3C2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482" w:type="pct"/>
            <w:vMerge w:val="continue"/>
          </w:tcPr>
          <w:p w14:paraId="60D9780B">
            <w:pPr>
              <w:pStyle w:val="31"/>
              <w:bidi w:val="0"/>
              <w:jc w:val="center"/>
              <w:rPr>
                <w:rFonts w:hint="default"/>
                <w:lang w:val="en-US" w:eastAsia="zh-CN"/>
              </w:rPr>
            </w:pPr>
          </w:p>
        </w:tc>
        <w:tc>
          <w:tcPr>
            <w:tcW w:w="0" w:type="auto"/>
          </w:tcPr>
          <w:p w14:paraId="77D9C519">
            <w:pPr>
              <w:pStyle w:val="31"/>
              <w:bidi w:val="0"/>
              <w:jc w:val="center"/>
              <w:rPr>
                <w:rFonts w:hint="default"/>
                <w:lang w:val="en-US" w:eastAsia="zh-CN"/>
              </w:rPr>
            </w:pPr>
            <w:r>
              <w:rPr>
                <w:rFonts w:hint="eastAsia"/>
                <w:lang w:val="en-US" w:eastAsia="zh-CN"/>
              </w:rPr>
              <w:t>900-023-29</w:t>
            </w:r>
          </w:p>
        </w:tc>
        <w:tc>
          <w:tcPr>
            <w:tcW w:w="0" w:type="auto"/>
          </w:tcPr>
          <w:p w14:paraId="17796737">
            <w:pPr>
              <w:pStyle w:val="31"/>
              <w:bidi w:val="0"/>
              <w:jc w:val="center"/>
              <w:rPr>
                <w:rFonts w:hint="default"/>
                <w:lang w:val="en-US" w:eastAsia="zh-CN"/>
              </w:rPr>
            </w:pPr>
            <w:r>
              <w:rPr>
                <w:rFonts w:hint="eastAsia"/>
                <w:lang w:val="en-US" w:eastAsia="zh-CN"/>
              </w:rPr>
              <w:t>0.003</w:t>
            </w:r>
          </w:p>
        </w:tc>
        <w:tc>
          <w:tcPr>
            <w:tcW w:w="969" w:type="pct"/>
            <w:vMerge w:val="continue"/>
          </w:tcPr>
          <w:p w14:paraId="6C18C875">
            <w:pPr>
              <w:pStyle w:val="31"/>
              <w:bidi w:val="0"/>
              <w:rPr>
                <w:rFonts w:hint="eastAsia"/>
                <w:lang w:val="en-US" w:eastAsia="zh-CN"/>
              </w:rPr>
            </w:pPr>
          </w:p>
        </w:tc>
        <w:tc>
          <w:tcPr>
            <w:tcW w:w="0" w:type="auto"/>
          </w:tcPr>
          <w:p w14:paraId="370C39BA">
            <w:pPr>
              <w:pStyle w:val="31"/>
              <w:bidi w:val="0"/>
              <w:jc w:val="center"/>
              <w:rPr>
                <w:rFonts w:hint="default"/>
                <w:lang w:val="en-US" w:eastAsia="zh-CN"/>
              </w:rPr>
            </w:pPr>
            <w:r>
              <w:rPr>
                <w:rFonts w:hint="eastAsia"/>
                <w:lang w:val="en-US" w:eastAsia="zh-CN"/>
              </w:rPr>
              <w:t>0</w:t>
            </w:r>
          </w:p>
        </w:tc>
      </w:tr>
      <w:tr w14:paraId="7CD90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5EDA297">
            <w:pPr>
              <w:pStyle w:val="31"/>
              <w:bidi w:val="0"/>
              <w:jc w:val="center"/>
              <w:rPr>
                <w:rFonts w:hint="default"/>
                <w:lang w:val="en-US" w:eastAsia="zh-CN"/>
              </w:rPr>
            </w:pPr>
            <w:r>
              <w:rPr>
                <w:rFonts w:hint="eastAsia"/>
                <w:lang w:val="en-US" w:eastAsia="zh-CN"/>
              </w:rPr>
              <w:t>15</w:t>
            </w:r>
          </w:p>
        </w:tc>
        <w:tc>
          <w:tcPr>
            <w:tcW w:w="0" w:type="auto"/>
            <w:shd w:val="clear" w:color="auto" w:fill="auto"/>
            <w:vAlign w:val="center"/>
          </w:tcPr>
          <w:p w14:paraId="7E7AF915">
            <w:pPr>
              <w:pStyle w:val="31"/>
              <w:bidi w:val="0"/>
              <w:ind w:firstLine="0" w:firstLineChars="0"/>
              <w:jc w:val="center"/>
              <w:rPr>
                <w:rFonts w:hint="default"/>
                <w:lang w:val="en-US" w:eastAsia="zh-CN"/>
              </w:rPr>
            </w:pPr>
            <w:r>
              <w:rPr>
                <w:rFonts w:hint="eastAsia"/>
                <w:lang w:val="en-US" w:eastAsia="zh-CN"/>
              </w:rPr>
              <w:t>废燃料油</w:t>
            </w:r>
          </w:p>
        </w:tc>
        <w:tc>
          <w:tcPr>
            <w:tcW w:w="482" w:type="pct"/>
            <w:vMerge w:val="continue"/>
          </w:tcPr>
          <w:p w14:paraId="1A6E48B4">
            <w:pPr>
              <w:pStyle w:val="31"/>
              <w:bidi w:val="0"/>
              <w:jc w:val="center"/>
              <w:rPr>
                <w:rFonts w:hint="default"/>
                <w:lang w:val="en-US" w:eastAsia="zh-CN"/>
              </w:rPr>
            </w:pPr>
          </w:p>
        </w:tc>
        <w:tc>
          <w:tcPr>
            <w:tcW w:w="0" w:type="auto"/>
          </w:tcPr>
          <w:p w14:paraId="2719979F">
            <w:pPr>
              <w:pStyle w:val="31"/>
              <w:bidi w:val="0"/>
              <w:jc w:val="center"/>
              <w:rPr>
                <w:rFonts w:hint="default"/>
                <w:lang w:val="en-US" w:eastAsia="zh-CN"/>
              </w:rPr>
            </w:pPr>
            <w:r>
              <w:rPr>
                <w:rFonts w:hint="eastAsia"/>
                <w:lang w:val="en-US" w:eastAsia="zh-CN"/>
              </w:rPr>
              <w:t>900-221-08</w:t>
            </w:r>
          </w:p>
        </w:tc>
        <w:tc>
          <w:tcPr>
            <w:tcW w:w="0" w:type="auto"/>
          </w:tcPr>
          <w:p w14:paraId="080A9039">
            <w:pPr>
              <w:pStyle w:val="31"/>
              <w:bidi w:val="0"/>
              <w:jc w:val="center"/>
              <w:rPr>
                <w:rFonts w:hint="default"/>
                <w:lang w:val="en-US" w:eastAsia="zh-CN"/>
              </w:rPr>
            </w:pPr>
            <w:r>
              <w:rPr>
                <w:rFonts w:hint="eastAsia"/>
                <w:lang w:val="en-US" w:eastAsia="zh-CN"/>
              </w:rPr>
              <w:t>1.35</w:t>
            </w:r>
          </w:p>
        </w:tc>
        <w:tc>
          <w:tcPr>
            <w:tcW w:w="969" w:type="pct"/>
            <w:vMerge w:val="continue"/>
          </w:tcPr>
          <w:p w14:paraId="3515E50B">
            <w:pPr>
              <w:pStyle w:val="31"/>
              <w:bidi w:val="0"/>
              <w:rPr>
                <w:rFonts w:hint="eastAsia"/>
                <w:lang w:val="en-US" w:eastAsia="zh-CN"/>
              </w:rPr>
            </w:pPr>
          </w:p>
        </w:tc>
        <w:tc>
          <w:tcPr>
            <w:tcW w:w="0" w:type="auto"/>
          </w:tcPr>
          <w:p w14:paraId="52D2B8ED">
            <w:pPr>
              <w:pStyle w:val="31"/>
              <w:bidi w:val="0"/>
              <w:jc w:val="center"/>
              <w:rPr>
                <w:rFonts w:hint="default"/>
                <w:lang w:val="en-US" w:eastAsia="zh-CN"/>
              </w:rPr>
            </w:pPr>
            <w:r>
              <w:rPr>
                <w:rFonts w:hint="eastAsia"/>
                <w:lang w:val="en-US" w:eastAsia="zh-CN"/>
              </w:rPr>
              <w:t>0</w:t>
            </w:r>
          </w:p>
        </w:tc>
      </w:tr>
      <w:tr w14:paraId="5925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B7E869F">
            <w:pPr>
              <w:pStyle w:val="31"/>
              <w:bidi w:val="0"/>
              <w:jc w:val="center"/>
              <w:rPr>
                <w:rFonts w:hint="default"/>
                <w:lang w:val="en-US" w:eastAsia="zh-CN"/>
              </w:rPr>
            </w:pPr>
            <w:r>
              <w:rPr>
                <w:rFonts w:hint="eastAsia"/>
                <w:lang w:val="en-US" w:eastAsia="zh-CN"/>
              </w:rPr>
              <w:t>16</w:t>
            </w:r>
          </w:p>
        </w:tc>
        <w:tc>
          <w:tcPr>
            <w:tcW w:w="0" w:type="auto"/>
            <w:shd w:val="clear" w:color="auto" w:fill="auto"/>
            <w:vAlign w:val="center"/>
          </w:tcPr>
          <w:p w14:paraId="031972B5">
            <w:pPr>
              <w:pStyle w:val="31"/>
              <w:bidi w:val="0"/>
              <w:ind w:firstLine="0" w:firstLineChars="0"/>
              <w:jc w:val="center"/>
              <w:rPr>
                <w:rFonts w:hint="default"/>
                <w:lang w:val="en-US" w:eastAsia="zh-CN"/>
              </w:rPr>
            </w:pPr>
            <w:r>
              <w:rPr>
                <w:rFonts w:hint="eastAsia"/>
                <w:lang w:val="en-US" w:eastAsia="zh-CN"/>
              </w:rPr>
              <w:t>废水处理站废油、污泥</w:t>
            </w:r>
          </w:p>
        </w:tc>
        <w:tc>
          <w:tcPr>
            <w:tcW w:w="482" w:type="pct"/>
            <w:vMerge w:val="continue"/>
          </w:tcPr>
          <w:p w14:paraId="67FD5A2E">
            <w:pPr>
              <w:pStyle w:val="31"/>
              <w:bidi w:val="0"/>
              <w:jc w:val="center"/>
              <w:rPr>
                <w:rFonts w:hint="default"/>
                <w:lang w:val="en-US" w:eastAsia="zh-CN"/>
              </w:rPr>
            </w:pPr>
          </w:p>
        </w:tc>
        <w:tc>
          <w:tcPr>
            <w:tcW w:w="0" w:type="auto"/>
          </w:tcPr>
          <w:p w14:paraId="69683766">
            <w:pPr>
              <w:pStyle w:val="31"/>
              <w:bidi w:val="0"/>
              <w:jc w:val="center"/>
              <w:rPr>
                <w:rFonts w:hint="default"/>
                <w:lang w:val="en-US" w:eastAsia="zh-CN"/>
              </w:rPr>
            </w:pPr>
            <w:r>
              <w:rPr>
                <w:rFonts w:hint="eastAsia"/>
                <w:lang w:val="en-US" w:eastAsia="zh-CN"/>
              </w:rPr>
              <w:t>900-210-08</w:t>
            </w:r>
          </w:p>
        </w:tc>
        <w:tc>
          <w:tcPr>
            <w:tcW w:w="0" w:type="auto"/>
          </w:tcPr>
          <w:p w14:paraId="2919813E">
            <w:pPr>
              <w:pStyle w:val="31"/>
              <w:bidi w:val="0"/>
              <w:jc w:val="center"/>
              <w:rPr>
                <w:rFonts w:hint="default"/>
                <w:lang w:val="en-US" w:eastAsia="zh-CN"/>
              </w:rPr>
            </w:pPr>
            <w:r>
              <w:rPr>
                <w:rFonts w:hint="eastAsia"/>
                <w:lang w:val="en-US" w:eastAsia="zh-CN"/>
              </w:rPr>
              <w:t>64.34</w:t>
            </w:r>
          </w:p>
        </w:tc>
        <w:tc>
          <w:tcPr>
            <w:tcW w:w="969" w:type="pct"/>
            <w:vMerge w:val="continue"/>
          </w:tcPr>
          <w:p w14:paraId="7CE48861">
            <w:pPr>
              <w:pStyle w:val="31"/>
              <w:bidi w:val="0"/>
              <w:rPr>
                <w:rFonts w:hint="eastAsia"/>
                <w:lang w:val="en-US" w:eastAsia="zh-CN"/>
              </w:rPr>
            </w:pPr>
          </w:p>
        </w:tc>
        <w:tc>
          <w:tcPr>
            <w:tcW w:w="0" w:type="auto"/>
          </w:tcPr>
          <w:p w14:paraId="786B585E">
            <w:pPr>
              <w:pStyle w:val="31"/>
              <w:bidi w:val="0"/>
              <w:jc w:val="center"/>
              <w:rPr>
                <w:rFonts w:hint="default"/>
                <w:lang w:val="en-US" w:eastAsia="zh-CN"/>
              </w:rPr>
            </w:pPr>
            <w:r>
              <w:rPr>
                <w:rFonts w:hint="eastAsia"/>
                <w:lang w:val="en-US" w:eastAsia="zh-CN"/>
              </w:rPr>
              <w:t>0</w:t>
            </w:r>
          </w:p>
        </w:tc>
      </w:tr>
      <w:tr w14:paraId="58BC1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B89E39E">
            <w:pPr>
              <w:pStyle w:val="31"/>
              <w:bidi w:val="0"/>
              <w:jc w:val="center"/>
              <w:rPr>
                <w:rFonts w:hint="default"/>
                <w:lang w:val="en-US" w:eastAsia="zh-CN"/>
              </w:rPr>
            </w:pPr>
            <w:r>
              <w:rPr>
                <w:rFonts w:hint="eastAsia"/>
                <w:lang w:val="en-US" w:eastAsia="zh-CN"/>
              </w:rPr>
              <w:t>17</w:t>
            </w:r>
          </w:p>
        </w:tc>
        <w:tc>
          <w:tcPr>
            <w:tcW w:w="0" w:type="auto"/>
            <w:shd w:val="clear" w:color="auto" w:fill="auto"/>
            <w:vAlign w:val="center"/>
          </w:tcPr>
          <w:p w14:paraId="4F2C4B02">
            <w:pPr>
              <w:pStyle w:val="31"/>
              <w:bidi w:val="0"/>
              <w:ind w:firstLine="0" w:firstLineChars="0"/>
              <w:jc w:val="center"/>
              <w:rPr>
                <w:rFonts w:hint="default"/>
                <w:lang w:val="en-US" w:eastAsia="zh-CN"/>
              </w:rPr>
            </w:pPr>
            <w:r>
              <w:rPr>
                <w:rFonts w:hint="eastAsia"/>
                <w:lang w:val="en-US" w:eastAsia="zh-CN"/>
              </w:rPr>
              <w:t>含油抹布及手套</w:t>
            </w:r>
          </w:p>
        </w:tc>
        <w:tc>
          <w:tcPr>
            <w:tcW w:w="482" w:type="pct"/>
            <w:vMerge w:val="continue"/>
          </w:tcPr>
          <w:p w14:paraId="446F6290">
            <w:pPr>
              <w:pStyle w:val="31"/>
              <w:bidi w:val="0"/>
              <w:jc w:val="center"/>
              <w:rPr>
                <w:rFonts w:hint="default"/>
                <w:lang w:val="en-US" w:eastAsia="zh-CN"/>
              </w:rPr>
            </w:pPr>
          </w:p>
        </w:tc>
        <w:tc>
          <w:tcPr>
            <w:tcW w:w="0" w:type="auto"/>
          </w:tcPr>
          <w:p w14:paraId="6B0E2ADA">
            <w:pPr>
              <w:pStyle w:val="31"/>
              <w:bidi w:val="0"/>
              <w:jc w:val="center"/>
              <w:rPr>
                <w:rFonts w:hint="default"/>
                <w:lang w:val="en-US" w:eastAsia="zh-CN"/>
              </w:rPr>
            </w:pPr>
            <w:r>
              <w:rPr>
                <w:rFonts w:hint="eastAsia"/>
                <w:lang w:val="en-US" w:eastAsia="zh-CN"/>
              </w:rPr>
              <w:t>900-041-49</w:t>
            </w:r>
          </w:p>
        </w:tc>
        <w:tc>
          <w:tcPr>
            <w:tcW w:w="0" w:type="auto"/>
          </w:tcPr>
          <w:p w14:paraId="3C76300D">
            <w:pPr>
              <w:pStyle w:val="31"/>
              <w:bidi w:val="0"/>
              <w:jc w:val="center"/>
              <w:rPr>
                <w:rFonts w:hint="default"/>
                <w:lang w:val="en-US" w:eastAsia="zh-CN"/>
              </w:rPr>
            </w:pPr>
            <w:r>
              <w:rPr>
                <w:rFonts w:hint="eastAsia"/>
                <w:lang w:val="en-US" w:eastAsia="zh-CN"/>
              </w:rPr>
              <w:t>1</w:t>
            </w:r>
          </w:p>
        </w:tc>
        <w:tc>
          <w:tcPr>
            <w:tcW w:w="969" w:type="pct"/>
            <w:vMerge w:val="continue"/>
          </w:tcPr>
          <w:p w14:paraId="30F2EB40">
            <w:pPr>
              <w:pStyle w:val="31"/>
              <w:bidi w:val="0"/>
              <w:rPr>
                <w:rFonts w:hint="eastAsia"/>
                <w:lang w:val="en-US" w:eastAsia="zh-CN"/>
              </w:rPr>
            </w:pPr>
          </w:p>
        </w:tc>
        <w:tc>
          <w:tcPr>
            <w:tcW w:w="0" w:type="auto"/>
          </w:tcPr>
          <w:p w14:paraId="18C94215">
            <w:pPr>
              <w:pStyle w:val="31"/>
              <w:bidi w:val="0"/>
              <w:jc w:val="center"/>
              <w:rPr>
                <w:rFonts w:hint="default"/>
                <w:lang w:val="en-US" w:eastAsia="zh-CN"/>
              </w:rPr>
            </w:pPr>
            <w:r>
              <w:rPr>
                <w:rFonts w:hint="eastAsia"/>
                <w:lang w:val="en-US" w:eastAsia="zh-CN"/>
              </w:rPr>
              <w:t>0</w:t>
            </w:r>
          </w:p>
        </w:tc>
      </w:tr>
    </w:tbl>
    <w:p w14:paraId="08C718B7">
      <w:pPr>
        <w:pStyle w:val="21"/>
        <w:rPr>
          <w:rFonts w:hint="eastAsia"/>
          <w:lang w:val="en-US" w:eastAsia="zh-CN"/>
        </w:rPr>
      </w:pPr>
    </w:p>
    <w:p w14:paraId="64028A22">
      <w:pPr>
        <w:pStyle w:val="36"/>
        <w:bidi w:val="0"/>
        <w:rPr>
          <w:rFonts w:hint="eastAsia"/>
          <w:lang w:val="en-US" w:eastAsia="zh-CN"/>
        </w:rPr>
      </w:pPr>
      <w:r>
        <w:rPr>
          <w:rFonts w:hint="eastAsia"/>
          <w:lang w:val="en-US" w:eastAsia="zh-CN"/>
        </w:rPr>
        <w:t>5.2.5.2固体废物管理要求</w:t>
      </w:r>
    </w:p>
    <w:p w14:paraId="6FA8975E">
      <w:pPr>
        <w:pStyle w:val="21"/>
        <w:ind w:firstLine="480"/>
      </w:pPr>
      <w:r>
        <w:t>1、一般固废管理措施</w:t>
      </w:r>
    </w:p>
    <w:p w14:paraId="31C3F4E0">
      <w:pPr>
        <w:pStyle w:val="21"/>
        <w:ind w:firstLine="480"/>
      </w:pPr>
      <w:r>
        <w:rPr>
          <w:rFonts w:hint="eastAsia"/>
        </w:rPr>
        <w:t>一般固废的贮存、处置需要按《一般工业固体废物贮存和填埋污染控制标准》（</w:t>
      </w:r>
      <w:r>
        <w:t>GB18599-2020）要求执行，必须采取防扬撒、防流失、防渗漏等三防措施，进行地面硬化，设置顶棚和围挡，避免雨水进入。</w:t>
      </w:r>
    </w:p>
    <w:p w14:paraId="4595F570">
      <w:pPr>
        <w:pStyle w:val="21"/>
        <w:ind w:firstLine="480"/>
      </w:pPr>
      <w:r>
        <w:t>2、危险废物</w:t>
      </w:r>
    </w:p>
    <w:p w14:paraId="24F5AF24">
      <w:pPr>
        <w:pStyle w:val="21"/>
        <w:ind w:firstLine="480"/>
      </w:pPr>
      <w:r>
        <w:rPr>
          <w:rFonts w:hint="eastAsia"/>
        </w:rPr>
        <w:t>根据《危险废物贮存污染控制标准》（</w:t>
      </w:r>
      <w:r>
        <w:t>GB18597-2023），危险废物具有长期性、隐蔽性和潜在性，必须</w:t>
      </w:r>
      <w:r>
        <w:rPr>
          <w:rFonts w:hint="eastAsia"/>
        </w:rPr>
        <w:t>加大</w:t>
      </w:r>
      <w:r>
        <w:t>管理力度，其暂存管理要求如下：</w:t>
      </w:r>
    </w:p>
    <w:p w14:paraId="004CCFAC">
      <w:pPr>
        <w:pStyle w:val="21"/>
        <w:ind w:firstLine="480"/>
      </w:pPr>
      <w:r>
        <w:rPr>
          <w:rFonts w:hint="eastAsia"/>
        </w:rPr>
        <w:t>（</w:t>
      </w:r>
      <w:r>
        <w:t>1）首先对危险废物的产生源及固废产生量进行申报登记；</w:t>
      </w:r>
    </w:p>
    <w:p w14:paraId="1DC7B9ED">
      <w:pPr>
        <w:pStyle w:val="21"/>
        <w:ind w:firstLine="480"/>
      </w:pPr>
      <w:r>
        <w:rPr>
          <w:rFonts w:hint="eastAsia"/>
        </w:rPr>
        <w:t>（</w:t>
      </w:r>
      <w:r>
        <w:t>2）危险废物应建立专人专管的交接台账制度，并明确危废转运处置去向；</w:t>
      </w:r>
    </w:p>
    <w:p w14:paraId="123474AC">
      <w:pPr>
        <w:pStyle w:val="21"/>
        <w:ind w:firstLine="480"/>
      </w:pPr>
      <w:r>
        <w:rPr>
          <w:rFonts w:hint="eastAsia"/>
        </w:rPr>
        <w:t>（</w:t>
      </w:r>
      <w:r>
        <w:t>3）对危险废物的转移运输要实行《危险废物转移联单管理办法》，实行五联单制度。运输单位、接收单位及当地环保部门进行跟踪</w:t>
      </w:r>
      <w:r>
        <w:rPr>
          <w:rFonts w:hint="eastAsia"/>
        </w:rPr>
        <w:t>联系</w:t>
      </w:r>
      <w:r>
        <w:t>。</w:t>
      </w:r>
    </w:p>
    <w:p w14:paraId="1198587E">
      <w:pPr>
        <w:pStyle w:val="21"/>
      </w:pPr>
      <w:r>
        <w:rPr>
          <w:rFonts w:hint="eastAsia"/>
        </w:rPr>
        <w:t>（</w:t>
      </w:r>
      <w:r>
        <w:t>4）危废暂存间应采取必要的防渗措施，防渗措施应严格按照《危险废物贮存污染控制标准》（GB18597-2023）要求设计。危废全部暂存于危废暂存间内，做到防风、防雨、防晒、防渗漏。危废暂存间地面基础必须防渗，采用防渗混凝土+至少2mm厚高密度聚乙烯膜进行防渗、防腐，达到等效黏土防渗层Mb≥6.0m，防渗系数≤10</w:t>
      </w:r>
      <w:r>
        <w:rPr>
          <w:vertAlign w:val="superscript"/>
        </w:rPr>
        <w:t>-10</w:t>
      </w:r>
      <w:r>
        <w:t>cm/s。</w:t>
      </w:r>
    </w:p>
    <w:p w14:paraId="06D333A0">
      <w:pPr>
        <w:pStyle w:val="36"/>
        <w:bidi w:val="0"/>
        <w:rPr>
          <w:rFonts w:hint="default"/>
          <w:lang w:val="en-US" w:eastAsia="zh-CN"/>
        </w:rPr>
      </w:pPr>
      <w:r>
        <w:rPr>
          <w:rFonts w:hint="eastAsia"/>
          <w:lang w:val="en-US" w:eastAsia="zh-CN"/>
        </w:rPr>
        <w:t>5.2.5.3小结</w:t>
      </w:r>
    </w:p>
    <w:p w14:paraId="1FDCE25F">
      <w:pPr>
        <w:pStyle w:val="21"/>
        <w:rPr>
          <w:rFonts w:hint="default"/>
          <w:lang w:val="en-US" w:eastAsia="zh-CN"/>
        </w:rPr>
      </w:pPr>
      <w:r>
        <w:rPr>
          <w:rFonts w:hint="eastAsia"/>
        </w:rPr>
        <w:t>本项目工业固体废物的处理或处置符合“无害化”的原则，满足《中华人民共和国环境保护法》及《中华人民共和国固体废物污染环境防治法》的要求，对环境影响可以接受。</w:t>
      </w:r>
    </w:p>
    <w:p w14:paraId="19BBA8CB">
      <w:pPr>
        <w:pStyle w:val="33"/>
      </w:pPr>
      <w:bookmarkStart w:id="158" w:name="_Toc10636"/>
      <w:r>
        <w:rPr>
          <w:rFonts w:hint="eastAsia"/>
        </w:rPr>
        <w:t>5.2.6土壤环境影响</w:t>
      </w:r>
      <w:bookmarkEnd w:id="158"/>
    </w:p>
    <w:p w14:paraId="4857F682">
      <w:pPr>
        <w:pStyle w:val="21"/>
        <w:ind w:firstLine="480"/>
      </w:pPr>
      <w:r>
        <w:rPr>
          <w:rFonts w:hint="eastAsia"/>
        </w:rPr>
        <w:t>根据《环境影响评价技术导则-土壤环境(试行)》(HJ964-2018)，本项目土壤评价工作等级为三级，可以进行定性描述土壤影响。</w:t>
      </w:r>
    </w:p>
    <w:p w14:paraId="555DE603">
      <w:pPr>
        <w:pStyle w:val="21"/>
        <w:ind w:firstLine="480"/>
      </w:pPr>
      <w:r>
        <w:rPr>
          <w:rFonts w:hint="eastAsia"/>
        </w:rPr>
        <w:t>本项目土壤环境影响类型为“污染影响型”，对土壤的主要污染途径来自废水、危废贮存等可能发生废水或危险废物入渗、初期雨水漫游对土壤环境造成的污染影响，以及大气沉降造成的土壤污染影响。</w:t>
      </w:r>
    </w:p>
    <w:p w14:paraId="40C8542A">
      <w:pPr>
        <w:pStyle w:val="21"/>
        <w:ind w:firstLine="480"/>
      </w:pPr>
      <w:r>
        <w:rPr>
          <w:rFonts w:hint="eastAsia"/>
        </w:rPr>
        <w:t>本项目不使用液态化学品，污水管道、初期雨水收集管道及处理设施采取防渗、防腐措施；产生的危险废物在改造后符合《危险废物贮存污染控制标准》（GB18597-2023）要求的规范危废贮存间临时贮存后委托有资质的单位外运处置，危废贮存间地面在采取本报告提出的防腐、防渗措施后，根据现有项目的运行管理经验，正常情况下不会产生地面漫流和点源垂直进入土壤环境的情况。故土壤环境影响途径主要为大气沉降对土壤环境的影响。</w:t>
      </w:r>
    </w:p>
    <w:p w14:paraId="649BFE73">
      <w:pPr>
        <w:pStyle w:val="21"/>
        <w:ind w:firstLine="480"/>
      </w:pPr>
      <w:r>
        <w:rPr>
          <w:rFonts w:hint="eastAsia"/>
        </w:rPr>
        <w:t>项目产生的大气污染主要是切割过程产生的烟尘，污染物主要为金属粉尘，经移动除尘设备收集后少量在厂区内沉降，定期清扫，项目二次拆解车间已做硬化处理，基本拆解区待本环评通过生态环境主管部门审批后进行硬化改造，因此粉尘沉降对所在区域土壤影响较小。</w:t>
      </w:r>
    </w:p>
    <w:p w14:paraId="34D7CA07">
      <w:pPr>
        <w:pStyle w:val="21"/>
        <w:ind w:firstLine="480"/>
      </w:pPr>
      <w:r>
        <w:rPr>
          <w:rFonts w:hint="eastAsia"/>
        </w:rPr>
        <w:t>建设单位应做好危废贮存间区域的防腐防渗，并定期污水管道、初期雨水收集管道、处理设施、厂区及危废贮存间检漏和定期检测工作。在落实防腐、防渗处理及相关管理措施的情况下，本项目污染物发生泄漏、下渗的可能性较小，对土壤不会造成明显的不良影响。</w:t>
      </w:r>
    </w:p>
    <w:p w14:paraId="2C07EE4C">
      <w:pPr>
        <w:pStyle w:val="33"/>
      </w:pPr>
      <w:bookmarkStart w:id="159" w:name="_Toc26259"/>
      <w:r>
        <w:rPr>
          <w:rFonts w:hint="eastAsia"/>
        </w:rPr>
        <w:t>5.2.7生态环境影响</w:t>
      </w:r>
      <w:bookmarkEnd w:id="159"/>
    </w:p>
    <w:p w14:paraId="78E6120A">
      <w:pPr>
        <w:pStyle w:val="36"/>
        <w:bidi w:val="0"/>
        <w:rPr>
          <w:rFonts w:hint="eastAsia"/>
          <w:lang w:val="en-US" w:eastAsia="zh-CN"/>
        </w:rPr>
      </w:pPr>
      <w:r>
        <w:rPr>
          <w:rFonts w:hint="eastAsia"/>
          <w:lang w:val="en-US" w:eastAsia="zh-CN"/>
        </w:rPr>
        <w:t>5.2.7.1陆域生态环境影响分析</w:t>
      </w:r>
    </w:p>
    <w:p w14:paraId="70018F97">
      <w:pPr>
        <w:pStyle w:val="21"/>
        <w:bidi w:val="0"/>
        <w:rPr>
          <w:rFonts w:hint="default"/>
        </w:rPr>
      </w:pPr>
      <w:r>
        <w:rPr>
          <w:rFonts w:hint="default"/>
        </w:rPr>
        <w:t>项目原有用地范围内植</w:t>
      </w:r>
      <w:r>
        <w:rPr>
          <w:rFonts w:hint="eastAsia"/>
          <w:lang w:val="en-US" w:eastAsia="zh-CN"/>
        </w:rPr>
        <w:t>已</w:t>
      </w:r>
      <w:r>
        <w:rPr>
          <w:rFonts w:hint="default"/>
        </w:rPr>
        <w:t>被清除，工程占用自然植被主要为灌草等，所破坏的植物有限且可替代性强，不会造成生态功能的丧失。评价区人类生产、活动频繁，常见的动物为田鼠等啮齿动物，此外还存在一些常见爬行类、两栖类、鸟类等物种，这些物种中大部分地块内活动的情况也不多见。项目总占地面积不大，影响的范围有限，不会改变区域动物的生物多样性，对区域动物的生物多样性造成影响较小。</w:t>
      </w:r>
    </w:p>
    <w:p w14:paraId="22C6FB45">
      <w:pPr>
        <w:pStyle w:val="21"/>
        <w:rPr>
          <w:rFonts w:hint="default" w:ascii="Times New Roman" w:hAnsi="Times New Roman" w:eastAsia="宋体" w:cs="Times New Roman"/>
          <w:color w:val="auto"/>
          <w:highlight w:val="none"/>
          <w:u w:val="none"/>
        </w:rPr>
      </w:pPr>
      <w:r>
        <w:rPr>
          <w:rFonts w:hint="default" w:ascii="Times New Roman" w:hAnsi="Times New Roman" w:eastAsia="宋体" w:cs="Times New Roman"/>
          <w:color w:val="auto"/>
          <w:highlight w:val="none"/>
          <w:u w:val="none"/>
        </w:rPr>
        <w:t>本项目不占用生态红线区域，本项目对周边生态环境影响较小。正常情况下，厂区污染物主要为颗粒物、非甲烷总烃、二甲苯，将对周边环境产生一定的影响，可通过加强本项目的绿化建设来减轻不利影响，如选择能吸收有害气体的植物，并注意防护林与周边绿化带的衔接，以及其他先进的设备及工艺措施，减少废气的无组织排放对周边环境造成的生态环境的影响。</w:t>
      </w:r>
    </w:p>
    <w:p w14:paraId="123A1C19">
      <w:pPr>
        <w:pStyle w:val="36"/>
        <w:bidi w:val="0"/>
        <w:rPr>
          <w:rFonts w:hint="eastAsia"/>
          <w:lang w:val="en-US" w:eastAsia="zh-CN"/>
        </w:rPr>
      </w:pPr>
      <w:r>
        <w:rPr>
          <w:rFonts w:hint="eastAsia"/>
          <w:lang w:val="en-US" w:eastAsia="zh-CN"/>
        </w:rPr>
        <w:t>5.2.7.2水域生态影响分析</w:t>
      </w:r>
    </w:p>
    <w:p w14:paraId="61E4AB42">
      <w:pPr>
        <w:pStyle w:val="21"/>
        <w:bidi w:val="0"/>
        <w:rPr>
          <w:rFonts w:hint="default"/>
        </w:rPr>
      </w:pPr>
      <w:r>
        <w:rPr>
          <w:rFonts w:hint="default"/>
        </w:rPr>
        <w:t>（1）作业噪声对生态环境的影响</w:t>
      </w:r>
    </w:p>
    <w:p w14:paraId="6417699E">
      <w:pPr>
        <w:pStyle w:val="21"/>
        <w:bidi w:val="0"/>
        <w:rPr>
          <w:rFonts w:hint="default"/>
        </w:rPr>
      </w:pPr>
      <w:r>
        <w:rPr>
          <w:rFonts w:hint="default"/>
        </w:rPr>
        <w:t>拟建项目营运期期间拆船作业产生的噪声会对所在区域附近的生物造成一定影响，但因项目所在码头前沿靠岸且生物能主动回避以减少或者避免对其产生影响，因此，项目作业噪声对生态环境造成的影响较小。</w:t>
      </w:r>
    </w:p>
    <w:p w14:paraId="5F366CB6">
      <w:pPr>
        <w:pStyle w:val="21"/>
        <w:bidi w:val="0"/>
        <w:rPr>
          <w:rFonts w:hint="default"/>
        </w:rPr>
      </w:pPr>
      <w:r>
        <w:rPr>
          <w:rFonts w:hint="default"/>
        </w:rPr>
        <w:t>（2）船舶进出密度增加对生态环境的影响</w:t>
      </w:r>
    </w:p>
    <w:p w14:paraId="0FA381B8">
      <w:pPr>
        <w:pStyle w:val="21"/>
        <w:bidi w:val="0"/>
        <w:rPr>
          <w:rFonts w:hint="default"/>
        </w:rPr>
      </w:pPr>
      <w:r>
        <w:rPr>
          <w:rFonts w:hint="default"/>
        </w:rPr>
        <w:t>拟建项目营运期期间会使进入拆解的船舶的进出密度增加，船舶的跑、冒、滴、漏会导致水体中的COD、石油类等污染物的增加，进而对水生生物产生短期或者长期的毒害作用。项目所在区域较为靠岸，产生影响的范围及程度均较小且较为有限；项目营运期期间船舶进出密度的增加虽会对生态环境产生一定的影响，但在可接受范围之内。</w:t>
      </w:r>
    </w:p>
    <w:p w14:paraId="2525E0C6">
      <w:pPr>
        <w:pStyle w:val="21"/>
        <w:bidi w:val="0"/>
        <w:rPr>
          <w:rFonts w:hint="default"/>
        </w:rPr>
      </w:pPr>
      <w:r>
        <w:rPr>
          <w:rFonts w:hint="default"/>
        </w:rPr>
        <w:t>（3）发生环境风险事故对水生生物的影响</w:t>
      </w:r>
    </w:p>
    <w:p w14:paraId="4F21D75C">
      <w:pPr>
        <w:pStyle w:val="21"/>
        <w:bidi w:val="0"/>
        <w:rPr>
          <w:rFonts w:hint="default"/>
        </w:rPr>
      </w:pPr>
      <w:r>
        <w:rPr>
          <w:rFonts w:hint="default"/>
        </w:rPr>
        <w:t>营运期期间可能发生的风险事故主要为船舶溢油事故。</w:t>
      </w:r>
    </w:p>
    <w:p w14:paraId="5E10EB5D">
      <w:pPr>
        <w:pStyle w:val="21"/>
        <w:bidi w:val="0"/>
        <w:rPr>
          <w:rFonts w:hint="default"/>
        </w:rPr>
      </w:pPr>
      <w:r>
        <w:rPr>
          <w:rFonts w:hint="default"/>
        </w:rPr>
        <w:t>油类对水体能造成普遍的污染，漂浮在水面上形成一层薄膜，阻止大气中氧气溶于水中，从而影响水体自净作用，造成水体缺氧，危害水生生物生存。此外，油类进入水体后，能引起生物的积累作用，通过食物链产生生物放大作用，危及较高营养级水平的生物，例如造成鱼类、贝类的感官品质下降， 若受污染物种被人类食用会在体内产生积累，将危及人体健康。</w:t>
      </w:r>
    </w:p>
    <w:p w14:paraId="127B95CC">
      <w:pPr>
        <w:pStyle w:val="21"/>
        <w:bidi w:val="0"/>
        <w:rPr>
          <w:rFonts w:hint="default"/>
          <w:lang w:val="en-US" w:eastAsia="zh-CN"/>
        </w:rPr>
      </w:pPr>
      <w:r>
        <w:rPr>
          <w:rFonts w:hint="default"/>
        </w:rPr>
        <w:t>本工程服务对象为一般散货船，不涉及危险品货船，发生重大溢油事故的可能性较小，但在极端气象条件下，由于船舶有可能会发生碰撞产生漏油，因此需采取相应措施，最大限度地防止漏油事故发生降低对水生生物的不利影响。</w:t>
      </w:r>
    </w:p>
    <w:p w14:paraId="148FDC82">
      <w:pPr>
        <w:pStyle w:val="28"/>
      </w:pPr>
      <w:bookmarkStart w:id="160" w:name="_Toc4503"/>
      <w:r>
        <w:rPr>
          <w:rFonts w:hint="eastAsia"/>
        </w:rPr>
        <w:t>5.3环境风险分析</w:t>
      </w:r>
      <w:bookmarkEnd w:id="160"/>
    </w:p>
    <w:p w14:paraId="05A8068E">
      <w:pPr>
        <w:pStyle w:val="39"/>
        <w:ind w:firstLine="480"/>
      </w:pPr>
      <w:r>
        <w:rPr>
          <w:rFonts w:hint="eastAsia"/>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2BBB2CED">
      <w:pPr>
        <w:pStyle w:val="21"/>
        <w:ind w:firstLine="480"/>
        <w:rPr>
          <w:rFonts w:hint="eastAsia"/>
        </w:rPr>
      </w:pPr>
      <w:r>
        <w:rPr>
          <w:rFonts w:hint="eastAsia"/>
        </w:rPr>
        <w:t>根据《建设项目环境风险评价技术导则》（HJ169-2018）中的相关要求，分析本项目的环境风险。</w:t>
      </w:r>
    </w:p>
    <w:p w14:paraId="7C2A5943">
      <w:pPr>
        <w:pStyle w:val="33"/>
        <w:bidi w:val="0"/>
        <w:rPr>
          <w:rFonts w:hint="eastAsia"/>
          <w:lang w:val="en-US" w:eastAsia="zh-CN"/>
        </w:rPr>
      </w:pPr>
      <w:bookmarkStart w:id="161" w:name="_Toc21683"/>
      <w:r>
        <w:rPr>
          <w:rFonts w:hint="eastAsia"/>
          <w:lang w:val="en-US" w:eastAsia="zh-CN"/>
        </w:rPr>
        <w:t>5.3.1评价依据</w:t>
      </w:r>
      <w:bookmarkEnd w:id="161"/>
    </w:p>
    <w:p w14:paraId="21C3A421">
      <w:pPr>
        <w:pStyle w:val="36"/>
        <w:bidi w:val="0"/>
        <w:rPr>
          <w:rFonts w:hint="eastAsia"/>
          <w:lang w:val="en-US" w:eastAsia="zh-CN"/>
        </w:rPr>
      </w:pPr>
      <w:r>
        <w:rPr>
          <w:rFonts w:hint="eastAsia"/>
          <w:lang w:val="en-US" w:eastAsia="zh-CN"/>
        </w:rPr>
        <w:t>5.3.1.1风险调查</w:t>
      </w:r>
    </w:p>
    <w:p w14:paraId="1C32A303">
      <w:pPr>
        <w:pStyle w:val="21"/>
        <w:ind w:firstLine="480"/>
      </w:pPr>
      <w:r>
        <w:rPr>
          <w:rFonts w:hint="eastAsia"/>
        </w:rPr>
        <w:t>根据H</w:t>
      </w:r>
      <w:r>
        <w:t>J169-2018</w:t>
      </w:r>
      <w:r>
        <w:rPr>
          <w:rFonts w:hint="eastAsia"/>
        </w:rPr>
        <w:t>附录 B 突发环境事件风险物质及临界量表，本次改扩建后全厂涉及的环境风险物质主要为油类物质、乙炔、沥青漆，具体情况详见下表：</w:t>
      </w:r>
    </w:p>
    <w:p w14:paraId="1BF2F474">
      <w:pPr>
        <w:pStyle w:val="23"/>
      </w:pPr>
      <w:r>
        <w:rPr>
          <w:rFonts w:hint="eastAsia"/>
        </w:rPr>
        <w:t>表5.</w:t>
      </w:r>
      <w:r>
        <w:rPr>
          <w:rFonts w:hint="eastAsia"/>
          <w:lang w:val="en-US" w:eastAsia="zh-CN"/>
        </w:rPr>
        <w:t>3</w:t>
      </w:r>
      <w:r>
        <w:rPr>
          <w:rFonts w:hint="eastAsia"/>
        </w:rPr>
        <w:t>-1  项目主要环境风险物质情况表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23"/>
        <w:gridCol w:w="380"/>
        <w:gridCol w:w="567"/>
        <w:gridCol w:w="493"/>
        <w:gridCol w:w="435"/>
        <w:gridCol w:w="6164"/>
      </w:tblGrid>
      <w:tr w14:paraId="1294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3" w:type="pct"/>
            <w:vAlign w:val="center"/>
          </w:tcPr>
          <w:p w14:paraId="6A04C311">
            <w:pPr>
              <w:pStyle w:val="31"/>
              <w:rPr>
                <w:rFonts w:cs="Times New Roman"/>
                <w:kern w:val="0"/>
              </w:rPr>
            </w:pPr>
            <w:r>
              <w:rPr>
                <w:rFonts w:hint="eastAsia" w:cs="Times New Roman"/>
                <w:kern w:val="0"/>
              </w:rPr>
              <w:t>序号</w:t>
            </w:r>
          </w:p>
        </w:tc>
        <w:tc>
          <w:tcPr>
            <w:tcW w:w="227" w:type="pct"/>
            <w:vAlign w:val="center"/>
          </w:tcPr>
          <w:p w14:paraId="53BC60D5">
            <w:pPr>
              <w:pStyle w:val="31"/>
              <w:rPr>
                <w:rFonts w:cs="Times New Roman"/>
                <w:kern w:val="0"/>
              </w:rPr>
            </w:pPr>
            <w:r>
              <w:rPr>
                <w:rFonts w:hint="eastAsia" w:cs="Times New Roman"/>
                <w:kern w:val="0"/>
              </w:rPr>
              <w:t>名称</w:t>
            </w:r>
          </w:p>
        </w:tc>
        <w:tc>
          <w:tcPr>
            <w:tcW w:w="339" w:type="pct"/>
            <w:vAlign w:val="center"/>
          </w:tcPr>
          <w:p w14:paraId="35AECFAE">
            <w:pPr>
              <w:pStyle w:val="31"/>
              <w:rPr>
                <w:rFonts w:cs="Times New Roman"/>
                <w:kern w:val="0"/>
              </w:rPr>
            </w:pPr>
            <w:r>
              <w:rPr>
                <w:rFonts w:hint="eastAsia" w:cs="Times New Roman"/>
                <w:kern w:val="0"/>
              </w:rPr>
              <w:t>最大存在量t</w:t>
            </w:r>
          </w:p>
        </w:tc>
        <w:tc>
          <w:tcPr>
            <w:tcW w:w="295" w:type="pct"/>
            <w:vAlign w:val="center"/>
          </w:tcPr>
          <w:p w14:paraId="5538C315">
            <w:pPr>
              <w:pStyle w:val="31"/>
              <w:rPr>
                <w:rFonts w:cs="Times New Roman"/>
                <w:kern w:val="0"/>
              </w:rPr>
            </w:pPr>
            <w:r>
              <w:rPr>
                <w:rFonts w:hint="eastAsia" w:cs="Times New Roman"/>
                <w:kern w:val="0"/>
              </w:rPr>
              <w:t>最大贮存量t</w:t>
            </w:r>
          </w:p>
        </w:tc>
        <w:tc>
          <w:tcPr>
            <w:tcW w:w="260" w:type="pct"/>
            <w:vAlign w:val="center"/>
          </w:tcPr>
          <w:p w14:paraId="7CDBAD4F">
            <w:pPr>
              <w:pStyle w:val="31"/>
              <w:rPr>
                <w:rFonts w:cs="Times New Roman"/>
                <w:kern w:val="0"/>
              </w:rPr>
            </w:pPr>
            <w:r>
              <w:rPr>
                <w:rFonts w:hint="eastAsia" w:cs="Times New Roman"/>
                <w:kern w:val="0"/>
              </w:rPr>
              <w:t>在线量t</w:t>
            </w:r>
          </w:p>
        </w:tc>
        <w:tc>
          <w:tcPr>
            <w:tcW w:w="3687" w:type="pct"/>
            <w:vAlign w:val="center"/>
          </w:tcPr>
          <w:p w14:paraId="3DD2957A">
            <w:pPr>
              <w:pStyle w:val="31"/>
              <w:rPr>
                <w:rFonts w:cs="Times New Roman"/>
                <w:kern w:val="0"/>
              </w:rPr>
            </w:pPr>
            <w:r>
              <w:rPr>
                <w:rFonts w:hint="eastAsia" w:cs="Times New Roman"/>
                <w:kern w:val="0"/>
              </w:rPr>
              <w:t>理化性质及危险特性</w:t>
            </w:r>
          </w:p>
        </w:tc>
      </w:tr>
      <w:tr w14:paraId="57D5E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3" w:type="pct"/>
            <w:vAlign w:val="center"/>
          </w:tcPr>
          <w:p w14:paraId="69C04A2F">
            <w:pPr>
              <w:pStyle w:val="31"/>
              <w:rPr>
                <w:rFonts w:cs="Times New Roman"/>
                <w:kern w:val="0"/>
              </w:rPr>
            </w:pPr>
            <w:r>
              <w:rPr>
                <w:rFonts w:hint="eastAsia" w:cs="Times New Roman"/>
                <w:kern w:val="0"/>
              </w:rPr>
              <w:t>1</w:t>
            </w:r>
          </w:p>
        </w:tc>
        <w:tc>
          <w:tcPr>
            <w:tcW w:w="227" w:type="pct"/>
            <w:vAlign w:val="center"/>
          </w:tcPr>
          <w:p w14:paraId="10EACB56">
            <w:pPr>
              <w:pStyle w:val="31"/>
              <w:rPr>
                <w:rFonts w:cs="Times New Roman"/>
                <w:kern w:val="0"/>
              </w:rPr>
            </w:pPr>
            <w:r>
              <w:rPr>
                <w:rFonts w:hint="eastAsia" w:cs="Times New Roman"/>
                <w:kern w:val="0"/>
              </w:rPr>
              <w:t>乙炔</w:t>
            </w:r>
          </w:p>
        </w:tc>
        <w:tc>
          <w:tcPr>
            <w:tcW w:w="339" w:type="pct"/>
            <w:vAlign w:val="center"/>
          </w:tcPr>
          <w:p w14:paraId="627D8689">
            <w:pPr>
              <w:pStyle w:val="31"/>
              <w:rPr>
                <w:rFonts w:cs="Times New Roman"/>
                <w:kern w:val="0"/>
              </w:rPr>
            </w:pPr>
            <w:r>
              <w:rPr>
                <w:rFonts w:hint="eastAsia" w:cs="Times New Roman"/>
                <w:kern w:val="0"/>
              </w:rPr>
              <w:t>5.01</w:t>
            </w:r>
          </w:p>
        </w:tc>
        <w:tc>
          <w:tcPr>
            <w:tcW w:w="295" w:type="pct"/>
            <w:vAlign w:val="center"/>
          </w:tcPr>
          <w:p w14:paraId="1DBB28FF">
            <w:pPr>
              <w:pStyle w:val="31"/>
              <w:rPr>
                <w:rFonts w:cs="Times New Roman"/>
                <w:kern w:val="0"/>
              </w:rPr>
            </w:pPr>
            <w:r>
              <w:rPr>
                <w:rFonts w:hint="eastAsia" w:cs="Times New Roman"/>
                <w:kern w:val="0"/>
              </w:rPr>
              <w:t>5</w:t>
            </w:r>
          </w:p>
        </w:tc>
        <w:tc>
          <w:tcPr>
            <w:tcW w:w="260" w:type="pct"/>
            <w:vAlign w:val="center"/>
          </w:tcPr>
          <w:p w14:paraId="1A87690D">
            <w:pPr>
              <w:pStyle w:val="31"/>
              <w:rPr>
                <w:rFonts w:cs="Times New Roman"/>
                <w:kern w:val="0"/>
              </w:rPr>
            </w:pPr>
            <w:r>
              <w:rPr>
                <w:rFonts w:hint="eastAsia" w:cs="Times New Roman"/>
                <w:kern w:val="0"/>
              </w:rPr>
              <w:t>0.01</w:t>
            </w:r>
          </w:p>
        </w:tc>
        <w:tc>
          <w:tcPr>
            <w:tcW w:w="3687" w:type="pct"/>
            <w:vAlign w:val="center"/>
          </w:tcPr>
          <w:p w14:paraId="30098741">
            <w:pPr>
              <w:pStyle w:val="31"/>
              <w:jc w:val="both"/>
              <w:rPr>
                <w:rFonts w:cs="Times New Roman"/>
                <w:kern w:val="0"/>
              </w:rPr>
            </w:pPr>
            <w:r>
              <w:rPr>
                <w:rFonts w:hint="eastAsia" w:cs="Times New Roman"/>
                <w:kern w:val="0"/>
              </w:rPr>
              <w:t>乙炔（</w:t>
            </w:r>
            <w:r>
              <w:rPr>
                <w:rFonts w:cs="Times New Roman"/>
                <w:kern w:val="0"/>
              </w:rPr>
              <w:t>C₂H₂）是一种无色气体，常温常压下为无色气体，微溶于水，溶于乙醇、丙酮、氯仿、苯，混溶于乙醚。在标准状态下（25℃、1大气压），乙炔的密度为0.62 kg/m³（-82℃），熔点为-81.8℃，沸点为-84℃。</w:t>
            </w:r>
          </w:p>
          <w:p w14:paraId="3FE92309">
            <w:pPr>
              <w:pStyle w:val="31"/>
              <w:jc w:val="both"/>
              <w:rPr>
                <w:rFonts w:cs="Times New Roman"/>
                <w:kern w:val="0"/>
              </w:rPr>
            </w:pPr>
            <w:r>
              <w:rPr>
                <w:rFonts w:cs="Times New Roman"/>
                <w:kern w:val="0"/>
              </w:rPr>
              <w:t>乙炔是一种易燃气体，极易着火和爆炸。它的闪点为-32℃，自燃点为305℃。乙炔在与空气混合后，在7%至11%的范围内会发生猛烈爆炸。此外，乙炔在受撞击、摩擦或干状态下升温会导致剧烈分解，并与氟、氯发生爆炸性反应。乙炔有毒，吸入高浓度乙炔会导致中毒、昏迷等症状。</w:t>
            </w:r>
          </w:p>
        </w:tc>
      </w:tr>
      <w:tr w14:paraId="41B8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3" w:type="pct"/>
            <w:vAlign w:val="center"/>
          </w:tcPr>
          <w:p w14:paraId="439E6A22">
            <w:pPr>
              <w:pStyle w:val="31"/>
              <w:rPr>
                <w:rFonts w:cs="Times New Roman"/>
                <w:kern w:val="0"/>
              </w:rPr>
            </w:pPr>
            <w:r>
              <w:rPr>
                <w:rFonts w:hint="eastAsia" w:cs="Times New Roman"/>
                <w:kern w:val="0"/>
              </w:rPr>
              <w:t>2</w:t>
            </w:r>
          </w:p>
        </w:tc>
        <w:tc>
          <w:tcPr>
            <w:tcW w:w="227" w:type="pct"/>
            <w:vAlign w:val="center"/>
          </w:tcPr>
          <w:p w14:paraId="2F5A7C82">
            <w:pPr>
              <w:pStyle w:val="31"/>
              <w:rPr>
                <w:rFonts w:cs="Times New Roman"/>
                <w:kern w:val="0"/>
              </w:rPr>
            </w:pPr>
            <w:r>
              <w:rPr>
                <w:rFonts w:hint="eastAsia" w:cs="Times New Roman"/>
                <w:kern w:val="0"/>
              </w:rPr>
              <w:t>废油</w:t>
            </w:r>
          </w:p>
        </w:tc>
        <w:tc>
          <w:tcPr>
            <w:tcW w:w="339" w:type="pct"/>
            <w:vAlign w:val="center"/>
          </w:tcPr>
          <w:p w14:paraId="67264E52">
            <w:pPr>
              <w:pStyle w:val="31"/>
              <w:rPr>
                <w:rFonts w:cs="Times New Roman"/>
                <w:kern w:val="0"/>
              </w:rPr>
            </w:pPr>
            <w:r>
              <w:rPr>
                <w:rFonts w:hint="eastAsia" w:cs="Times New Roman"/>
                <w:kern w:val="0"/>
              </w:rPr>
              <w:t>54.81</w:t>
            </w:r>
          </w:p>
        </w:tc>
        <w:tc>
          <w:tcPr>
            <w:tcW w:w="295" w:type="pct"/>
            <w:vAlign w:val="center"/>
          </w:tcPr>
          <w:p w14:paraId="69BABDB4">
            <w:pPr>
              <w:pStyle w:val="31"/>
              <w:rPr>
                <w:rFonts w:cs="Times New Roman"/>
                <w:kern w:val="0"/>
              </w:rPr>
            </w:pPr>
            <w:r>
              <w:rPr>
                <w:rFonts w:hint="eastAsia" w:cs="Times New Roman"/>
                <w:kern w:val="0"/>
              </w:rPr>
              <w:t>52.7</w:t>
            </w:r>
          </w:p>
        </w:tc>
        <w:tc>
          <w:tcPr>
            <w:tcW w:w="260" w:type="pct"/>
            <w:vAlign w:val="center"/>
          </w:tcPr>
          <w:p w14:paraId="3D675F1E">
            <w:pPr>
              <w:pStyle w:val="31"/>
              <w:rPr>
                <w:rFonts w:cs="Times New Roman"/>
                <w:kern w:val="0"/>
              </w:rPr>
            </w:pPr>
            <w:r>
              <w:rPr>
                <w:rFonts w:hint="eastAsia" w:cs="Times New Roman"/>
                <w:kern w:val="0"/>
              </w:rPr>
              <w:t>2.11</w:t>
            </w:r>
          </w:p>
        </w:tc>
        <w:tc>
          <w:tcPr>
            <w:tcW w:w="3687" w:type="pct"/>
            <w:vAlign w:val="center"/>
          </w:tcPr>
          <w:p w14:paraId="33A4E7CC">
            <w:pPr>
              <w:pStyle w:val="31"/>
              <w:jc w:val="both"/>
              <w:rPr>
                <w:rFonts w:cs="Times New Roman"/>
                <w:kern w:val="0"/>
              </w:rPr>
            </w:pPr>
            <w:r>
              <w:rPr>
                <w:rFonts w:hint="eastAsia" w:cs="Times New Roman"/>
                <w:kern w:val="0"/>
              </w:rPr>
              <w:t>废油是一种危险废物，主要成分包括基础油、添加剂、有机酸、胶质和沥青质。</w:t>
            </w:r>
            <w:r>
              <w:rPr>
                <w:rFonts w:cs="Times New Roman"/>
                <w:kern w:val="0"/>
              </w:rPr>
              <w:t>废油在使用过程中会混入水分、灰尘、其他杂油和金属粉末等杂质，导致颜色变黑，粘度增大，并逐渐变质生成有机酸、胶质和沥青状物质</w:t>
            </w:r>
            <w:r>
              <w:rPr>
                <w:rFonts w:hint="eastAsia" w:cs="Times New Roman"/>
                <w:kern w:val="0"/>
              </w:rPr>
              <w:t>。</w:t>
            </w:r>
          </w:p>
          <w:p w14:paraId="73A691BD">
            <w:pPr>
              <w:pStyle w:val="31"/>
              <w:jc w:val="both"/>
              <w:rPr>
                <w:rFonts w:cs="Times New Roman"/>
                <w:kern w:val="0"/>
              </w:rPr>
            </w:pPr>
            <w:r>
              <w:rPr>
                <w:rFonts w:hint="eastAsia" w:cs="Times New Roman"/>
                <w:kern w:val="0"/>
              </w:rPr>
              <w:t>废油的危险特性主要体现在其对人体的危害和对环境的影响。废油中含有致癌、致突变、致变形物质及废酸、重金属等有害物质，对人体健康造成极大威胁。这些物质不仅会停留在肺部，还会进入血液循环系统，干扰人体的造血系统、神经系统等，导致血液病的发生。重金属如铅、镉等难以排除体外，严重影响人体的神经系统。</w:t>
            </w:r>
          </w:p>
        </w:tc>
      </w:tr>
      <w:tr w14:paraId="118A4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3" w:type="pct"/>
            <w:vAlign w:val="center"/>
          </w:tcPr>
          <w:p w14:paraId="6C318F10">
            <w:pPr>
              <w:pStyle w:val="31"/>
              <w:rPr>
                <w:rFonts w:cs="Times New Roman"/>
                <w:kern w:val="0"/>
              </w:rPr>
            </w:pPr>
            <w:r>
              <w:rPr>
                <w:rFonts w:hint="eastAsia" w:cs="Times New Roman"/>
                <w:kern w:val="0"/>
              </w:rPr>
              <w:t>3</w:t>
            </w:r>
          </w:p>
        </w:tc>
        <w:tc>
          <w:tcPr>
            <w:tcW w:w="227" w:type="pct"/>
            <w:vAlign w:val="center"/>
          </w:tcPr>
          <w:p w14:paraId="444A43A9">
            <w:pPr>
              <w:pStyle w:val="31"/>
              <w:rPr>
                <w:rFonts w:cs="Times New Roman"/>
                <w:kern w:val="0"/>
              </w:rPr>
            </w:pPr>
            <w:r>
              <w:rPr>
                <w:rFonts w:hint="eastAsia" w:cs="Times New Roman"/>
                <w:kern w:val="0"/>
              </w:rPr>
              <w:t>沥青漆</w:t>
            </w:r>
          </w:p>
        </w:tc>
        <w:tc>
          <w:tcPr>
            <w:tcW w:w="339" w:type="pct"/>
            <w:vAlign w:val="center"/>
          </w:tcPr>
          <w:p w14:paraId="2A1E2DBE">
            <w:pPr>
              <w:pStyle w:val="31"/>
              <w:rPr>
                <w:rFonts w:cs="Times New Roman"/>
                <w:kern w:val="0"/>
              </w:rPr>
            </w:pPr>
            <w:r>
              <w:rPr>
                <w:rFonts w:hint="eastAsia" w:cs="Times New Roman"/>
                <w:kern w:val="0"/>
              </w:rPr>
              <w:t>0.11</w:t>
            </w:r>
          </w:p>
        </w:tc>
        <w:tc>
          <w:tcPr>
            <w:tcW w:w="295" w:type="pct"/>
            <w:vAlign w:val="center"/>
          </w:tcPr>
          <w:p w14:paraId="47BBA173">
            <w:pPr>
              <w:pStyle w:val="31"/>
              <w:rPr>
                <w:rFonts w:cs="Times New Roman"/>
                <w:kern w:val="0"/>
              </w:rPr>
            </w:pPr>
            <w:r>
              <w:rPr>
                <w:rFonts w:hint="eastAsia" w:cs="Times New Roman"/>
                <w:kern w:val="0"/>
              </w:rPr>
              <w:t>0.1</w:t>
            </w:r>
          </w:p>
        </w:tc>
        <w:tc>
          <w:tcPr>
            <w:tcW w:w="260" w:type="pct"/>
            <w:vAlign w:val="center"/>
          </w:tcPr>
          <w:p w14:paraId="70128521">
            <w:pPr>
              <w:pStyle w:val="31"/>
              <w:rPr>
                <w:rFonts w:cs="Times New Roman"/>
                <w:kern w:val="0"/>
              </w:rPr>
            </w:pPr>
            <w:r>
              <w:rPr>
                <w:rFonts w:hint="eastAsia" w:cs="Times New Roman"/>
                <w:kern w:val="0"/>
              </w:rPr>
              <w:t>0.01</w:t>
            </w:r>
          </w:p>
        </w:tc>
        <w:tc>
          <w:tcPr>
            <w:tcW w:w="3687" w:type="pct"/>
            <w:vAlign w:val="center"/>
          </w:tcPr>
          <w:p w14:paraId="4A618BB4">
            <w:pPr>
              <w:pStyle w:val="31"/>
              <w:jc w:val="both"/>
              <w:rPr>
                <w:rFonts w:cs="Times New Roman"/>
                <w:kern w:val="0"/>
              </w:rPr>
            </w:pPr>
            <w:r>
              <w:rPr>
                <w:rFonts w:hint="eastAsia" w:cs="Times New Roman"/>
                <w:kern w:val="0"/>
              </w:rPr>
              <w:t>沥青漆是一种以沥青为成膜物的涂料，具有干燥快、光泽好、防潮湿、防水、防腐、耐化学品的特性。深棕色到黑色的粘稠液体、半固体或固体，有臭味。</w:t>
            </w:r>
            <w:r>
              <w:rPr>
                <w:rFonts w:cs="Times New Roman"/>
                <w:kern w:val="0"/>
              </w:rPr>
              <w:t>不溶于水，但溶于二硫化碳、四氯化碳等有机溶剂</w:t>
            </w:r>
            <w:r>
              <w:rPr>
                <w:rFonts w:hint="eastAsia" w:cs="Times New Roman"/>
                <w:kern w:val="0"/>
              </w:rPr>
              <w:t>。相对密度</w:t>
            </w:r>
            <w:r>
              <w:rPr>
                <w:rFonts w:hint="eastAsia" w:ascii="宋体" w:hAnsi="宋体" w:cs="宋体"/>
                <w:kern w:val="0"/>
              </w:rPr>
              <w:t>：介于</w:t>
            </w:r>
            <w:r>
              <w:rPr>
                <w:rFonts w:cs="Times New Roman"/>
                <w:kern w:val="0"/>
              </w:rPr>
              <w:t>1.15到1.25之间</w:t>
            </w:r>
            <w:r>
              <w:rPr>
                <w:rFonts w:hint="eastAsia" w:cs="Times New Roman"/>
                <w:kern w:val="0"/>
              </w:rPr>
              <w:t>。易燃，引燃温度为485℃，闪点为224℃。</w:t>
            </w:r>
          </w:p>
          <w:p w14:paraId="10799B50">
            <w:pPr>
              <w:pStyle w:val="31"/>
              <w:jc w:val="both"/>
              <w:rPr>
                <w:rFonts w:cs="Times New Roman" w:eastAsiaTheme="minorEastAsia"/>
                <w:kern w:val="0"/>
              </w:rPr>
            </w:pPr>
            <w:r>
              <w:rPr>
                <w:rFonts w:hint="eastAsia" w:cs="Times New Roman"/>
                <w:kern w:val="0"/>
              </w:rPr>
              <w:t>长期接触可能导致光毒性皮炎、黑变病等皮肤损害，以及全身症状如头昏、头痛、胸闷等。对环境有危害，可能造成大气污染。</w:t>
            </w:r>
          </w:p>
        </w:tc>
      </w:tr>
      <w:tr w14:paraId="3FC84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3" w:type="pct"/>
            <w:vAlign w:val="center"/>
          </w:tcPr>
          <w:p w14:paraId="000FA2D3">
            <w:pPr>
              <w:pStyle w:val="31"/>
              <w:rPr>
                <w:rFonts w:cs="Times New Roman"/>
                <w:kern w:val="0"/>
              </w:rPr>
            </w:pPr>
            <w:r>
              <w:rPr>
                <w:rFonts w:hint="eastAsia" w:cs="Times New Roman"/>
                <w:kern w:val="0"/>
              </w:rPr>
              <w:t>4</w:t>
            </w:r>
          </w:p>
        </w:tc>
        <w:tc>
          <w:tcPr>
            <w:tcW w:w="227" w:type="pct"/>
            <w:vAlign w:val="center"/>
          </w:tcPr>
          <w:p w14:paraId="72E632F2">
            <w:pPr>
              <w:pStyle w:val="31"/>
              <w:rPr>
                <w:rFonts w:cs="Times New Roman"/>
                <w:kern w:val="0"/>
              </w:rPr>
            </w:pPr>
            <w:r>
              <w:rPr>
                <w:rFonts w:hint="eastAsia" w:cs="Times New Roman"/>
                <w:kern w:val="0"/>
              </w:rPr>
              <w:t>油泥</w:t>
            </w:r>
          </w:p>
        </w:tc>
        <w:tc>
          <w:tcPr>
            <w:tcW w:w="339" w:type="pct"/>
            <w:vAlign w:val="center"/>
          </w:tcPr>
          <w:p w14:paraId="03367DC7">
            <w:pPr>
              <w:pStyle w:val="31"/>
              <w:rPr>
                <w:rFonts w:cs="Times New Roman"/>
                <w:kern w:val="0"/>
              </w:rPr>
            </w:pPr>
            <w:r>
              <w:rPr>
                <w:rFonts w:hint="eastAsia" w:cs="Times New Roman"/>
                <w:kern w:val="0"/>
              </w:rPr>
              <w:t>6.46</w:t>
            </w:r>
          </w:p>
        </w:tc>
        <w:tc>
          <w:tcPr>
            <w:tcW w:w="295" w:type="pct"/>
            <w:vAlign w:val="center"/>
          </w:tcPr>
          <w:p w14:paraId="616A5F92">
            <w:pPr>
              <w:pStyle w:val="31"/>
              <w:rPr>
                <w:rFonts w:cs="Times New Roman"/>
                <w:kern w:val="0"/>
              </w:rPr>
            </w:pPr>
            <w:r>
              <w:rPr>
                <w:rFonts w:hint="eastAsia" w:cs="Times New Roman"/>
                <w:kern w:val="0"/>
              </w:rPr>
              <w:t>6.21</w:t>
            </w:r>
          </w:p>
        </w:tc>
        <w:tc>
          <w:tcPr>
            <w:tcW w:w="260" w:type="pct"/>
            <w:vAlign w:val="center"/>
          </w:tcPr>
          <w:p w14:paraId="043D53E6">
            <w:pPr>
              <w:pStyle w:val="31"/>
              <w:rPr>
                <w:rFonts w:cs="Times New Roman"/>
                <w:kern w:val="0"/>
              </w:rPr>
            </w:pPr>
            <w:r>
              <w:rPr>
                <w:rFonts w:hint="eastAsia" w:cs="Times New Roman"/>
                <w:kern w:val="0"/>
              </w:rPr>
              <w:t>0.25</w:t>
            </w:r>
          </w:p>
        </w:tc>
        <w:tc>
          <w:tcPr>
            <w:tcW w:w="3687" w:type="pct"/>
            <w:vAlign w:val="center"/>
          </w:tcPr>
          <w:p w14:paraId="1359ADA8">
            <w:pPr>
              <w:pStyle w:val="31"/>
              <w:jc w:val="both"/>
              <w:rPr>
                <w:rFonts w:cs="Times New Roman"/>
                <w:kern w:val="0"/>
              </w:rPr>
            </w:pPr>
            <w:r>
              <w:rPr>
                <w:rFonts w:hint="eastAsia" w:cs="Times New Roman"/>
                <w:kern w:val="0"/>
              </w:rPr>
              <w:t>油泥的理化性质方面，油泥的含油率分布在</w:t>
            </w:r>
            <w:r>
              <w:rPr>
                <w:rFonts w:cs="Times New Roman"/>
                <w:kern w:val="0"/>
              </w:rPr>
              <w:t>35%~81%，主要成分包括饱和烃和芳香烃，胶质和沥青质含量均小于20%。油泥为非牛顿流体，其粘度随剪切速率和温度的升高而下降，流变特性可用幂律方程进行描述</w:t>
            </w:r>
            <w:r>
              <w:rPr>
                <w:rFonts w:hint="eastAsia" w:cs="Times New Roman"/>
                <w:kern w:val="0"/>
              </w:rPr>
              <w:t>。</w:t>
            </w:r>
          </w:p>
          <w:p w14:paraId="79653FD4">
            <w:pPr>
              <w:pStyle w:val="31"/>
              <w:jc w:val="both"/>
              <w:rPr>
                <w:rFonts w:cs="Times New Roman" w:eastAsiaTheme="minorEastAsia"/>
                <w:kern w:val="0"/>
              </w:rPr>
            </w:pPr>
            <w:r>
              <w:rPr>
                <w:rFonts w:hint="eastAsia" w:cs="Times New Roman"/>
                <w:kern w:val="0"/>
              </w:rPr>
              <w:t>油泥容易吸附在金属上，没有机油的润滑效果，反而会加剧各部件之间的摩擦，可能导致部件卡住。油泥附着在曲轴箱内壁上会降低缸体的散热能力，导致机油温度过高，发动机功率下降。油泥附着在发动机内部油道中会增大机油的流动阻力，减少机油的流量，影响部件之间的润滑效果，加剧发动机磨损。大量的油泥有可能堵塞机油油道，导致部件之间没有润滑形成“干磨”，严重时导致烧瓦、抱轴等现象。</w:t>
            </w:r>
          </w:p>
        </w:tc>
      </w:tr>
    </w:tbl>
    <w:p w14:paraId="65A1BB09">
      <w:pPr>
        <w:pStyle w:val="36"/>
        <w:bidi w:val="0"/>
        <w:rPr>
          <w:rFonts w:hint="eastAsia"/>
          <w:lang w:val="en-US" w:eastAsia="zh-CN"/>
        </w:rPr>
      </w:pPr>
      <w:r>
        <w:rPr>
          <w:rFonts w:hint="eastAsia"/>
          <w:lang w:val="en-US" w:eastAsia="zh-CN"/>
        </w:rPr>
        <w:t>5.3.1.2环境风险潜势初判</w:t>
      </w:r>
    </w:p>
    <w:p w14:paraId="61D0B98F">
      <w:pPr>
        <w:pStyle w:val="21"/>
        <w:ind w:firstLine="480"/>
      </w:pPr>
      <w:r>
        <w:rPr>
          <w:rFonts w:hint="eastAsia"/>
        </w:rPr>
        <w:t>1、P的分级</w:t>
      </w:r>
    </w:p>
    <w:p w14:paraId="1F6B84E2">
      <w:pPr>
        <w:pStyle w:val="21"/>
        <w:ind w:firstLine="480"/>
      </w:pPr>
      <w:r>
        <w:rPr>
          <w:rFonts w:hint="eastAsia"/>
        </w:rPr>
        <w:t>（1）危险物质数量与临界量比值Q</w:t>
      </w:r>
    </w:p>
    <w:p w14:paraId="7AD59516">
      <w:pPr>
        <w:pStyle w:val="21"/>
        <w:ind w:firstLine="480"/>
        <w:rPr>
          <w:sz w:val="28"/>
        </w:rPr>
      </w:pPr>
      <w:r>
        <w:rPr>
          <w:rFonts w:hint="eastAsia"/>
        </w:rPr>
        <w:t>根据《建设项目环境风险评价技术导则》（HJ/T169—2018），环境风险潜势初判根据危险物质及工艺系统危险性（P）和环境敏感程度（E）判定，根据附录 C 中危险物质数量与临界量比值（Q）计算公式进行。</w:t>
      </w:r>
    </w:p>
    <w:p w14:paraId="6EC555AA">
      <w:pPr>
        <w:pStyle w:val="21"/>
        <w:ind w:firstLine="480"/>
        <w:rPr>
          <w:rFonts w:hint="eastAsia" w:ascii="等线" w:hAnsi="等线" w:eastAsiaTheme="minorEastAsia"/>
        </w:rPr>
      </w:pPr>
      <w:r>
        <w:rPr>
          <w:rFonts w:ascii="等线" w:hAnsi="等线" w:eastAsia="Times New Roman"/>
          <w:spacing w:val="6"/>
          <w:lang w:val="zh-CN"/>
        </w:rPr>
        <w:object>
          <v:shape id="_x0000_i1029" o:spt="75" type="#_x0000_t75" style="height:36.7pt;width:108.7pt;" o:ole="t" filled="f" o:preferrelative="t" stroked="f" coordsize="21600,21600">
            <v:path/>
            <v:fill on="f" focussize="0,0"/>
            <v:stroke on="f" joinstyle="miter"/>
            <v:imagedata r:id="rId31" o:title=""/>
            <o:lock v:ext="edit" aspectratio="t"/>
            <w10:wrap type="none"/>
            <w10:anchorlock/>
          </v:shape>
          <o:OLEObject Type="Embed" ProgID="Equation.DSMT4" ShapeID="_x0000_i1029" DrawAspect="Content" ObjectID="_1468075729" r:id="rId30">
            <o:LockedField>false</o:LockedField>
          </o:OLEObject>
        </w:object>
      </w:r>
    </w:p>
    <w:p w14:paraId="23745185">
      <w:pPr>
        <w:pStyle w:val="21"/>
        <w:ind w:firstLine="480"/>
      </w:pPr>
      <w:r>
        <w:rPr>
          <w:rFonts w:hint="eastAsia"/>
        </w:rPr>
        <w:t>式中：q 1 ，q 2 ……q n ——每种危险物质的最大存在总量，t。</w:t>
      </w:r>
    </w:p>
    <w:p w14:paraId="40683169">
      <w:pPr>
        <w:pStyle w:val="21"/>
        <w:ind w:firstLine="480"/>
      </w:pPr>
      <w:r>
        <w:rPr>
          <w:rFonts w:hint="eastAsia"/>
        </w:rPr>
        <w:t>Q1，Q 2 ……Q n ——每种危险物质的临界量，t。</w:t>
      </w:r>
    </w:p>
    <w:p w14:paraId="783C57AB">
      <w:pPr>
        <w:pStyle w:val="21"/>
        <w:ind w:firstLine="480"/>
      </w:pPr>
      <w:r>
        <w:rPr>
          <w:rFonts w:hint="eastAsia"/>
        </w:rPr>
        <w:t>根据《建设项目环境风险评价导则》（HJ/T 169-2018）附录B突发环境事件风险物质及临界量表，对本项目涉及物质进行风险识别的具体判定过程见下表。</w:t>
      </w:r>
    </w:p>
    <w:p w14:paraId="3DFC22BF">
      <w:pPr>
        <w:pStyle w:val="23"/>
      </w:pPr>
      <w:r>
        <w:rPr>
          <w:rFonts w:hint="eastAsia"/>
        </w:rPr>
        <w:t>表</w:t>
      </w:r>
      <w:r>
        <w:t>5.</w:t>
      </w:r>
      <w:r>
        <w:rPr>
          <w:rFonts w:hint="eastAsia"/>
          <w:lang w:val="en-US" w:eastAsia="zh-CN"/>
        </w:rPr>
        <w:t>3</w:t>
      </w:r>
      <w:r>
        <w:rPr>
          <w:rFonts w:hint="eastAsia"/>
        </w:rPr>
        <w:t>-2</w:t>
      </w:r>
      <w:r>
        <w:t xml:space="preserve">  </w:t>
      </w:r>
      <w:r>
        <w:rPr>
          <w:rFonts w:hint="eastAsia"/>
        </w:rPr>
        <w:t>本项目生产过程涉及物质风险识别表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8"/>
        <w:gridCol w:w="769"/>
        <w:gridCol w:w="1323"/>
        <w:gridCol w:w="1168"/>
        <w:gridCol w:w="2707"/>
        <w:gridCol w:w="1787"/>
      </w:tblGrid>
      <w:tr w14:paraId="096ED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shd w:val="clear" w:color="auto" w:fill="auto"/>
            <w:vAlign w:val="center"/>
          </w:tcPr>
          <w:p w14:paraId="0CCDDB52">
            <w:pPr>
              <w:pStyle w:val="31"/>
            </w:pPr>
            <w:r>
              <w:rPr>
                <w:rFonts w:hint="eastAsia"/>
              </w:rPr>
              <w:t>序号</w:t>
            </w:r>
          </w:p>
        </w:tc>
        <w:tc>
          <w:tcPr>
            <w:tcW w:w="451" w:type="pct"/>
            <w:shd w:val="clear" w:color="auto" w:fill="auto"/>
            <w:vAlign w:val="center"/>
          </w:tcPr>
          <w:p w14:paraId="50639BC6">
            <w:pPr>
              <w:pStyle w:val="31"/>
            </w:pPr>
            <w:r>
              <w:rPr>
                <w:rFonts w:hint="eastAsia"/>
              </w:rPr>
              <w:t>物质</w:t>
            </w:r>
          </w:p>
        </w:tc>
        <w:tc>
          <w:tcPr>
            <w:tcW w:w="776" w:type="pct"/>
            <w:shd w:val="clear" w:color="auto" w:fill="auto"/>
            <w:vAlign w:val="center"/>
          </w:tcPr>
          <w:p w14:paraId="185BE39B">
            <w:pPr>
              <w:pStyle w:val="31"/>
            </w:pPr>
            <w:r>
              <w:rPr>
                <w:rFonts w:hint="eastAsia"/>
              </w:rPr>
              <w:t>C</w:t>
            </w:r>
            <w:r>
              <w:t>AS</w:t>
            </w:r>
            <w:r>
              <w:rPr>
                <w:rFonts w:hint="eastAsia"/>
              </w:rPr>
              <w:t>号</w:t>
            </w:r>
          </w:p>
        </w:tc>
        <w:tc>
          <w:tcPr>
            <w:tcW w:w="685" w:type="pct"/>
            <w:shd w:val="clear" w:color="auto" w:fill="auto"/>
            <w:vAlign w:val="center"/>
          </w:tcPr>
          <w:p w14:paraId="183781A2">
            <w:pPr>
              <w:pStyle w:val="31"/>
            </w:pPr>
            <w:r>
              <w:rPr>
                <w:rFonts w:hint="eastAsia"/>
              </w:rPr>
              <w:t>临界量/</w:t>
            </w:r>
            <w:r>
              <w:t>t</w:t>
            </w:r>
          </w:p>
        </w:tc>
        <w:tc>
          <w:tcPr>
            <w:tcW w:w="1586" w:type="pct"/>
            <w:shd w:val="clear" w:color="auto" w:fill="auto"/>
            <w:vAlign w:val="center"/>
          </w:tcPr>
          <w:p w14:paraId="2474F2E7">
            <w:pPr>
              <w:pStyle w:val="31"/>
            </w:pPr>
            <w:r>
              <w:rPr>
                <w:rFonts w:hint="eastAsia"/>
              </w:rPr>
              <w:t>最大暂存（在线）量/</w:t>
            </w:r>
            <w:r>
              <w:t>t</w:t>
            </w:r>
          </w:p>
        </w:tc>
        <w:tc>
          <w:tcPr>
            <w:tcW w:w="1048" w:type="pct"/>
            <w:shd w:val="clear" w:color="auto" w:fill="auto"/>
            <w:vAlign w:val="center"/>
          </w:tcPr>
          <w:p w14:paraId="35975399">
            <w:pPr>
              <w:pStyle w:val="31"/>
            </w:pPr>
            <w:r>
              <w:rPr>
                <w:rFonts w:hint="eastAsia"/>
              </w:rPr>
              <w:t>临界量比值Q</w:t>
            </w:r>
          </w:p>
        </w:tc>
      </w:tr>
      <w:tr w14:paraId="6138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shd w:val="clear" w:color="auto" w:fill="auto"/>
            <w:vAlign w:val="center"/>
          </w:tcPr>
          <w:p w14:paraId="7C9E5ADB">
            <w:pPr>
              <w:pStyle w:val="31"/>
              <w:rPr>
                <w:rFonts w:hint="eastAsia" w:eastAsia="宋体"/>
                <w:lang w:val="en-US" w:eastAsia="zh-CN"/>
              </w:rPr>
            </w:pPr>
            <w:r>
              <w:rPr>
                <w:rFonts w:hint="eastAsia"/>
                <w:lang w:val="en-US" w:eastAsia="zh-CN"/>
              </w:rPr>
              <w:t>1</w:t>
            </w:r>
          </w:p>
        </w:tc>
        <w:tc>
          <w:tcPr>
            <w:tcW w:w="451" w:type="pct"/>
            <w:shd w:val="clear" w:color="auto" w:fill="auto"/>
            <w:vAlign w:val="center"/>
          </w:tcPr>
          <w:p w14:paraId="62107E11">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乙炔</w:t>
            </w:r>
          </w:p>
        </w:tc>
        <w:tc>
          <w:tcPr>
            <w:tcW w:w="776" w:type="pct"/>
            <w:shd w:val="clear" w:color="auto" w:fill="auto"/>
            <w:vAlign w:val="center"/>
          </w:tcPr>
          <w:p w14:paraId="2DC12B6B">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64-19-7</w:t>
            </w:r>
          </w:p>
        </w:tc>
        <w:tc>
          <w:tcPr>
            <w:tcW w:w="685" w:type="pct"/>
            <w:shd w:val="clear" w:color="auto" w:fill="auto"/>
            <w:vAlign w:val="center"/>
          </w:tcPr>
          <w:p w14:paraId="66AB6828">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10</w:t>
            </w:r>
          </w:p>
        </w:tc>
        <w:tc>
          <w:tcPr>
            <w:tcW w:w="1586" w:type="pct"/>
            <w:shd w:val="clear" w:color="auto" w:fill="auto"/>
            <w:vAlign w:val="center"/>
          </w:tcPr>
          <w:p w14:paraId="58C7C0E3">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0.035</w:t>
            </w:r>
          </w:p>
        </w:tc>
        <w:tc>
          <w:tcPr>
            <w:tcW w:w="1048" w:type="pct"/>
            <w:shd w:val="clear" w:color="auto" w:fill="auto"/>
            <w:vAlign w:val="center"/>
          </w:tcPr>
          <w:p w14:paraId="023FB60F">
            <w:pPr>
              <w:pStyle w:val="31"/>
              <w:rPr>
                <w:rFonts w:hint="default" w:eastAsia="宋体"/>
                <w:lang w:val="en-US" w:eastAsia="zh-CN"/>
              </w:rPr>
            </w:pPr>
            <w:r>
              <w:rPr>
                <w:rFonts w:hint="eastAsia"/>
                <w:lang w:val="en-US" w:eastAsia="zh-CN"/>
              </w:rPr>
              <w:t>0.0035</w:t>
            </w:r>
          </w:p>
        </w:tc>
      </w:tr>
      <w:tr w14:paraId="7E6A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shd w:val="clear" w:color="auto" w:fill="auto"/>
            <w:vAlign w:val="center"/>
          </w:tcPr>
          <w:p w14:paraId="410A8D75">
            <w:pPr>
              <w:pStyle w:val="31"/>
            </w:pPr>
            <w:r>
              <w:rPr>
                <w:rFonts w:hint="eastAsia"/>
              </w:rPr>
              <w:t>2</w:t>
            </w:r>
          </w:p>
        </w:tc>
        <w:tc>
          <w:tcPr>
            <w:tcW w:w="451" w:type="pct"/>
            <w:shd w:val="clear" w:color="auto" w:fill="auto"/>
            <w:vAlign w:val="center"/>
          </w:tcPr>
          <w:p w14:paraId="4CE1AA67">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沥青漆</w:t>
            </w:r>
          </w:p>
        </w:tc>
        <w:tc>
          <w:tcPr>
            <w:tcW w:w="776" w:type="pct"/>
            <w:shd w:val="clear" w:color="auto" w:fill="auto"/>
            <w:vAlign w:val="center"/>
          </w:tcPr>
          <w:p w14:paraId="085316A6">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w:t>
            </w:r>
          </w:p>
        </w:tc>
        <w:tc>
          <w:tcPr>
            <w:tcW w:w="685" w:type="pct"/>
            <w:shd w:val="clear" w:color="auto" w:fill="auto"/>
            <w:vAlign w:val="center"/>
          </w:tcPr>
          <w:p w14:paraId="7698A0FD">
            <w:pPr>
              <w:pStyle w:val="31"/>
              <w:ind w:firstLine="0" w:firstLineChars="0"/>
              <w:rPr>
                <w:rFonts w:ascii="Times New Roman" w:hAnsi="Times New Roman" w:eastAsia="宋体" w:cstheme="minorBidi"/>
                <w:kern w:val="2"/>
                <w:sz w:val="21"/>
                <w:szCs w:val="21"/>
                <w:lang w:val="en-US" w:eastAsia="zh-CN" w:bidi="ar-SA"/>
                <w14:ligatures w14:val="standardContextual"/>
              </w:rPr>
            </w:pPr>
            <w:r>
              <w:rPr>
                <w:rFonts w:hint="eastAsia"/>
              </w:rPr>
              <w:t>50</w:t>
            </w:r>
          </w:p>
        </w:tc>
        <w:tc>
          <w:tcPr>
            <w:tcW w:w="1586" w:type="pct"/>
            <w:shd w:val="clear" w:color="auto" w:fill="auto"/>
            <w:vAlign w:val="center"/>
          </w:tcPr>
          <w:p w14:paraId="5864FD13">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w:t>
            </w:r>
          </w:p>
        </w:tc>
        <w:tc>
          <w:tcPr>
            <w:tcW w:w="1048" w:type="pct"/>
            <w:shd w:val="clear" w:color="auto" w:fill="auto"/>
            <w:vAlign w:val="center"/>
          </w:tcPr>
          <w:p w14:paraId="354DA2C9">
            <w:pPr>
              <w:pStyle w:val="31"/>
              <w:rPr>
                <w:rFonts w:hint="default" w:eastAsia="宋体"/>
                <w:lang w:val="en-US" w:eastAsia="zh-CN"/>
              </w:rPr>
            </w:pPr>
            <w:r>
              <w:rPr>
                <w:rFonts w:hint="eastAsia"/>
                <w:lang w:val="en-US" w:eastAsia="zh-CN"/>
              </w:rPr>
              <w:t>0.002</w:t>
            </w:r>
          </w:p>
        </w:tc>
      </w:tr>
      <w:tr w14:paraId="45B1B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shd w:val="clear" w:color="auto" w:fill="auto"/>
            <w:vAlign w:val="center"/>
          </w:tcPr>
          <w:p w14:paraId="625BFCC6">
            <w:pPr>
              <w:pStyle w:val="31"/>
            </w:pPr>
            <w:r>
              <w:rPr>
                <w:rFonts w:hint="eastAsia"/>
              </w:rPr>
              <w:t>3</w:t>
            </w:r>
          </w:p>
        </w:tc>
        <w:tc>
          <w:tcPr>
            <w:tcW w:w="451" w:type="pct"/>
            <w:shd w:val="clear" w:color="auto" w:fill="auto"/>
            <w:vAlign w:val="center"/>
          </w:tcPr>
          <w:p w14:paraId="7DFD2971">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调和漆</w:t>
            </w:r>
          </w:p>
        </w:tc>
        <w:tc>
          <w:tcPr>
            <w:tcW w:w="776" w:type="pct"/>
            <w:shd w:val="clear" w:color="auto" w:fill="auto"/>
            <w:vAlign w:val="center"/>
          </w:tcPr>
          <w:p w14:paraId="742BDB5E">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w:t>
            </w:r>
          </w:p>
        </w:tc>
        <w:tc>
          <w:tcPr>
            <w:tcW w:w="685" w:type="pct"/>
            <w:shd w:val="clear" w:color="auto" w:fill="auto"/>
            <w:vAlign w:val="center"/>
          </w:tcPr>
          <w:p w14:paraId="518BA726">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50</w:t>
            </w:r>
          </w:p>
        </w:tc>
        <w:tc>
          <w:tcPr>
            <w:tcW w:w="1586" w:type="pct"/>
            <w:shd w:val="clear" w:color="auto" w:fill="auto"/>
            <w:vAlign w:val="center"/>
          </w:tcPr>
          <w:p w14:paraId="75983C56">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w:t>
            </w:r>
          </w:p>
        </w:tc>
        <w:tc>
          <w:tcPr>
            <w:tcW w:w="1048" w:type="pct"/>
            <w:shd w:val="clear" w:color="auto" w:fill="auto"/>
            <w:vAlign w:val="center"/>
          </w:tcPr>
          <w:p w14:paraId="6C4F9FC8">
            <w:pPr>
              <w:pStyle w:val="31"/>
              <w:rPr>
                <w:rFonts w:hint="default" w:eastAsia="宋体"/>
                <w:lang w:val="en-US" w:eastAsia="zh-CN"/>
              </w:rPr>
            </w:pPr>
            <w:r>
              <w:rPr>
                <w:rFonts w:hint="eastAsia"/>
                <w:lang w:val="en-US" w:eastAsia="zh-CN"/>
              </w:rPr>
              <w:t>0.002</w:t>
            </w:r>
          </w:p>
        </w:tc>
      </w:tr>
      <w:tr w14:paraId="0626C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1" w:type="pct"/>
            <w:shd w:val="clear" w:color="auto" w:fill="auto"/>
            <w:vAlign w:val="center"/>
          </w:tcPr>
          <w:p w14:paraId="3BB6275F">
            <w:pPr>
              <w:pStyle w:val="31"/>
              <w:rPr>
                <w:rFonts w:hint="eastAsia" w:eastAsia="宋体"/>
                <w:lang w:val="en-US" w:eastAsia="zh-CN"/>
              </w:rPr>
            </w:pPr>
            <w:r>
              <w:rPr>
                <w:rFonts w:hint="eastAsia"/>
                <w:lang w:val="en-US" w:eastAsia="zh-CN"/>
              </w:rPr>
              <w:t>4</w:t>
            </w:r>
          </w:p>
        </w:tc>
        <w:tc>
          <w:tcPr>
            <w:tcW w:w="451" w:type="pct"/>
            <w:shd w:val="clear" w:color="auto" w:fill="auto"/>
            <w:vAlign w:val="center"/>
          </w:tcPr>
          <w:p w14:paraId="503F84AD">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危险废物</w:t>
            </w:r>
          </w:p>
        </w:tc>
        <w:tc>
          <w:tcPr>
            <w:tcW w:w="776" w:type="pct"/>
            <w:shd w:val="clear" w:color="auto" w:fill="auto"/>
            <w:vAlign w:val="center"/>
          </w:tcPr>
          <w:p w14:paraId="35E8C0A7">
            <w:pPr>
              <w:pStyle w:val="31"/>
              <w:ind w:firstLine="0" w:firstLineChars="0"/>
              <w:rPr>
                <w:rFonts w:hint="eastAsia" w:ascii="Times New Roman" w:hAnsi="Times New Roman" w:eastAsia="宋体" w:cstheme="minorBidi"/>
                <w:kern w:val="2"/>
                <w:sz w:val="21"/>
                <w:szCs w:val="21"/>
                <w:lang w:val="en-US" w:eastAsia="zh-CN" w:bidi="ar-SA"/>
                <w14:ligatures w14:val="standardContextual"/>
              </w:rPr>
            </w:pPr>
            <w:r>
              <w:rPr>
                <w:rFonts w:hint="eastAsia"/>
              </w:rPr>
              <w:t>/</w:t>
            </w:r>
          </w:p>
        </w:tc>
        <w:tc>
          <w:tcPr>
            <w:tcW w:w="685" w:type="pct"/>
            <w:shd w:val="clear" w:color="auto" w:fill="auto"/>
            <w:vAlign w:val="center"/>
          </w:tcPr>
          <w:p w14:paraId="76D9E5BA">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rPr>
              <w:t>50</w:t>
            </w:r>
          </w:p>
        </w:tc>
        <w:tc>
          <w:tcPr>
            <w:tcW w:w="1586" w:type="pct"/>
            <w:shd w:val="clear" w:color="auto" w:fill="auto"/>
            <w:vAlign w:val="center"/>
          </w:tcPr>
          <w:p w14:paraId="456AB0A8">
            <w:pPr>
              <w:pStyle w:val="31"/>
              <w:ind w:firstLine="0" w:firstLineChars="0"/>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33.14</w:t>
            </w:r>
          </w:p>
        </w:tc>
        <w:tc>
          <w:tcPr>
            <w:tcW w:w="1048" w:type="pct"/>
            <w:shd w:val="clear" w:color="auto" w:fill="auto"/>
            <w:vAlign w:val="center"/>
          </w:tcPr>
          <w:p w14:paraId="3C335661">
            <w:pPr>
              <w:pStyle w:val="31"/>
              <w:rPr>
                <w:rFonts w:hint="default" w:eastAsia="宋体"/>
                <w:lang w:val="en-US" w:eastAsia="zh-CN"/>
              </w:rPr>
            </w:pPr>
            <w:r>
              <w:rPr>
                <w:rFonts w:hint="eastAsia"/>
                <w:lang w:val="en-US" w:eastAsia="zh-CN"/>
              </w:rPr>
              <w:t>0.6628</w:t>
            </w:r>
          </w:p>
        </w:tc>
      </w:tr>
      <w:tr w14:paraId="7FC89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51" w:type="pct"/>
            <w:gridSpan w:val="5"/>
            <w:shd w:val="clear" w:color="auto" w:fill="auto"/>
            <w:vAlign w:val="center"/>
          </w:tcPr>
          <w:p w14:paraId="4D83C40C">
            <w:pPr>
              <w:pStyle w:val="31"/>
            </w:pPr>
            <w:r>
              <w:rPr>
                <w:rFonts w:hint="eastAsia"/>
              </w:rPr>
              <w:t>合计</w:t>
            </w:r>
          </w:p>
        </w:tc>
        <w:tc>
          <w:tcPr>
            <w:tcW w:w="1048" w:type="pct"/>
            <w:shd w:val="clear" w:color="auto" w:fill="auto"/>
            <w:vAlign w:val="center"/>
          </w:tcPr>
          <w:p w14:paraId="5304F21A">
            <w:pPr>
              <w:pStyle w:val="31"/>
              <w:rPr>
                <w:rFonts w:hint="default" w:eastAsia="宋体"/>
                <w:lang w:val="en-US" w:eastAsia="zh-CN"/>
              </w:rPr>
            </w:pPr>
            <w:r>
              <w:rPr>
                <w:rFonts w:hint="eastAsia"/>
                <w:lang w:val="en-US" w:eastAsia="zh-CN"/>
              </w:rPr>
              <w:t>0.6703</w:t>
            </w:r>
          </w:p>
        </w:tc>
      </w:tr>
    </w:tbl>
    <w:p w14:paraId="4E86790A">
      <w:pPr>
        <w:ind w:firstLine="480"/>
        <w:rPr>
          <w:rFonts w:hint="eastAsia" w:ascii="仿宋" w:hAnsi="仿宋" w:eastAsia="仿宋"/>
        </w:rPr>
      </w:pPr>
      <w:r>
        <w:rPr>
          <w:rFonts w:hint="eastAsia" w:ascii="仿宋" w:hAnsi="仿宋" w:eastAsia="仿宋"/>
        </w:rPr>
        <w:t>注: 当Q＜1时，该项目环境风险潜势为I；当Q≥1时，将Q值划分为：(1)1≤Q&lt;10；(2)10≤Q&lt;100；(3)Q≥100。</w:t>
      </w:r>
    </w:p>
    <w:p w14:paraId="1CC97047">
      <w:pPr>
        <w:pStyle w:val="21"/>
        <w:rPr>
          <w:rFonts w:cs="Times New Roman"/>
          <w:bCs/>
          <w:color w:val="000000"/>
        </w:rPr>
      </w:pPr>
      <w:r>
        <w:rPr>
          <w:rFonts w:hint="eastAsia" w:cs="Times New Roman"/>
          <w:color w:val="000000"/>
        </w:rPr>
        <w:t>本项目Q=0.6</w:t>
      </w:r>
      <w:r>
        <w:rPr>
          <w:rFonts w:hint="eastAsia" w:cs="Times New Roman"/>
          <w:color w:val="000000"/>
          <w:lang w:val="en-US" w:eastAsia="zh-CN"/>
        </w:rPr>
        <w:t>703</w:t>
      </w:r>
      <w:r>
        <w:rPr>
          <w:rFonts w:hint="eastAsia" w:cs="Times New Roman"/>
          <w:color w:val="000000"/>
        </w:rPr>
        <w:t>＜1</w:t>
      </w:r>
      <w:r>
        <w:rPr>
          <w:rFonts w:cs="Times New Roman"/>
          <w:color w:val="000000"/>
        </w:rPr>
        <w:t>，按照</w:t>
      </w:r>
      <w:r>
        <w:rPr>
          <w:rFonts w:cs="Times New Roman"/>
          <w:bCs/>
          <w:color w:val="000000"/>
        </w:rPr>
        <w:t>《建设项目环境风险评价导则》</w:t>
      </w:r>
      <w:r>
        <w:rPr>
          <w:rFonts w:hint="eastAsia" w:cs="Times New Roman"/>
          <w:bCs/>
          <w:color w:val="000000"/>
        </w:rPr>
        <w:t>（</w:t>
      </w:r>
      <w:r>
        <w:rPr>
          <w:rFonts w:cs="Times New Roman"/>
          <w:bCs/>
          <w:color w:val="000000"/>
        </w:rPr>
        <w:t>HJ</w:t>
      </w:r>
      <w:r>
        <w:rPr>
          <w:rFonts w:hint="eastAsia" w:cs="Times New Roman"/>
          <w:bCs/>
          <w:color w:val="000000"/>
        </w:rPr>
        <w:t xml:space="preserve"> </w:t>
      </w:r>
      <w:r>
        <w:rPr>
          <w:rFonts w:cs="Times New Roman"/>
          <w:bCs/>
          <w:color w:val="000000"/>
        </w:rPr>
        <w:t>169</w:t>
      </w:r>
      <w:r>
        <w:rPr>
          <w:rFonts w:hint="eastAsia" w:cs="Times New Roman"/>
          <w:bCs/>
          <w:color w:val="000000"/>
        </w:rPr>
        <w:t>-2018）</w:t>
      </w:r>
      <w:r>
        <w:rPr>
          <w:rFonts w:cs="Times New Roman"/>
          <w:color w:val="000000"/>
        </w:rPr>
        <w:t>中“6.1 环境风险潜势划</w:t>
      </w:r>
      <w:r>
        <w:rPr>
          <w:rFonts w:cs="Times New Roman"/>
          <w:bCs/>
          <w:color w:val="000000"/>
        </w:rPr>
        <w:t>分”，确定本项目环境风险潜势分级为</w:t>
      </w:r>
      <w:r>
        <w:rPr>
          <w:rFonts w:cs="Times New Roman" w:eastAsiaTheme="minorEastAsia"/>
          <w:szCs w:val="21"/>
        </w:rPr>
        <w:t>I</w:t>
      </w:r>
      <w:r>
        <w:rPr>
          <w:rFonts w:cs="Times New Roman"/>
          <w:bCs/>
          <w:color w:val="000000"/>
        </w:rPr>
        <w:t>级。</w:t>
      </w:r>
    </w:p>
    <w:p w14:paraId="72AD447E">
      <w:pPr>
        <w:pStyle w:val="36"/>
        <w:bidi w:val="0"/>
        <w:rPr>
          <w:rFonts w:hint="eastAsia"/>
          <w:lang w:val="en-US" w:eastAsia="zh-CN"/>
        </w:rPr>
      </w:pPr>
      <w:r>
        <w:rPr>
          <w:rFonts w:hint="eastAsia"/>
          <w:lang w:val="en-US" w:eastAsia="zh-CN"/>
        </w:rPr>
        <w:t>5.3.1.3环境风险评价等级</w:t>
      </w:r>
    </w:p>
    <w:p w14:paraId="65E545AF">
      <w:pPr>
        <w:pStyle w:val="21"/>
        <w:ind w:firstLine="480"/>
        <w:rPr>
          <w:rFonts w:cs="Times New Roman"/>
          <w:bCs/>
          <w:color w:val="000000"/>
        </w:rPr>
      </w:pPr>
      <w:r>
        <w:rPr>
          <w:rFonts w:hint="eastAsia" w:cs="Times New Roman"/>
          <w:bCs/>
          <w:color w:val="000000"/>
        </w:rPr>
        <w:t>根据确定的项目环境风险潜势，按照</w:t>
      </w:r>
      <w:r>
        <w:rPr>
          <w:rFonts w:cs="Times New Roman"/>
          <w:bCs/>
          <w:color w:val="000000"/>
        </w:rPr>
        <w:t>《建设项目环境风险评价导则》</w:t>
      </w:r>
      <w:r>
        <w:rPr>
          <w:rFonts w:hint="eastAsia" w:cs="Times New Roman"/>
          <w:bCs/>
          <w:color w:val="000000"/>
        </w:rPr>
        <w:t>（</w:t>
      </w:r>
      <w:r>
        <w:rPr>
          <w:rFonts w:cs="Times New Roman"/>
          <w:bCs/>
          <w:color w:val="000000"/>
        </w:rPr>
        <w:t>HJ 169-2018</w:t>
      </w:r>
      <w:r>
        <w:rPr>
          <w:rFonts w:hint="eastAsia" w:cs="Times New Roman"/>
          <w:bCs/>
          <w:color w:val="000000"/>
        </w:rPr>
        <w:t>）中“4.3 评价工作等级划分”，确定本项目环境风险评价工作等级为简单分析。</w:t>
      </w:r>
    </w:p>
    <w:p w14:paraId="27AF2F81">
      <w:pPr>
        <w:pStyle w:val="21"/>
        <w:ind w:firstLine="480"/>
        <w:rPr>
          <w:rFonts w:cs="Times New Roman"/>
          <w:bCs/>
          <w:color w:val="000000"/>
        </w:rPr>
      </w:pPr>
      <w:r>
        <w:rPr>
          <w:rFonts w:hint="eastAsia" w:cs="Times New Roman"/>
          <w:bCs/>
          <w:color w:val="000000"/>
        </w:rPr>
        <w:t>项目环境风险评价工作等级划分见下表。</w:t>
      </w:r>
    </w:p>
    <w:p w14:paraId="06BE350B">
      <w:pPr>
        <w:pStyle w:val="23"/>
        <w:ind w:firstLine="480"/>
      </w:pPr>
      <w:r>
        <w:rPr>
          <w:rFonts w:hint="eastAsia"/>
          <w:bCs/>
        </w:rPr>
        <w:t>表5.</w:t>
      </w:r>
      <w:r>
        <w:rPr>
          <w:rFonts w:hint="eastAsia"/>
          <w:bCs/>
          <w:lang w:val="en-US" w:eastAsia="zh-CN"/>
        </w:rPr>
        <w:t>3</w:t>
      </w:r>
      <w:r>
        <w:rPr>
          <w:rFonts w:hint="eastAsia"/>
          <w:bCs/>
        </w:rPr>
        <w:t xml:space="preserve">-3  </w:t>
      </w:r>
      <w:r>
        <w:rPr>
          <w:rFonts w:hint="eastAsia"/>
        </w:rPr>
        <w:t>项目环境风险评价工作等级划分</w:t>
      </w:r>
    </w:p>
    <w:tbl>
      <w:tblPr>
        <w:tblStyle w:val="50"/>
        <w:tblW w:w="4998"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1671"/>
        <w:gridCol w:w="1672"/>
        <w:gridCol w:w="1672"/>
        <w:gridCol w:w="1672"/>
        <w:gridCol w:w="1672"/>
      </w:tblGrid>
      <w:tr w14:paraId="3B9AD8B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1000" w:type="pct"/>
            <w:tcBorders>
              <w:top w:val="single" w:color="000000" w:sz="4" w:space="0"/>
              <w:left w:val="single" w:color="000000" w:sz="4" w:space="0"/>
              <w:bottom w:val="single" w:color="000000" w:sz="4" w:space="0"/>
              <w:right w:val="single" w:color="auto" w:sz="2" w:space="0"/>
              <w:insideV w:val="single" w:sz="2" w:space="0"/>
              <w:tl2br w:val="nil"/>
              <w:tr2bl w:val="nil"/>
            </w:tcBorders>
            <w:tcMar>
              <w:left w:w="28" w:type="dxa"/>
              <w:right w:w="28" w:type="dxa"/>
            </w:tcMar>
            <w:vAlign w:val="center"/>
          </w:tcPr>
          <w:p w14:paraId="4A059DEB">
            <w:pPr>
              <w:pStyle w:val="31"/>
              <w:rPr>
                <w:rFonts w:cs="Times New Roman"/>
                <w:kern w:val="0"/>
              </w:rPr>
            </w:pPr>
            <w:r>
              <w:rPr>
                <w:rFonts w:hint="eastAsia" w:cs="Times New Roman"/>
                <w:kern w:val="0"/>
              </w:rPr>
              <w:t>环境风险潜势</w:t>
            </w:r>
          </w:p>
        </w:tc>
        <w:tc>
          <w:tcPr>
            <w:tcW w:w="1000" w:type="pct"/>
            <w:tcBorders>
              <w:top w:val="single" w:color="000000" w:sz="4" w:space="0"/>
              <w:left w:val="single" w:color="000000" w:sz="4" w:space="0"/>
              <w:bottom w:val="single" w:color="000000" w:sz="4" w:space="0"/>
              <w:right w:val="single" w:color="auto" w:sz="2" w:space="0"/>
              <w:insideV w:val="single" w:sz="2" w:space="0"/>
              <w:tl2br w:val="nil"/>
              <w:tr2bl w:val="nil"/>
            </w:tcBorders>
            <w:tcMar>
              <w:left w:w="28" w:type="dxa"/>
              <w:right w:w="28" w:type="dxa"/>
            </w:tcMar>
            <w:vAlign w:val="center"/>
          </w:tcPr>
          <w:p w14:paraId="54881FAE">
            <w:pPr>
              <w:pStyle w:val="31"/>
              <w:rPr>
                <w:rFonts w:cs="Times New Roman"/>
                <w:kern w:val="0"/>
              </w:rPr>
            </w:pPr>
            <w:r>
              <w:rPr>
                <w:rFonts w:cs="Times New Roman"/>
                <w:kern w:val="0"/>
              </w:rPr>
              <w:t>Ⅳ</w:t>
            </w:r>
            <w:r>
              <w:rPr>
                <w:rFonts w:hint="eastAsia" w:cs="Times New Roman"/>
                <w:kern w:val="0"/>
              </w:rPr>
              <w:t>、</w:t>
            </w:r>
            <w:r>
              <w:rPr>
                <w:rFonts w:cs="Times New Roman"/>
                <w:kern w:val="0"/>
              </w:rPr>
              <w:t>Ⅳ+</w:t>
            </w:r>
          </w:p>
        </w:tc>
        <w:tc>
          <w:tcPr>
            <w:tcW w:w="1000" w:type="pct"/>
            <w:tcBorders>
              <w:top w:val="single" w:color="000000" w:sz="4" w:space="0"/>
              <w:left w:val="single" w:color="000000" w:sz="4" w:space="0"/>
              <w:bottom w:val="single" w:color="000000" w:sz="4" w:space="0"/>
              <w:right w:val="single" w:color="auto" w:sz="2" w:space="0"/>
              <w:insideV w:val="single" w:sz="2" w:space="0"/>
              <w:tl2br w:val="nil"/>
              <w:tr2bl w:val="nil"/>
            </w:tcBorders>
            <w:tcMar>
              <w:left w:w="28" w:type="dxa"/>
              <w:right w:w="28" w:type="dxa"/>
            </w:tcMar>
            <w:vAlign w:val="center"/>
          </w:tcPr>
          <w:p w14:paraId="053431DA">
            <w:pPr>
              <w:pStyle w:val="31"/>
              <w:rPr>
                <w:rFonts w:cs="Times New Roman"/>
                <w:kern w:val="0"/>
              </w:rPr>
            </w:pPr>
            <w:r>
              <w:rPr>
                <w:rFonts w:cs="Times New Roman"/>
                <w:kern w:val="0"/>
              </w:rPr>
              <w:t>Ⅲ</w:t>
            </w:r>
          </w:p>
        </w:tc>
        <w:tc>
          <w:tcPr>
            <w:tcW w:w="1000" w:type="pct"/>
            <w:tcBorders>
              <w:top w:val="single" w:color="000000" w:sz="4" w:space="0"/>
              <w:left w:val="single" w:color="000000" w:sz="4" w:space="0"/>
              <w:bottom w:val="single" w:color="000000" w:sz="4" w:space="0"/>
              <w:right w:val="single" w:color="auto" w:sz="2" w:space="0"/>
              <w:insideV w:val="single" w:sz="2" w:space="0"/>
              <w:tl2br w:val="nil"/>
              <w:tr2bl w:val="nil"/>
            </w:tcBorders>
            <w:tcMar>
              <w:left w:w="28" w:type="dxa"/>
              <w:right w:w="28" w:type="dxa"/>
            </w:tcMar>
            <w:vAlign w:val="center"/>
          </w:tcPr>
          <w:p w14:paraId="3E69314B">
            <w:pPr>
              <w:pStyle w:val="31"/>
              <w:rPr>
                <w:rFonts w:cs="Times New Roman"/>
                <w:kern w:val="0"/>
              </w:rPr>
            </w:pPr>
            <w:r>
              <w:rPr>
                <w:rFonts w:cs="Times New Roman"/>
                <w:kern w:val="0"/>
              </w:rPr>
              <w:t>Ⅱ</w:t>
            </w:r>
          </w:p>
        </w:tc>
        <w:tc>
          <w:tcPr>
            <w:tcW w:w="1000" w:type="pct"/>
            <w:tcBorders>
              <w:top w:val="single" w:color="000000" w:sz="4" w:space="0"/>
              <w:left w:val="single" w:color="000000" w:sz="4" w:space="0"/>
              <w:bottom w:val="single" w:color="000000" w:sz="4" w:space="0"/>
              <w:right w:val="single" w:color="000000" w:sz="4" w:space="0"/>
              <w:insideV w:val="single" w:sz="2" w:space="0"/>
              <w:tl2br w:val="nil"/>
              <w:tr2bl w:val="nil"/>
            </w:tcBorders>
            <w:tcMar>
              <w:left w:w="28" w:type="dxa"/>
              <w:right w:w="28" w:type="dxa"/>
            </w:tcMar>
            <w:vAlign w:val="center"/>
          </w:tcPr>
          <w:p w14:paraId="6494CD74">
            <w:pPr>
              <w:pStyle w:val="31"/>
              <w:rPr>
                <w:rFonts w:cs="Times New Roman"/>
                <w:kern w:val="0"/>
              </w:rPr>
            </w:pPr>
            <w:r>
              <w:rPr>
                <w:rFonts w:cs="Times New Roman"/>
                <w:kern w:val="0"/>
              </w:rPr>
              <w:t>Ⅰ</w:t>
            </w:r>
          </w:p>
        </w:tc>
      </w:tr>
      <w:tr w14:paraId="110BAE7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1000" w:type="pct"/>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3E78F52B">
            <w:pPr>
              <w:pStyle w:val="31"/>
              <w:rPr>
                <w:rFonts w:cs="Times New Roman"/>
                <w:kern w:val="0"/>
              </w:rPr>
            </w:pPr>
            <w:r>
              <w:rPr>
                <w:rFonts w:hint="eastAsia" w:cs="Times New Roman"/>
                <w:kern w:val="0"/>
              </w:rPr>
              <w:t>评价工作等级</w:t>
            </w:r>
          </w:p>
        </w:tc>
        <w:tc>
          <w:tcPr>
            <w:tcW w:w="1000" w:type="pct"/>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416242CB">
            <w:pPr>
              <w:pStyle w:val="31"/>
              <w:rPr>
                <w:rFonts w:cs="Times New Roman"/>
                <w:kern w:val="0"/>
              </w:rPr>
            </w:pPr>
            <w:r>
              <w:rPr>
                <w:rFonts w:hint="eastAsia" w:cs="Times New Roman"/>
                <w:kern w:val="0"/>
              </w:rPr>
              <w:t>一</w:t>
            </w:r>
          </w:p>
        </w:tc>
        <w:tc>
          <w:tcPr>
            <w:tcW w:w="1000" w:type="pct"/>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71A94D38">
            <w:pPr>
              <w:pStyle w:val="31"/>
              <w:rPr>
                <w:rFonts w:cs="Times New Roman"/>
                <w:kern w:val="0"/>
              </w:rPr>
            </w:pPr>
            <w:r>
              <w:rPr>
                <w:rFonts w:hint="eastAsia" w:cs="Times New Roman"/>
                <w:kern w:val="0"/>
              </w:rPr>
              <w:t>二</w:t>
            </w:r>
          </w:p>
        </w:tc>
        <w:tc>
          <w:tcPr>
            <w:tcW w:w="1000" w:type="pct"/>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070457A1">
            <w:pPr>
              <w:pStyle w:val="31"/>
              <w:rPr>
                <w:rFonts w:cs="Times New Roman"/>
                <w:kern w:val="0"/>
              </w:rPr>
            </w:pPr>
            <w:r>
              <w:rPr>
                <w:rFonts w:hint="eastAsia" w:cs="Times New Roman"/>
                <w:kern w:val="0"/>
              </w:rPr>
              <w:t>三</w:t>
            </w:r>
          </w:p>
        </w:tc>
        <w:tc>
          <w:tcPr>
            <w:tcW w:w="1000" w:type="pct"/>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4CA27FBF">
            <w:pPr>
              <w:pStyle w:val="31"/>
              <w:rPr>
                <w:rFonts w:cs="Times New Roman"/>
                <w:kern w:val="0"/>
              </w:rPr>
            </w:pPr>
            <w:r>
              <w:rPr>
                <w:rFonts w:hint="eastAsia" w:cs="Times New Roman"/>
                <w:kern w:val="0"/>
              </w:rPr>
              <w:t>简单分析</w:t>
            </w:r>
            <w:r>
              <w:rPr>
                <w:rFonts w:cs="Times New Roman"/>
                <w:kern w:val="0"/>
              </w:rPr>
              <w:t>a</w:t>
            </w:r>
          </w:p>
        </w:tc>
      </w:tr>
      <w:tr w14:paraId="28658BD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5000" w:type="pct"/>
            <w:gridSpan w:val="5"/>
            <w:tcBorders>
              <w:top w:val="single" w:color="000000" w:sz="4" w:space="0"/>
              <w:left w:val="single" w:color="000000" w:sz="4" w:space="0"/>
              <w:bottom w:val="single" w:color="000000" w:sz="4" w:space="0"/>
              <w:right w:val="single" w:color="000000" w:sz="4" w:space="0"/>
            </w:tcBorders>
            <w:tcMar>
              <w:left w:w="28" w:type="dxa"/>
              <w:right w:w="28" w:type="dxa"/>
            </w:tcMar>
            <w:vAlign w:val="center"/>
          </w:tcPr>
          <w:p w14:paraId="082FAF52">
            <w:pPr>
              <w:pStyle w:val="31"/>
              <w:rPr>
                <w:rFonts w:cs="Times New Roman"/>
                <w:kern w:val="0"/>
              </w:rPr>
            </w:pPr>
            <w:r>
              <w:rPr>
                <w:rFonts w:cs="Times New Roman"/>
                <w:kern w:val="0"/>
              </w:rPr>
              <w:t>a</w:t>
            </w:r>
            <w:r>
              <w:rPr>
                <w:rFonts w:hint="eastAsia" w:cs="Times New Roman"/>
                <w:kern w:val="0"/>
              </w:rPr>
              <w:t>是相对于详细评价工作内容而言，在描述危险物质、环境影响途径、环境危害后果、风险防范措施等方面给出定性的说明。</w:t>
            </w:r>
          </w:p>
        </w:tc>
      </w:tr>
    </w:tbl>
    <w:p w14:paraId="1B6F319E">
      <w:pPr>
        <w:pStyle w:val="33"/>
      </w:pPr>
      <w:bookmarkStart w:id="162" w:name="_Toc16278"/>
      <w:bookmarkStart w:id="163" w:name="_Toc5722"/>
      <w:r>
        <w:rPr>
          <w:rFonts w:hint="eastAsia"/>
        </w:rPr>
        <w:t>5.8.2环境敏感目标概况</w:t>
      </w:r>
      <w:bookmarkEnd w:id="162"/>
      <w:bookmarkEnd w:id="163"/>
    </w:p>
    <w:p w14:paraId="4E61BD43">
      <w:pPr>
        <w:pStyle w:val="21"/>
        <w:ind w:firstLine="480"/>
      </w:pPr>
      <w:r>
        <w:rPr>
          <w:rFonts w:hint="eastAsia"/>
        </w:rPr>
        <w:t>本项目环境风险评价工作等级为简单分析，不设置环境风险评价范围，环境风险受体情况与大气环境、地表水环境、地下水环境保护目标一致，详见&amp;2.7环境保护目标。</w:t>
      </w:r>
    </w:p>
    <w:p w14:paraId="77F1D449">
      <w:pPr>
        <w:pStyle w:val="33"/>
      </w:pPr>
      <w:bookmarkStart w:id="164" w:name="_Toc12546"/>
      <w:bookmarkStart w:id="165" w:name="_Toc8248"/>
      <w:r>
        <w:rPr>
          <w:rFonts w:hint="eastAsia"/>
        </w:rPr>
        <w:t>5.8.3环境风险识别</w:t>
      </w:r>
      <w:bookmarkEnd w:id="164"/>
      <w:bookmarkEnd w:id="165"/>
    </w:p>
    <w:p w14:paraId="280D2869">
      <w:pPr>
        <w:pStyle w:val="21"/>
        <w:ind w:firstLine="480"/>
      </w:pPr>
      <w:r>
        <w:rPr>
          <w:rFonts w:hint="eastAsia"/>
        </w:rPr>
        <w:t>根据《建设项目环境风险评价技术导则》(HJ169-2018)附录 B，项目风险物质为拆船废油液、油泥、沥青漆、乙炔等。根据项目生产工艺及周边环境特征，项目运营期还存在以下环境风险：</w:t>
      </w:r>
    </w:p>
    <w:p w14:paraId="33474174">
      <w:pPr>
        <w:pStyle w:val="21"/>
        <w:ind w:firstLine="480"/>
      </w:pPr>
      <w:r>
        <w:rPr>
          <w:rFonts w:hint="eastAsia"/>
        </w:rPr>
        <w:t>①废水处理设施故障或抽排设施故障时，废水未经处理直接排入湘江，对湘江水质造成影响；</w:t>
      </w:r>
    </w:p>
    <w:p w14:paraId="4CFEDC74">
      <w:pPr>
        <w:pStyle w:val="21"/>
        <w:ind w:firstLine="480"/>
      </w:pPr>
      <w:r>
        <w:rPr>
          <w:rFonts w:hint="eastAsia"/>
        </w:rPr>
        <w:t>②含油废水外运处置过程泄漏，造成泄漏点周边土壤、地下水及地表水体造成污染影响；</w:t>
      </w:r>
    </w:p>
    <w:p w14:paraId="1D0F8401">
      <w:pPr>
        <w:pStyle w:val="21"/>
        <w:ind w:firstLine="480"/>
      </w:pPr>
      <w:r>
        <w:rPr>
          <w:rFonts w:hint="eastAsia"/>
        </w:rPr>
        <w:t>③船</w:t>
      </w:r>
      <w:r>
        <w:rPr>
          <w:rFonts w:hint="eastAsia"/>
          <w:lang w:val="en-US" w:eastAsia="zh-CN"/>
        </w:rPr>
        <w:t>台</w:t>
      </w:r>
      <w:r>
        <w:rPr>
          <w:rFonts w:hint="eastAsia"/>
        </w:rPr>
        <w:t>待修待拆船舶由于管理疏忽、违规操作或失误等原因引起船舶燃料油跑、冒、滴、漏事故，或船舶航行靠泊作业过程中发生碰撞或触礁，导致燃料油溢出进入海域。设施设备故障、胶管老化破裂等造成燃料油泄漏，进入海域。燃料油泄漏现场遇高温或明火，可能引发火灾事故；</w:t>
      </w:r>
    </w:p>
    <w:p w14:paraId="14AA84E2">
      <w:pPr>
        <w:pStyle w:val="21"/>
        <w:ind w:firstLine="480"/>
      </w:pPr>
      <w:r>
        <w:rPr>
          <w:rFonts w:hint="eastAsia"/>
        </w:rPr>
        <w:t>④生产过程切割、焊接过程乙炔使用操作不当、未及时转移待拆船舶的燃料油，导致待拆船舶发生火灾等生产事故，衍生火灾爆炸事故废气影响周边居民，洗消废水泄漏直接进入湘江等突发环境污染事故。</w:t>
      </w:r>
    </w:p>
    <w:p w14:paraId="7ED225F5">
      <w:pPr>
        <w:pStyle w:val="21"/>
        <w:ind w:firstLine="480"/>
      </w:pPr>
      <w:r>
        <w:rPr>
          <w:rFonts w:hint="eastAsia"/>
        </w:rPr>
        <w:t>⑤沥青漆仓库内沥青漆桶桶体破损或桶盖松动、倾覆等导致沥青漆泄漏，泄漏的沥青漆将流向地面，可能随雨水管线进入附近海域。泄漏的沥青漆挥发二甲苯等废气，污染环境空气。</w:t>
      </w:r>
    </w:p>
    <w:p w14:paraId="3247B7DD">
      <w:pPr>
        <w:pStyle w:val="21"/>
        <w:ind w:firstLine="480"/>
      </w:pPr>
      <w:r>
        <w:rPr>
          <w:rFonts w:hint="eastAsia"/>
        </w:rPr>
        <w:t>泄漏的沥青漆和挥发的气体遇到高温或明火，可能引发火灾事故，燃烧产生的废气污染环境空气。</w:t>
      </w:r>
    </w:p>
    <w:p w14:paraId="71FFB866">
      <w:pPr>
        <w:pStyle w:val="21"/>
        <w:ind w:firstLine="480"/>
      </w:pPr>
      <w:r>
        <w:rPr>
          <w:rFonts w:hint="eastAsia"/>
        </w:rPr>
        <w:t>⑥危废贮存间的废油转移过程泄漏，直接进入湘江。</w:t>
      </w:r>
    </w:p>
    <w:p w14:paraId="4F867D55">
      <w:pPr>
        <w:pStyle w:val="23"/>
      </w:pPr>
      <w:r>
        <w:rPr>
          <w:rFonts w:hint="eastAsia"/>
        </w:rPr>
        <w:t>表5.</w:t>
      </w:r>
      <w:r>
        <w:rPr>
          <w:rFonts w:hint="eastAsia"/>
          <w:lang w:val="en-US" w:eastAsia="zh-CN"/>
        </w:rPr>
        <w:t>3</w:t>
      </w:r>
      <w:r>
        <w:rPr>
          <w:rFonts w:hint="eastAsia"/>
        </w:rPr>
        <w:t>-</w:t>
      </w:r>
      <w:r>
        <w:rPr>
          <w:rFonts w:hint="eastAsia"/>
          <w:lang w:val="en-US" w:eastAsia="zh-CN"/>
        </w:rPr>
        <w:t>4</w:t>
      </w:r>
      <w:r>
        <w:rPr>
          <w:rFonts w:hint="eastAsia"/>
        </w:rPr>
        <w:t xml:space="preserve">  项目环境风险识别表</w:t>
      </w:r>
    </w:p>
    <w:tbl>
      <w:tblPr>
        <w:tblStyle w:val="15"/>
        <w:tblW w:w="5000" w:type="pct"/>
        <w:tblInd w:w="0" w:type="dxa"/>
        <w:tblLayout w:type="autofit"/>
        <w:tblCellMar>
          <w:top w:w="0" w:type="dxa"/>
          <w:left w:w="108" w:type="dxa"/>
          <w:bottom w:w="0" w:type="dxa"/>
          <w:right w:w="108" w:type="dxa"/>
        </w:tblCellMar>
      </w:tblPr>
      <w:tblGrid>
        <w:gridCol w:w="1389"/>
        <w:gridCol w:w="1389"/>
        <w:gridCol w:w="1574"/>
        <w:gridCol w:w="1390"/>
        <w:gridCol w:w="1390"/>
        <w:gridCol w:w="1390"/>
      </w:tblGrid>
      <w:tr w14:paraId="1EC1E6B9">
        <w:tblPrEx>
          <w:tblCellMar>
            <w:top w:w="0" w:type="dxa"/>
            <w:left w:w="108" w:type="dxa"/>
            <w:bottom w:w="0" w:type="dxa"/>
            <w:right w:w="108" w:type="dxa"/>
          </w:tblCellMar>
        </w:tblPrEx>
        <w:trPr>
          <w:trHeight w:val="755"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91F66">
            <w:pPr>
              <w:pStyle w:val="31"/>
            </w:pPr>
            <w:r>
              <w:t>危险单元</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67AF3">
            <w:pPr>
              <w:pStyle w:val="31"/>
            </w:pPr>
            <w:r>
              <w:t>危险源</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78F86">
            <w:pPr>
              <w:pStyle w:val="31"/>
            </w:pPr>
            <w:r>
              <w:t>主要危险物质</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9D9F4">
            <w:pPr>
              <w:pStyle w:val="31"/>
            </w:pPr>
            <w:r>
              <w:t>环境风险类型</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B2A0C">
            <w:pPr>
              <w:pStyle w:val="31"/>
            </w:pPr>
            <w:r>
              <w:t>环境影响途径</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90857">
            <w:pPr>
              <w:pStyle w:val="31"/>
            </w:pPr>
            <w:r>
              <w:t>可能受影响的环境敏感目标</w:t>
            </w:r>
          </w:p>
        </w:tc>
      </w:tr>
      <w:tr w14:paraId="62EDAB82">
        <w:tblPrEx>
          <w:tblCellMar>
            <w:top w:w="0" w:type="dxa"/>
            <w:left w:w="108" w:type="dxa"/>
            <w:bottom w:w="0" w:type="dxa"/>
            <w:right w:w="108" w:type="dxa"/>
          </w:tblCellMar>
        </w:tblPrEx>
        <w:trPr>
          <w:trHeight w:val="110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CF704">
            <w:pPr>
              <w:pStyle w:val="31"/>
            </w:pPr>
            <w:r>
              <w:t>危废贮存间、</w:t>
            </w:r>
            <w:r>
              <w:rPr>
                <w:rFonts w:hint="eastAsia"/>
              </w:rPr>
              <w:t>船台</w:t>
            </w:r>
            <w:r>
              <w:t>待拆船舶油舱</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D0395">
            <w:pPr>
              <w:pStyle w:val="31"/>
            </w:pPr>
            <w:r>
              <w:t>拆船废油液、油泥、机油</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4EA3">
            <w:pPr>
              <w:pStyle w:val="31"/>
              <w:rPr>
                <w:rFonts w:hint="default" w:eastAsia="宋体"/>
                <w:lang w:val="en-US" w:eastAsia="zh-CN"/>
              </w:rPr>
            </w:pPr>
            <w:r>
              <w:rPr>
                <w:rFonts w:hint="eastAsia"/>
                <w:lang w:val="en-US" w:eastAsia="zh-CN"/>
              </w:rPr>
              <w:t>废油、废油泥等危险废物</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87F14">
            <w:pPr>
              <w:pStyle w:val="31"/>
            </w:pPr>
            <w:r>
              <w:t>泄漏</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0277D">
            <w:pPr>
              <w:pStyle w:val="31"/>
            </w:pPr>
            <w:r>
              <w:t>地表水、地下水、土壤</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7BEC1">
            <w:pPr>
              <w:pStyle w:val="31"/>
            </w:pPr>
            <w:r>
              <w:rPr>
                <w:rFonts w:hint="eastAsia"/>
              </w:rPr>
              <w:t>湘江</w:t>
            </w:r>
            <w:r>
              <w:t>、区域浅层地下水、周边土壤</w:t>
            </w:r>
          </w:p>
        </w:tc>
      </w:tr>
      <w:tr w14:paraId="789D8137">
        <w:tblPrEx>
          <w:tblCellMar>
            <w:top w:w="0" w:type="dxa"/>
            <w:left w:w="108" w:type="dxa"/>
            <w:bottom w:w="0" w:type="dxa"/>
            <w:right w:w="108" w:type="dxa"/>
          </w:tblCellMar>
        </w:tblPrEx>
        <w:trPr>
          <w:trHeight w:val="38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9794F">
            <w:pPr>
              <w:pStyle w:val="31"/>
            </w:pPr>
            <w:r>
              <w:t>废水处理设施</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FB8CB">
            <w:pPr>
              <w:pStyle w:val="31"/>
            </w:pPr>
            <w:r>
              <w:t>生产废水</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12F92">
            <w:pPr>
              <w:pStyle w:val="31"/>
            </w:pPr>
            <w:r>
              <w:t>油类物质</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AB634">
            <w:pPr>
              <w:pStyle w:val="31"/>
            </w:pPr>
            <w:r>
              <w:t>废水事故排放</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CAB48">
            <w:pPr>
              <w:pStyle w:val="31"/>
            </w:pPr>
            <w:r>
              <w:t>地表水</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3B117">
            <w:pPr>
              <w:pStyle w:val="31"/>
            </w:pPr>
            <w:r>
              <w:rPr>
                <w:rFonts w:hint="eastAsia"/>
              </w:rPr>
              <w:t>湘江</w:t>
            </w:r>
          </w:p>
        </w:tc>
      </w:tr>
      <w:tr w14:paraId="39588AEE">
        <w:tblPrEx>
          <w:tblCellMar>
            <w:top w:w="0" w:type="dxa"/>
            <w:left w:w="108" w:type="dxa"/>
            <w:bottom w:w="0" w:type="dxa"/>
            <w:right w:w="108" w:type="dxa"/>
          </w:tblCellMar>
        </w:tblPrEx>
        <w:trPr>
          <w:trHeight w:val="75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30E38">
            <w:pPr>
              <w:pStyle w:val="31"/>
            </w:pPr>
            <w:r>
              <w:rPr>
                <w:rFonts w:hint="eastAsia"/>
                <w:lang w:val="en-US" w:eastAsia="zh-CN"/>
              </w:rPr>
              <w:t>化学品</w:t>
            </w:r>
            <w:r>
              <w:t>仓库</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56245">
            <w:pPr>
              <w:pStyle w:val="31"/>
              <w:rPr>
                <w:rFonts w:hint="default" w:eastAsia="宋体"/>
                <w:lang w:val="en-US" w:eastAsia="zh-CN"/>
              </w:rPr>
            </w:pPr>
            <w:r>
              <w:rPr>
                <w:rFonts w:hint="eastAsia"/>
              </w:rPr>
              <w:t>沥青漆</w:t>
            </w:r>
            <w:r>
              <w:rPr>
                <w:rFonts w:hint="eastAsia"/>
                <w:lang w:eastAsia="zh-CN"/>
              </w:rPr>
              <w:t>、</w:t>
            </w:r>
            <w:r>
              <w:rPr>
                <w:rFonts w:hint="eastAsia"/>
                <w:lang w:val="en-US" w:eastAsia="zh-CN"/>
              </w:rPr>
              <w:t>调和漆</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7C86F">
            <w:pPr>
              <w:pStyle w:val="31"/>
            </w:pPr>
            <w:r>
              <w:t>二甲苯、甲苯、非甲烷总烃</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11C3A">
            <w:pPr>
              <w:pStyle w:val="31"/>
            </w:pPr>
            <w:r>
              <w:t>泄漏、火灾</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47EA4">
            <w:pPr>
              <w:pStyle w:val="31"/>
            </w:pPr>
            <w:r>
              <w:t>地表水、土壤</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B1B71">
            <w:pPr>
              <w:pStyle w:val="31"/>
            </w:pPr>
            <w:r>
              <w:rPr>
                <w:rFonts w:hint="eastAsia"/>
              </w:rPr>
              <w:t>湘江</w:t>
            </w:r>
            <w:r>
              <w:t>、周边土壤</w:t>
            </w:r>
          </w:p>
        </w:tc>
      </w:tr>
      <w:tr w14:paraId="217C236A">
        <w:tblPrEx>
          <w:tblCellMar>
            <w:top w:w="0" w:type="dxa"/>
            <w:left w:w="108" w:type="dxa"/>
            <w:bottom w:w="0" w:type="dxa"/>
            <w:right w:w="108" w:type="dxa"/>
          </w:tblCellMar>
        </w:tblPrEx>
        <w:trPr>
          <w:trHeight w:val="755"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8DE0">
            <w:pPr>
              <w:pStyle w:val="31"/>
            </w:pPr>
            <w:r>
              <w:t xml:space="preserve"> 乙炔仓库</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D93CF">
            <w:pPr>
              <w:pStyle w:val="31"/>
            </w:pPr>
            <w:r>
              <w:t>乙炔气瓶</w:t>
            </w:r>
          </w:p>
        </w:tc>
        <w:tc>
          <w:tcPr>
            <w:tcW w:w="9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C1FF9">
            <w:pPr>
              <w:pStyle w:val="31"/>
            </w:pPr>
            <w:r>
              <w:t>乙炔</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38100">
            <w:pPr>
              <w:pStyle w:val="31"/>
            </w:pPr>
            <w:r>
              <w:t>火灾、爆炸</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8CC45">
            <w:pPr>
              <w:pStyle w:val="31"/>
            </w:pPr>
            <w:r>
              <w:t>地表水、大气</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142CB">
            <w:pPr>
              <w:pStyle w:val="31"/>
            </w:pPr>
            <w:r>
              <w:rPr>
                <w:rFonts w:hint="eastAsia"/>
              </w:rPr>
              <w:t>湘江</w:t>
            </w:r>
            <w:r>
              <w:t>、周边居民</w:t>
            </w:r>
          </w:p>
        </w:tc>
      </w:tr>
    </w:tbl>
    <w:p w14:paraId="3A0F671A">
      <w:pPr>
        <w:pStyle w:val="33"/>
      </w:pPr>
      <w:bookmarkStart w:id="166" w:name="_Toc25872"/>
      <w:bookmarkStart w:id="167" w:name="_Toc8352"/>
      <w:r>
        <w:rPr>
          <w:rFonts w:hint="eastAsia"/>
        </w:rPr>
        <w:t>5.8.4环境风险分析</w:t>
      </w:r>
      <w:bookmarkEnd w:id="166"/>
      <w:bookmarkEnd w:id="167"/>
    </w:p>
    <w:p w14:paraId="489E2852">
      <w:pPr>
        <w:pStyle w:val="21"/>
        <w:ind w:firstLine="480"/>
      </w:pPr>
      <w:r>
        <w:rPr>
          <w:rFonts w:hint="eastAsia"/>
        </w:rPr>
        <w:t>（1）废油液、油泥</w:t>
      </w:r>
    </w:p>
    <w:p w14:paraId="5B57D045">
      <w:pPr>
        <w:pStyle w:val="21"/>
        <w:ind w:firstLine="480"/>
      </w:pPr>
      <w:r>
        <w:rPr>
          <w:rFonts w:hint="eastAsia"/>
        </w:rPr>
        <w:t>本项目废油液、油泥主要来源于拆船工序，贮存于危废贮存间内，废油液为油类液体，可通过吸入或接触影响人体健康，通过泄漏漫流、下渗污染水环境。危废贮存间设有导流沟，发生泄漏时，液体可迅速流入导流沟进行收集，不会对土壤、地下水造成影响。若为挥发性液体，人体急性吸入可出现乏力、头晕、头痛、恶心，严重者可引起油脂性肺炎，暴露部位可发生油性痤疮各接触性皮炎，可引起神经衰弱综合症等。因贮存场所通风条件良好，且泄漏量不大，因此对厂区和周围大气环境影响不大。</w:t>
      </w:r>
    </w:p>
    <w:p w14:paraId="237FF073">
      <w:pPr>
        <w:pStyle w:val="21"/>
        <w:ind w:firstLine="480"/>
      </w:pPr>
      <w:r>
        <w:rPr>
          <w:rFonts w:hint="eastAsia"/>
        </w:rPr>
        <w:t>若危险废物发生泄漏漫流进入周边湘江，将会造成湘江中石油类等污染因子超标，污染近岸地表水水环境污染；下渗将会造成区域土壤、地下水环境污染。</w:t>
      </w:r>
    </w:p>
    <w:p w14:paraId="7E383F52">
      <w:pPr>
        <w:pStyle w:val="21"/>
        <w:ind w:firstLine="480"/>
      </w:pPr>
      <w:r>
        <w:rPr>
          <w:rFonts w:hint="eastAsia"/>
        </w:rPr>
        <w:t>（2）废水事故排放</w:t>
      </w:r>
    </w:p>
    <w:p w14:paraId="77DF7664">
      <w:pPr>
        <w:pStyle w:val="21"/>
        <w:ind w:firstLine="480"/>
      </w:pPr>
      <w:r>
        <w:rPr>
          <w:rFonts w:hint="eastAsia"/>
        </w:rPr>
        <w:t>项目正常运行时，地面清洗水和初期雨水处理达标后回用不外排，生活污水经“化粪池”处理后用于周边农田施肥，事故排放风险较小，对周边水环境影响风险不大。</w:t>
      </w:r>
    </w:p>
    <w:p w14:paraId="52CDDF7A">
      <w:pPr>
        <w:pStyle w:val="21"/>
        <w:ind w:firstLine="480"/>
      </w:pPr>
      <w:r>
        <w:rPr>
          <w:rFonts w:hint="eastAsia"/>
        </w:rPr>
        <w:t>（3）溢油事故对湘江生态环境的影响分析</w:t>
      </w:r>
    </w:p>
    <w:p w14:paraId="0CF7D788">
      <w:pPr>
        <w:pStyle w:val="21"/>
        <w:ind w:firstLine="480"/>
      </w:pPr>
      <w:r>
        <w:rPr>
          <w:rFonts w:hint="eastAsia"/>
        </w:rPr>
        <w:t>待修或待拆船舶进船台时，若发生碰撞，可能发生燃油泄漏事故，泄漏的燃油一般会被截流在船舱内，可能泄漏流出舱外</w:t>
      </w:r>
      <w:r>
        <w:rPr>
          <w:rFonts w:hint="eastAsia"/>
          <w:lang w:eastAsia="zh-CN"/>
        </w:rPr>
        <w:t>，</w:t>
      </w:r>
      <w:r>
        <w:rPr>
          <w:rFonts w:hint="eastAsia"/>
          <w:lang w:val="en-US" w:eastAsia="zh-CN"/>
        </w:rPr>
        <w:t>并进入湘江</w:t>
      </w:r>
      <w:r>
        <w:rPr>
          <w:rFonts w:hint="eastAsia"/>
        </w:rPr>
        <w:t>。</w:t>
      </w:r>
    </w:p>
    <w:p w14:paraId="5E2A1684">
      <w:pPr>
        <w:pStyle w:val="21"/>
        <w:ind w:firstLine="480"/>
      </w:pPr>
      <w:r>
        <w:rPr>
          <w:rFonts w:hint="eastAsia"/>
        </w:rPr>
        <w:t>厂区总计设置5个千吨级船台，最多可停靠5台1000吨以下船舶，一般千吨级船舶油箱容积约为500L，按照单个油舱发生泄漏事故进行分析，燃料油泄漏量约为0.5m³。</w:t>
      </w:r>
    </w:p>
    <w:p w14:paraId="2AC1F8C8">
      <w:pPr>
        <w:pStyle w:val="21"/>
        <w:ind w:firstLine="480"/>
      </w:pPr>
      <w:r>
        <w:rPr>
          <w:rFonts w:hint="eastAsia"/>
        </w:rPr>
        <w:t>泄漏速率通过下列公式进行计算：</w:t>
      </w:r>
    </w:p>
    <w:p w14:paraId="4FA3BD2B">
      <w:pPr>
        <w:pStyle w:val="31"/>
      </w:pPr>
      <w:r>
        <w:rPr>
          <w14:ligatures w14:val="standardContextual"/>
        </w:rPr>
        <w:drawing>
          <wp:inline distT="0" distB="0" distL="0" distR="0">
            <wp:extent cx="2277110" cy="593090"/>
            <wp:effectExtent l="0" t="0" r="8890" b="16510"/>
            <wp:docPr id="656788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788679" name="图片 1"/>
                    <pic:cNvPicPr>
                      <a:picLocks noChangeAspect="1"/>
                    </pic:cNvPicPr>
                  </pic:nvPicPr>
                  <pic:blipFill>
                    <a:blip r:embed="rId32"/>
                    <a:stretch>
                      <a:fillRect/>
                    </a:stretch>
                  </pic:blipFill>
                  <pic:spPr>
                    <a:xfrm>
                      <a:off x="0" y="0"/>
                      <a:ext cx="2298154" cy="598986"/>
                    </a:xfrm>
                    <a:prstGeom prst="rect">
                      <a:avLst/>
                    </a:prstGeom>
                  </pic:spPr>
                </pic:pic>
              </a:graphicData>
            </a:graphic>
          </wp:inline>
        </w:drawing>
      </w:r>
    </w:p>
    <w:p w14:paraId="18660601">
      <w:pPr>
        <w:pStyle w:val="21"/>
        <w:ind w:firstLine="480"/>
      </w:pPr>
      <w:r>
        <w:rPr>
          <w:rFonts w:hint="eastAsia"/>
        </w:rPr>
        <w:t>式中：</w:t>
      </w:r>
      <w:r>
        <w:t>Q</w:t>
      </w:r>
      <w:r>
        <w:rPr>
          <w:vertAlign w:val="subscript"/>
        </w:rPr>
        <w:t>L</w:t>
      </w:r>
      <w:r>
        <w:t>—</w:t>
      </w:r>
      <w:r>
        <w:rPr>
          <w:rFonts w:hint="eastAsia"/>
        </w:rPr>
        <w:t>液体泄漏速度，</w:t>
      </w:r>
      <w:r>
        <w:t>kg/s</w:t>
      </w:r>
      <w:r>
        <w:rPr>
          <w:rFonts w:hint="eastAsia"/>
        </w:rPr>
        <w:t xml:space="preserve">； </w:t>
      </w:r>
    </w:p>
    <w:p w14:paraId="1D010AFD">
      <w:pPr>
        <w:pStyle w:val="21"/>
        <w:ind w:firstLine="480"/>
      </w:pPr>
      <w:r>
        <w:t>C</w:t>
      </w:r>
      <w:r>
        <w:rPr>
          <w:vertAlign w:val="subscript"/>
        </w:rPr>
        <w:t>d</w:t>
      </w:r>
      <w:r>
        <w:t>—</w:t>
      </w:r>
      <w:r>
        <w:rPr>
          <w:rFonts w:hint="eastAsia"/>
        </w:rPr>
        <w:t xml:space="preserve">液体泄漏系数，取 </w:t>
      </w:r>
      <w:r>
        <w:t>0.65</w:t>
      </w:r>
      <w:r>
        <w:rPr>
          <w:rFonts w:hint="eastAsia"/>
        </w:rPr>
        <w:t xml:space="preserve">； </w:t>
      </w:r>
    </w:p>
    <w:p w14:paraId="4C0F4F58">
      <w:pPr>
        <w:pStyle w:val="21"/>
        <w:ind w:firstLine="480"/>
      </w:pPr>
      <w:r>
        <w:t>A—</w:t>
      </w:r>
      <w:r>
        <w:rPr>
          <w:rFonts w:hint="eastAsia"/>
        </w:rPr>
        <w:t xml:space="preserve">裂口面积，取 </w:t>
      </w:r>
      <w:r>
        <w:t>0.002m²</w:t>
      </w:r>
      <w:r>
        <w:rPr>
          <w:rFonts w:hint="eastAsia"/>
        </w:rPr>
        <w:t xml:space="preserve">； </w:t>
      </w:r>
    </w:p>
    <w:p w14:paraId="0263CF18">
      <w:pPr>
        <w:pStyle w:val="21"/>
        <w:ind w:firstLine="480"/>
      </w:pPr>
      <w:r>
        <w:t>Ρ—</w:t>
      </w:r>
      <w:r>
        <w:rPr>
          <w:rFonts w:hint="eastAsia"/>
        </w:rPr>
        <w:t>泄漏液体密度，</w:t>
      </w:r>
      <w:r>
        <w:t>990kg/m³</w:t>
      </w:r>
      <w:r>
        <w:rPr>
          <w:rFonts w:hint="eastAsia"/>
        </w:rPr>
        <w:t xml:space="preserve">； </w:t>
      </w:r>
    </w:p>
    <w:p w14:paraId="4A0C8351">
      <w:pPr>
        <w:pStyle w:val="21"/>
        <w:ind w:firstLine="480"/>
      </w:pPr>
      <w:r>
        <w:t>P—</w:t>
      </w:r>
      <w:r>
        <w:rPr>
          <w:rFonts w:hint="eastAsia"/>
        </w:rPr>
        <w:t>容器内介质压力，取常压，</w:t>
      </w:r>
      <w:r>
        <w:t>Pa</w:t>
      </w:r>
      <w:r>
        <w:rPr>
          <w:rFonts w:hint="eastAsia"/>
        </w:rPr>
        <w:t xml:space="preserve">； </w:t>
      </w:r>
    </w:p>
    <w:p w14:paraId="56EB479E">
      <w:pPr>
        <w:pStyle w:val="21"/>
        <w:ind w:firstLine="480"/>
      </w:pPr>
      <w:r>
        <w:t>P</w:t>
      </w:r>
      <w:r>
        <w:rPr>
          <w:vertAlign w:val="subscript"/>
        </w:rPr>
        <w:t>0</w:t>
      </w:r>
      <w:r>
        <w:t>—</w:t>
      </w:r>
      <w:r>
        <w:rPr>
          <w:rFonts w:hint="eastAsia"/>
        </w:rPr>
        <w:t>环境压力，</w:t>
      </w:r>
      <w:r>
        <w:t>Pa</w:t>
      </w:r>
      <w:r>
        <w:rPr>
          <w:rFonts w:hint="eastAsia"/>
        </w:rPr>
        <w:t>；</w:t>
      </w:r>
    </w:p>
    <w:p w14:paraId="057522C0">
      <w:pPr>
        <w:pStyle w:val="21"/>
        <w:ind w:firstLine="480"/>
      </w:pPr>
      <w:r>
        <w:rPr>
          <w:rFonts w:hint="eastAsia"/>
        </w:rPr>
        <w:t>g—重力加速度，9.8m/s</w:t>
      </w:r>
      <w:r>
        <w:rPr>
          <w:rFonts w:hint="eastAsia"/>
          <w:vertAlign w:val="superscript"/>
        </w:rPr>
        <w:t>2</w:t>
      </w:r>
      <w:r>
        <w:rPr>
          <w:rFonts w:hint="eastAsia"/>
        </w:rPr>
        <w:t>；</w:t>
      </w:r>
    </w:p>
    <w:p w14:paraId="79C2DA0A">
      <w:pPr>
        <w:pStyle w:val="21"/>
        <w:ind w:firstLine="480"/>
      </w:pPr>
      <w:r>
        <w:rPr>
          <w:rFonts w:hint="eastAsia"/>
        </w:rPr>
        <w:t>h—裂口之上液位高度，10m。</w:t>
      </w:r>
    </w:p>
    <w:p w14:paraId="616328A9">
      <w:pPr>
        <w:pStyle w:val="21"/>
        <w:ind w:firstLine="480"/>
      </w:pPr>
      <w:r>
        <w:rPr>
          <w:rFonts w:hint="eastAsia"/>
        </w:rPr>
        <w:t>计算得燃料油泄漏速率为18.02kg/s，泄漏持续时间约0.46min。</w:t>
      </w:r>
    </w:p>
    <w:p w14:paraId="431C3782">
      <w:pPr>
        <w:pStyle w:val="21"/>
        <w:ind w:firstLine="480"/>
      </w:pPr>
      <w:r>
        <w:rPr>
          <w:rFonts w:hint="eastAsia"/>
        </w:rPr>
        <w:t>采用 P.C.Blokker</w:t>
      </w:r>
    </w:p>
    <w:p w14:paraId="6D363D0A">
      <w:pPr>
        <w:pStyle w:val="21"/>
        <w:ind w:firstLine="480"/>
      </w:pPr>
      <w:r>
        <w:rPr>
          <w:rFonts w:hint="eastAsia"/>
        </w:rPr>
        <w:t>公式对突发事故溢油的油膜扩散情况进行预测，假设油膜在无风条件下呈圆形扩展，公式如下：</w:t>
      </w:r>
    </w:p>
    <w:p w14:paraId="189236E0">
      <w:pPr>
        <w:pStyle w:val="31"/>
      </w:pPr>
      <w:r>
        <w:drawing>
          <wp:inline distT="0" distB="0" distL="0" distR="0">
            <wp:extent cx="2371725" cy="525780"/>
            <wp:effectExtent l="0" t="0" r="9525" b="7620"/>
            <wp:docPr id="7091734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173456" name="图片 1"/>
                    <pic:cNvPicPr>
                      <a:picLocks noChangeAspect="1"/>
                    </pic:cNvPicPr>
                  </pic:nvPicPr>
                  <pic:blipFill>
                    <a:blip r:embed="rId33"/>
                    <a:stretch>
                      <a:fillRect/>
                    </a:stretch>
                  </pic:blipFill>
                  <pic:spPr>
                    <a:xfrm>
                      <a:off x="0" y="0"/>
                      <a:ext cx="2392820" cy="530604"/>
                    </a:xfrm>
                    <a:prstGeom prst="rect">
                      <a:avLst/>
                    </a:prstGeom>
                  </pic:spPr>
                </pic:pic>
              </a:graphicData>
            </a:graphic>
          </wp:inline>
        </w:drawing>
      </w:r>
    </w:p>
    <w:p w14:paraId="5EA5F902">
      <w:pPr>
        <w:pStyle w:val="21"/>
        <w:ind w:firstLine="480"/>
      </w:pPr>
      <w:r>
        <w:rPr>
          <w:rFonts w:hint="eastAsia"/>
        </w:rPr>
        <w:t>式中：</w:t>
      </w:r>
      <w:r>
        <w:t>t—</w:t>
      </w:r>
      <w:r>
        <w:rPr>
          <w:rFonts w:hint="eastAsia"/>
        </w:rPr>
        <w:t>时间，</w:t>
      </w:r>
      <w:r>
        <w:t>min:</w:t>
      </w:r>
    </w:p>
    <w:p w14:paraId="204EA8AE">
      <w:pPr>
        <w:pStyle w:val="21"/>
        <w:ind w:firstLine="480"/>
      </w:pPr>
      <w:r>
        <w:t>Dt</w:t>
      </w:r>
      <w:r>
        <w:rPr>
          <w:rFonts w:hint="eastAsia"/>
        </w:rPr>
        <w:t>、</w:t>
      </w:r>
      <w:r>
        <w:t>D0—</w:t>
      </w:r>
      <w:r>
        <w:rPr>
          <w:rFonts w:hint="eastAsia"/>
        </w:rPr>
        <w:t>分别为油膜</w:t>
      </w:r>
      <w:r>
        <w:t>t</w:t>
      </w:r>
      <w:r>
        <w:rPr>
          <w:rFonts w:hint="eastAsia"/>
        </w:rPr>
        <w:t>时刻扩散的直径和初始直径，</w:t>
      </w:r>
      <w:r>
        <w:t>m</w:t>
      </w:r>
      <w:r>
        <w:rPr>
          <w:rFonts w:hint="eastAsia"/>
        </w:rPr>
        <w:t>；</w:t>
      </w:r>
    </w:p>
    <w:p w14:paraId="04A9E4B8">
      <w:pPr>
        <w:pStyle w:val="21"/>
        <w:ind w:firstLine="480"/>
      </w:pPr>
      <w:r>
        <w:t>K—</w:t>
      </w:r>
      <w:r>
        <w:rPr>
          <w:rFonts w:hint="eastAsia"/>
        </w:rPr>
        <w:t>常数，取</w:t>
      </w:r>
      <w:r>
        <w:t>K=15000/min</w:t>
      </w:r>
      <w:r>
        <w:rPr>
          <w:rFonts w:hint="eastAsia"/>
        </w:rPr>
        <w:t>；</w:t>
      </w:r>
    </w:p>
    <w:p w14:paraId="04B82197">
      <w:pPr>
        <w:pStyle w:val="21"/>
        <w:ind w:firstLine="480"/>
      </w:pPr>
      <w:r>
        <w:t>dW—</w:t>
      </w:r>
      <w:r>
        <w:rPr>
          <w:rFonts w:hint="eastAsia"/>
        </w:rPr>
        <w:t>海水比重，取</w:t>
      </w:r>
      <w:r>
        <w:t>1.028</w:t>
      </w:r>
      <w:r>
        <w:rPr>
          <w:rFonts w:hint="eastAsia"/>
        </w:rPr>
        <w:t>；</w:t>
      </w:r>
    </w:p>
    <w:p w14:paraId="26ED60EB">
      <w:pPr>
        <w:pStyle w:val="21"/>
        <w:ind w:firstLine="480"/>
      </w:pPr>
      <w:r>
        <w:t>d0—</w:t>
      </w:r>
      <w:r>
        <w:rPr>
          <w:rFonts w:hint="eastAsia"/>
        </w:rPr>
        <w:t>船用燃料油比重，取</w:t>
      </w:r>
      <w:r>
        <w:t>0.990</w:t>
      </w:r>
      <w:r>
        <w:rPr>
          <w:rFonts w:hint="eastAsia"/>
        </w:rPr>
        <w:t>；</w:t>
      </w:r>
    </w:p>
    <w:p w14:paraId="7BABE0A6">
      <w:pPr>
        <w:pStyle w:val="21"/>
        <w:ind w:firstLine="480"/>
      </w:pPr>
      <w:r>
        <w:t>V0—</w:t>
      </w:r>
      <w:r>
        <w:rPr>
          <w:rFonts w:hint="eastAsia"/>
        </w:rPr>
        <w:t>泄漏量计算值，</w:t>
      </w:r>
      <w:r>
        <w:t>m³</w:t>
      </w:r>
      <w:r>
        <w:rPr>
          <w:rFonts w:hint="eastAsia"/>
        </w:rPr>
        <w:t>。</w:t>
      </w:r>
    </w:p>
    <w:p w14:paraId="2386B12D">
      <w:pPr>
        <w:pStyle w:val="21"/>
        <w:ind w:firstLine="480"/>
      </w:pPr>
      <w:r>
        <w:rPr>
          <w:rFonts w:hint="eastAsia"/>
        </w:rPr>
        <w:t>假定初始油膜直径为</w:t>
      </w:r>
      <w:r>
        <w:t>0.1m</w:t>
      </w:r>
      <w:r>
        <w:rPr>
          <w:rFonts w:hint="eastAsia"/>
        </w:rPr>
        <w:t>，根据计算影响距离达到3215m，对湘江会造成一定的污染。</w:t>
      </w:r>
    </w:p>
    <w:p w14:paraId="239CB78B">
      <w:pPr>
        <w:pStyle w:val="33"/>
      </w:pPr>
      <w:bookmarkStart w:id="168" w:name="_Toc26098"/>
      <w:bookmarkStart w:id="169" w:name="_Toc21003"/>
      <w:r>
        <w:rPr>
          <w:rFonts w:hint="eastAsia"/>
        </w:rPr>
        <w:t>5.8.5环境风险防范措施及应急要求</w:t>
      </w:r>
      <w:bookmarkEnd w:id="168"/>
      <w:bookmarkEnd w:id="169"/>
    </w:p>
    <w:p w14:paraId="2FE08298">
      <w:pPr>
        <w:pStyle w:val="36"/>
      </w:pPr>
      <w:r>
        <w:rPr>
          <w:rFonts w:hint="eastAsia"/>
        </w:rPr>
        <w:t>5.8.5.1风险防范措施</w:t>
      </w:r>
    </w:p>
    <w:p w14:paraId="7A804FAB">
      <w:pPr>
        <w:pStyle w:val="21"/>
        <w:ind w:firstLine="480"/>
      </w:pPr>
      <w:r>
        <w:rPr>
          <w:rFonts w:hint="eastAsia"/>
        </w:rPr>
        <w:t>（1）危废贮存间泄漏风险防范措施</w:t>
      </w:r>
    </w:p>
    <w:p w14:paraId="0A3DD395">
      <w:pPr>
        <w:pStyle w:val="21"/>
        <w:ind w:firstLine="480"/>
      </w:pPr>
      <w:r>
        <w:rPr>
          <w:rFonts w:hint="eastAsia"/>
        </w:rPr>
        <w:t>①严格按照《危险废物贮存污染控制标准》（GB18597-2023）相关要求规范建设危废贮存间；</w:t>
      </w:r>
    </w:p>
    <w:p w14:paraId="4408BB33">
      <w:pPr>
        <w:pStyle w:val="21"/>
        <w:ind w:firstLine="480"/>
      </w:pPr>
      <w:r>
        <w:rPr>
          <w:rFonts w:hint="eastAsia"/>
        </w:rPr>
        <w:t>②严格按照《危险废物收集贮存运输技术规范》(HJ2025-2012)对危险废物进行收集、贮存；</w:t>
      </w:r>
    </w:p>
    <w:p w14:paraId="1E026AE6">
      <w:pPr>
        <w:pStyle w:val="21"/>
        <w:ind w:firstLine="480"/>
      </w:pPr>
      <w:r>
        <w:rPr>
          <w:rFonts w:hint="eastAsia"/>
        </w:rPr>
        <w:t>③与有资质单位签订危废处置协议，及时委托外运处置；</w:t>
      </w:r>
    </w:p>
    <w:p w14:paraId="6A40F77F">
      <w:pPr>
        <w:pStyle w:val="21"/>
        <w:ind w:firstLine="480"/>
      </w:pPr>
      <w:r>
        <w:rPr>
          <w:rFonts w:hint="eastAsia"/>
        </w:rPr>
        <w:t>④制定危险废物管理制度，每日对危废贮存间运行情况进行检测并登记，一旦发生泄漏，应立即将废液收集装置中的油类风险物质抽吸至容器内。</w:t>
      </w:r>
    </w:p>
    <w:p w14:paraId="62D2CC56">
      <w:pPr>
        <w:pStyle w:val="21"/>
        <w:ind w:firstLine="480"/>
      </w:pPr>
      <w:r>
        <w:rPr>
          <w:rFonts w:hint="eastAsia"/>
        </w:rPr>
        <w:t>⑤设置围堰、灭火器、消防栓和消防沙等堵截、防火措施，严防液体危险废物泄漏出危废贮存间；</w:t>
      </w:r>
    </w:p>
    <w:p w14:paraId="4ED7BFE3">
      <w:pPr>
        <w:pStyle w:val="21"/>
        <w:ind w:firstLine="480"/>
      </w:pPr>
      <w:r>
        <w:rPr>
          <w:rFonts w:hint="eastAsia"/>
        </w:rPr>
        <w:t>⑥在废油、油泥的转移、运输过程中，应重点通过一些管理措施来预防转移和运输过程中发生的泄漏风险，如运输单位或个人应按规定申办准运手续，驾驶员、押运员应经专门培训，使用达到规定的技术标准运输车辆，严禁超载和不按规定时段、路线运行，禁止违章驾驶等；</w:t>
      </w:r>
    </w:p>
    <w:p w14:paraId="200DE3ED">
      <w:pPr>
        <w:pStyle w:val="21"/>
        <w:ind w:firstLine="480"/>
      </w:pPr>
      <w:r>
        <w:rPr>
          <w:rFonts w:hint="eastAsia"/>
        </w:rPr>
        <w:t>⑦危废贮存间内应设置泄漏收集池，容积不小于单个废油液桶的容积(按常规油桶容积 200L)，即不小于 0.2m³。</w:t>
      </w:r>
    </w:p>
    <w:p w14:paraId="4FEDB145">
      <w:pPr>
        <w:pStyle w:val="21"/>
        <w:ind w:firstLine="480"/>
      </w:pPr>
      <w:r>
        <w:rPr>
          <w:rFonts w:hint="eastAsia"/>
        </w:rPr>
        <w:t>（2）废水事故排放风险防范措施</w:t>
      </w:r>
    </w:p>
    <w:p w14:paraId="5418C3D8">
      <w:pPr>
        <w:pStyle w:val="21"/>
        <w:ind w:firstLine="480"/>
      </w:pPr>
      <w:r>
        <w:rPr>
          <w:rFonts w:hint="eastAsia"/>
        </w:rPr>
        <w:t>加强油水分离器、隔油沉淀池、新建污水处理设施的日常保养和维护，设置事故应急池，当废水处理设施发生故障或抽排设施故障时将泄漏废水抽至事故应急池暂存，待废水处理设施恢复正常使用时，将事故废水回抽处理，杜绝事故废水直接排放。</w:t>
      </w:r>
    </w:p>
    <w:p w14:paraId="3F5CF826">
      <w:pPr>
        <w:pStyle w:val="21"/>
        <w:ind w:firstLine="480"/>
      </w:pPr>
      <w:r>
        <w:rPr>
          <w:rFonts w:hint="eastAsia"/>
        </w:rPr>
        <w:t>事故应急池有效容积参照《事故状态下水体污染的预防与控制技术要求》(Q/SY1190-2019)附录 B 中的公式计算，公式如下：</w:t>
      </w:r>
    </w:p>
    <w:p w14:paraId="2DAFCEE6">
      <w:pPr>
        <w:pStyle w:val="31"/>
      </w:pPr>
      <w:r>
        <w:rPr>
          <w14:ligatures w14:val="standardContextual"/>
        </w:rPr>
        <w:drawing>
          <wp:inline distT="0" distB="0" distL="0" distR="0">
            <wp:extent cx="2484120" cy="1297305"/>
            <wp:effectExtent l="0" t="0" r="11430" b="17145"/>
            <wp:docPr id="1335434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434494" name="图片 1"/>
                    <pic:cNvPicPr>
                      <a:picLocks noChangeAspect="1"/>
                    </pic:cNvPicPr>
                  </pic:nvPicPr>
                  <pic:blipFill>
                    <a:blip r:embed="rId34"/>
                    <a:stretch>
                      <a:fillRect/>
                    </a:stretch>
                  </pic:blipFill>
                  <pic:spPr>
                    <a:xfrm>
                      <a:off x="0" y="0"/>
                      <a:ext cx="2493369" cy="1302520"/>
                    </a:xfrm>
                    <a:prstGeom prst="rect">
                      <a:avLst/>
                    </a:prstGeom>
                  </pic:spPr>
                </pic:pic>
              </a:graphicData>
            </a:graphic>
          </wp:inline>
        </w:drawing>
      </w:r>
    </w:p>
    <w:p w14:paraId="00356A85">
      <w:pPr>
        <w:pStyle w:val="21"/>
        <w:ind w:firstLine="480"/>
      </w:pPr>
      <w:r>
        <w:rPr>
          <w:rFonts w:hint="eastAsia"/>
        </w:rPr>
        <w:t>注：（</w:t>
      </w:r>
      <w:r>
        <w:t>V1+V2-V3</w:t>
      </w:r>
      <w:r>
        <w:rPr>
          <w:rFonts w:hint="eastAsia"/>
        </w:rPr>
        <w:t>）</w:t>
      </w:r>
      <w:r>
        <w:t xml:space="preserve">max </w:t>
      </w:r>
      <w:r>
        <w:rPr>
          <w:rFonts w:hint="eastAsia"/>
        </w:rPr>
        <w:t xml:space="preserve">是指对收集系统范围内不同罐组或装置分别计算 </w:t>
      </w:r>
      <w:r>
        <w:t>V1+V2-V3</w:t>
      </w:r>
      <w:r>
        <w:rPr>
          <w:rFonts w:hint="eastAsia"/>
        </w:rPr>
        <w:t xml:space="preserve">，取其中最大值； </w:t>
      </w:r>
    </w:p>
    <w:p w14:paraId="1C441496">
      <w:pPr>
        <w:pStyle w:val="21"/>
        <w:ind w:firstLine="480"/>
      </w:pPr>
      <w:r>
        <w:rPr>
          <w:rFonts w:hint="eastAsia"/>
        </w:rPr>
        <w:t>式中：</w:t>
      </w:r>
    </w:p>
    <w:p w14:paraId="7AD66EAB">
      <w:pPr>
        <w:pStyle w:val="21"/>
        <w:ind w:firstLine="480"/>
      </w:pPr>
      <w:r>
        <w:t>V</w:t>
      </w:r>
      <w:r>
        <w:rPr>
          <w:rFonts w:hint="eastAsia"/>
        </w:rPr>
        <w:t>总</w:t>
      </w:r>
      <w:r>
        <w:t>——</w:t>
      </w:r>
      <w:r>
        <w:rPr>
          <w:rFonts w:hint="eastAsia"/>
        </w:rPr>
        <w:t>应急池总有效容积（</w:t>
      </w:r>
      <w:r>
        <w:t>m</w:t>
      </w:r>
      <w:r>
        <w:rPr>
          <w:vertAlign w:val="superscript"/>
        </w:rPr>
        <w:t>3</w:t>
      </w:r>
      <w:r>
        <w:rPr>
          <w:rFonts w:hint="eastAsia"/>
        </w:rPr>
        <w:t>）；</w:t>
      </w:r>
    </w:p>
    <w:p w14:paraId="0F609CD8">
      <w:pPr>
        <w:pStyle w:val="21"/>
        <w:ind w:firstLine="480"/>
      </w:pPr>
      <w:r>
        <w:t>V1——</w:t>
      </w:r>
      <w:r>
        <w:rPr>
          <w:rFonts w:hint="eastAsia"/>
        </w:rPr>
        <w:t>收集系统范围内发生事故的物料量；</w:t>
      </w:r>
    </w:p>
    <w:p w14:paraId="02A60331">
      <w:pPr>
        <w:pStyle w:val="21"/>
        <w:ind w:firstLine="480"/>
      </w:pPr>
      <w:r>
        <w:t>V2——</w:t>
      </w:r>
      <w:r>
        <w:rPr>
          <w:rFonts w:hint="eastAsia"/>
        </w:rPr>
        <w:t>发生事故的储罐和装置的消防水量，</w:t>
      </w:r>
      <w:r>
        <w:t>m</w:t>
      </w:r>
      <w:r>
        <w:rPr>
          <w:vertAlign w:val="superscript"/>
        </w:rPr>
        <w:t>3</w:t>
      </w:r>
      <w:r>
        <w:rPr>
          <w:rFonts w:hint="eastAsia"/>
        </w:rPr>
        <w:t>；</w:t>
      </w:r>
    </w:p>
    <w:p w14:paraId="1663D1D3">
      <w:pPr>
        <w:pStyle w:val="31"/>
      </w:pPr>
      <w:r>
        <w:drawing>
          <wp:inline distT="0" distB="0" distL="0" distR="0">
            <wp:extent cx="1336675" cy="304800"/>
            <wp:effectExtent l="0" t="0" r="15875" b="0"/>
            <wp:docPr id="2144485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485427" name="图片 1"/>
                    <pic:cNvPicPr>
                      <a:picLocks noChangeAspect="1"/>
                    </pic:cNvPicPr>
                  </pic:nvPicPr>
                  <pic:blipFill>
                    <a:blip r:embed="rId35"/>
                    <a:stretch>
                      <a:fillRect/>
                    </a:stretch>
                  </pic:blipFill>
                  <pic:spPr>
                    <a:xfrm>
                      <a:off x="0" y="0"/>
                      <a:ext cx="1342284" cy="306571"/>
                    </a:xfrm>
                    <a:prstGeom prst="rect">
                      <a:avLst/>
                    </a:prstGeom>
                  </pic:spPr>
                </pic:pic>
              </a:graphicData>
            </a:graphic>
          </wp:inline>
        </w:drawing>
      </w:r>
    </w:p>
    <w:p w14:paraId="145AB946">
      <w:pPr>
        <w:pStyle w:val="21"/>
        <w:ind w:firstLine="480"/>
      </w:pPr>
      <w:r>
        <w:t>Q</w:t>
      </w:r>
      <w:r>
        <w:rPr>
          <w:rFonts w:hint="eastAsia"/>
        </w:rPr>
        <w:t>消</w:t>
      </w:r>
      <w:r>
        <w:t>——</w:t>
      </w:r>
      <w:r>
        <w:rPr>
          <w:rFonts w:hint="eastAsia"/>
        </w:rPr>
        <w:t>发生事故的储罐或装置的同时使用的消防设施给水流量，</w:t>
      </w:r>
      <w:r>
        <w:t>m</w:t>
      </w:r>
      <w:r>
        <w:rPr>
          <w:vertAlign w:val="superscript"/>
        </w:rPr>
        <w:t>3</w:t>
      </w:r>
      <w:r>
        <w:t>/h</w:t>
      </w:r>
      <w:r>
        <w:rPr>
          <w:rFonts w:hint="eastAsia"/>
        </w:rPr>
        <w:t xml:space="preserve">； </w:t>
      </w:r>
    </w:p>
    <w:p w14:paraId="778280CD">
      <w:pPr>
        <w:pStyle w:val="21"/>
        <w:ind w:firstLine="480"/>
      </w:pPr>
      <w:r>
        <w:t>t</w:t>
      </w:r>
      <w:r>
        <w:rPr>
          <w:rFonts w:hint="eastAsia"/>
        </w:rPr>
        <w:t>消</w:t>
      </w:r>
      <w:r>
        <w:t>——</w:t>
      </w:r>
      <w:r>
        <w:rPr>
          <w:rFonts w:hint="eastAsia"/>
        </w:rPr>
        <w:t>消防设施对应的设计消防历时，</w:t>
      </w:r>
      <w:r>
        <w:t>h</w:t>
      </w:r>
      <w:r>
        <w:rPr>
          <w:rFonts w:hint="eastAsia"/>
        </w:rPr>
        <w:t>；</w:t>
      </w:r>
    </w:p>
    <w:p w14:paraId="64943886">
      <w:pPr>
        <w:pStyle w:val="21"/>
        <w:ind w:firstLine="480"/>
      </w:pPr>
      <w:r>
        <w:t>V3——</w:t>
      </w:r>
      <w:r>
        <w:rPr>
          <w:rFonts w:hint="eastAsia"/>
        </w:rPr>
        <w:t>发生事故时可以转输到其他储存或处理设施的物料量，</w:t>
      </w:r>
      <w:r>
        <w:t>m</w:t>
      </w:r>
      <w:r>
        <w:rPr>
          <w:vertAlign w:val="superscript"/>
        </w:rPr>
        <w:t>3</w:t>
      </w:r>
      <w:r>
        <w:rPr>
          <w:rFonts w:hint="eastAsia"/>
        </w:rPr>
        <w:t>；</w:t>
      </w:r>
    </w:p>
    <w:p w14:paraId="254956DB">
      <w:pPr>
        <w:pStyle w:val="21"/>
        <w:ind w:firstLine="480"/>
      </w:pPr>
      <w:r>
        <w:t>V4——</w:t>
      </w:r>
      <w:r>
        <w:rPr>
          <w:rFonts w:hint="eastAsia"/>
        </w:rPr>
        <w:t>发生事故时仍必须进入该收集系统的废水量，</w:t>
      </w:r>
      <w:r>
        <w:t>m</w:t>
      </w:r>
      <w:r>
        <w:rPr>
          <w:vertAlign w:val="superscript"/>
        </w:rPr>
        <w:t>3</w:t>
      </w:r>
      <w:r>
        <w:rPr>
          <w:rFonts w:hint="eastAsia"/>
        </w:rPr>
        <w:t>。</w:t>
      </w:r>
    </w:p>
    <w:p w14:paraId="6044CC56">
      <w:pPr>
        <w:pStyle w:val="21"/>
        <w:ind w:firstLine="480"/>
      </w:pPr>
      <w:r>
        <w:t>V5—</w:t>
      </w:r>
      <w:r>
        <w:rPr>
          <w:rFonts w:hint="eastAsia"/>
        </w:rPr>
        <w:t>发生事故时可能进入该收集系统的降雨量，</w:t>
      </w:r>
      <w:r>
        <w:t>m</w:t>
      </w:r>
      <w:r>
        <w:rPr>
          <w:vertAlign w:val="superscript"/>
        </w:rPr>
        <w:t>3</w:t>
      </w:r>
      <w:r>
        <w:rPr>
          <w:rFonts w:hint="eastAsia"/>
        </w:rPr>
        <w:t>；</w:t>
      </w:r>
    </w:p>
    <w:p w14:paraId="13BEB2C7">
      <w:pPr>
        <w:pStyle w:val="31"/>
      </w:pPr>
      <w:r>
        <w:drawing>
          <wp:inline distT="0" distB="0" distL="0" distR="0">
            <wp:extent cx="1228725" cy="361950"/>
            <wp:effectExtent l="0" t="0" r="9525" b="0"/>
            <wp:docPr id="17202007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200755" name="图片 1"/>
                    <pic:cNvPicPr>
                      <a:picLocks noChangeAspect="1"/>
                    </pic:cNvPicPr>
                  </pic:nvPicPr>
                  <pic:blipFill>
                    <a:blip r:embed="rId36"/>
                    <a:stretch>
                      <a:fillRect/>
                    </a:stretch>
                  </pic:blipFill>
                  <pic:spPr>
                    <a:xfrm>
                      <a:off x="0" y="0"/>
                      <a:ext cx="1228725" cy="361950"/>
                    </a:xfrm>
                    <a:prstGeom prst="rect">
                      <a:avLst/>
                    </a:prstGeom>
                  </pic:spPr>
                </pic:pic>
              </a:graphicData>
            </a:graphic>
          </wp:inline>
        </w:drawing>
      </w:r>
    </w:p>
    <w:p w14:paraId="2B3C3DA1">
      <w:pPr>
        <w:pStyle w:val="21"/>
        <w:ind w:firstLine="480"/>
      </w:pPr>
      <w:r>
        <w:rPr>
          <w:rFonts w:hint="eastAsia"/>
        </w:rPr>
        <w:t>q—降雨强度，按平均日降雨量，单位为毫米（mm）；</w:t>
      </w:r>
    </w:p>
    <w:p w14:paraId="41151A56">
      <w:pPr>
        <w:pStyle w:val="21"/>
        <w:ind w:firstLine="480"/>
      </w:pPr>
      <w:r>
        <w:rPr>
          <w:rFonts w:hint="eastAsia"/>
        </w:rPr>
        <w:t>qn—年平均降雨量，单位为毫米（mm）；</w:t>
      </w:r>
    </w:p>
    <w:p w14:paraId="61A02EB4">
      <w:pPr>
        <w:pStyle w:val="21"/>
        <w:ind w:firstLine="480"/>
      </w:pPr>
      <w:r>
        <w:rPr>
          <w:rFonts w:hint="eastAsia"/>
        </w:rPr>
        <w:t>n—年平均降雨日数，单位为天（d）</w:t>
      </w:r>
    </w:p>
    <w:p w14:paraId="66CB6B5C">
      <w:pPr>
        <w:pStyle w:val="21"/>
        <w:ind w:firstLine="480"/>
      </w:pPr>
      <w:r>
        <w:rPr>
          <w:rFonts w:hint="eastAsia"/>
        </w:rPr>
        <w:t>f—必须进入事故废水收集系统的雨水汇水面积，单位为公顷（ha）</w:t>
      </w:r>
    </w:p>
    <w:p w14:paraId="1CE7FE00">
      <w:pPr>
        <w:pStyle w:val="21"/>
        <w:ind w:firstLine="480"/>
      </w:pPr>
      <w:r>
        <w:rPr>
          <w:rFonts w:hint="eastAsia"/>
        </w:rPr>
        <w:t>根据上述公式，项目事故应急池容积统计情况见表</w:t>
      </w:r>
      <w:r>
        <w:t>5.</w:t>
      </w:r>
      <w:r>
        <w:rPr>
          <w:rFonts w:hint="eastAsia"/>
          <w:lang w:val="en-US" w:eastAsia="zh-CN"/>
        </w:rPr>
        <w:t>3</w:t>
      </w:r>
      <w:r>
        <w:t>-</w:t>
      </w:r>
      <w:r>
        <w:rPr>
          <w:rFonts w:hint="eastAsia"/>
          <w:lang w:val="en-US" w:eastAsia="zh-CN"/>
        </w:rPr>
        <w:t>6</w:t>
      </w:r>
      <w:r>
        <w:rPr>
          <w:rFonts w:hint="eastAsia"/>
        </w:rPr>
        <w:t>。</w:t>
      </w:r>
    </w:p>
    <w:p w14:paraId="3BF3E407">
      <w:pPr>
        <w:pStyle w:val="23"/>
      </w:pPr>
      <w:r>
        <w:rPr>
          <w:rFonts w:hint="eastAsia"/>
        </w:rPr>
        <w:t>表</w:t>
      </w:r>
      <w:r>
        <w:t>5.</w:t>
      </w:r>
      <w:r>
        <w:rPr>
          <w:rFonts w:hint="eastAsia"/>
          <w:lang w:val="en-US" w:eastAsia="zh-CN"/>
        </w:rPr>
        <w:t>3</w:t>
      </w:r>
      <w:r>
        <w:t>-</w:t>
      </w:r>
      <w:r>
        <w:rPr>
          <w:rFonts w:hint="eastAsia"/>
          <w:lang w:val="en-US" w:eastAsia="zh-CN"/>
        </w:rPr>
        <w:t>6</w:t>
      </w:r>
      <w:r>
        <w:rPr>
          <w:rFonts w:hint="eastAsia"/>
        </w:rPr>
        <w:t xml:space="preserve">  事故池容积统计情况表</w:t>
      </w:r>
    </w:p>
    <w:tbl>
      <w:tblPr>
        <w:tblStyle w:val="15"/>
        <w:tblW w:w="5000" w:type="pct"/>
        <w:tblInd w:w="0" w:type="dxa"/>
        <w:tblLayout w:type="autofit"/>
        <w:tblCellMar>
          <w:top w:w="0" w:type="dxa"/>
          <w:left w:w="108" w:type="dxa"/>
          <w:bottom w:w="0" w:type="dxa"/>
          <w:right w:w="108" w:type="dxa"/>
        </w:tblCellMar>
      </w:tblPr>
      <w:tblGrid>
        <w:gridCol w:w="649"/>
        <w:gridCol w:w="1023"/>
        <w:gridCol w:w="6850"/>
      </w:tblGrid>
      <w:tr w14:paraId="1ABFEFAD">
        <w:tblPrEx>
          <w:tblCellMar>
            <w:top w:w="0" w:type="dxa"/>
            <w:left w:w="108" w:type="dxa"/>
            <w:bottom w:w="0" w:type="dxa"/>
            <w:right w:w="108" w:type="dxa"/>
          </w:tblCellMar>
        </w:tblPrEx>
        <w:trPr>
          <w:trHeight w:val="505"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B5A41">
            <w:pPr>
              <w:pStyle w:val="31"/>
            </w:pPr>
            <w:r>
              <w:t>分类</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25823">
            <w:pPr>
              <w:pStyle w:val="31"/>
            </w:pPr>
            <w:r>
              <w:t>容积(m³)</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C1F77">
            <w:pPr>
              <w:pStyle w:val="31"/>
            </w:pPr>
            <w:r>
              <w:t>备注</w:t>
            </w:r>
          </w:p>
        </w:tc>
      </w:tr>
      <w:tr w14:paraId="58934196">
        <w:tblPrEx>
          <w:tblCellMar>
            <w:top w:w="0" w:type="dxa"/>
            <w:left w:w="108" w:type="dxa"/>
            <w:bottom w:w="0" w:type="dxa"/>
            <w:right w:w="108" w:type="dxa"/>
          </w:tblCellMar>
        </w:tblPrEx>
        <w:trPr>
          <w:trHeight w:val="47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A7259">
            <w:pPr>
              <w:pStyle w:val="31"/>
            </w:pPr>
            <w:r>
              <w:t>V₁</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1AA82">
            <w:pPr>
              <w:pStyle w:val="31"/>
            </w:pPr>
            <w:r>
              <w:rPr>
                <w:rFonts w:hint="eastAsia"/>
              </w:rPr>
              <w:t>2.5</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6FF77">
            <w:pPr>
              <w:pStyle w:val="31"/>
            </w:pPr>
            <w:r>
              <w:t>厂区内油类储罐单罐的最大贮存量为2.5m³</w:t>
            </w:r>
          </w:p>
        </w:tc>
      </w:tr>
      <w:tr w14:paraId="7FA67836">
        <w:tblPrEx>
          <w:tblCellMar>
            <w:top w:w="0" w:type="dxa"/>
            <w:left w:w="108" w:type="dxa"/>
            <w:bottom w:w="0" w:type="dxa"/>
            <w:right w:w="108" w:type="dxa"/>
          </w:tblCellMar>
        </w:tblPrEx>
        <w:trPr>
          <w:trHeight w:val="75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7EAAA">
            <w:pPr>
              <w:pStyle w:val="31"/>
            </w:pPr>
            <w:r>
              <w:t>V₂</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2470F">
            <w:pPr>
              <w:pStyle w:val="31"/>
            </w:pPr>
            <w:r>
              <w:rPr>
                <w:rFonts w:hint="eastAsia"/>
              </w:rPr>
              <w:t>54</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CF958">
            <w:pPr>
              <w:pStyle w:val="31"/>
            </w:pPr>
            <w:r>
              <w:t>根据《消防给水及消火栓系统技术规范》(GB50974-2014),室外消防用水流量为 15L/s,消防历时按1h计，则V₂=54m³/h×1h=54m³</w:t>
            </w:r>
          </w:p>
        </w:tc>
      </w:tr>
      <w:tr w14:paraId="12E9EA02">
        <w:tblPrEx>
          <w:tblCellMar>
            <w:top w:w="0" w:type="dxa"/>
            <w:left w:w="108" w:type="dxa"/>
            <w:bottom w:w="0" w:type="dxa"/>
            <w:right w:w="108" w:type="dxa"/>
          </w:tblCellMar>
        </w:tblPrEx>
        <w:trPr>
          <w:trHeight w:val="47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EA841">
            <w:pPr>
              <w:pStyle w:val="31"/>
            </w:pPr>
            <w:r>
              <w:t>V₃</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98A2C">
            <w:pPr>
              <w:pStyle w:val="31"/>
            </w:pPr>
            <w:r>
              <w:rPr>
                <w:rFonts w:hint="eastAsia"/>
              </w:rPr>
              <w:t>0</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69B8A">
            <w:pPr>
              <w:pStyle w:val="31"/>
            </w:pPr>
            <w:r>
              <w:t>按最不利因素考虑</w:t>
            </w:r>
          </w:p>
        </w:tc>
      </w:tr>
      <w:tr w14:paraId="713CFEFC">
        <w:tblPrEx>
          <w:tblCellMar>
            <w:top w:w="0" w:type="dxa"/>
            <w:left w:w="108" w:type="dxa"/>
            <w:bottom w:w="0" w:type="dxa"/>
            <w:right w:w="108" w:type="dxa"/>
          </w:tblCellMar>
        </w:tblPrEx>
        <w:trPr>
          <w:trHeight w:val="40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2FF5B">
            <w:pPr>
              <w:pStyle w:val="31"/>
            </w:pPr>
            <w:r>
              <w:t>V₄</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B1B79">
            <w:pPr>
              <w:pStyle w:val="31"/>
            </w:pPr>
            <w:r>
              <w:rPr>
                <w:rFonts w:hint="eastAsia"/>
              </w:rPr>
              <w:t>0</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9F3DB">
            <w:pPr>
              <w:pStyle w:val="31"/>
            </w:pPr>
            <w:r>
              <w:t>发生事故时立即停产</w:t>
            </w:r>
          </w:p>
        </w:tc>
      </w:tr>
      <w:tr w14:paraId="737D4E34">
        <w:tblPrEx>
          <w:tblCellMar>
            <w:top w:w="0" w:type="dxa"/>
            <w:left w:w="108" w:type="dxa"/>
            <w:bottom w:w="0" w:type="dxa"/>
            <w:right w:w="108" w:type="dxa"/>
          </w:tblCellMar>
        </w:tblPrEx>
        <w:trPr>
          <w:trHeight w:val="470"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EEF13">
            <w:pPr>
              <w:pStyle w:val="31"/>
            </w:pPr>
            <w:r>
              <w:t>V₅</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68A89">
            <w:pPr>
              <w:pStyle w:val="31"/>
            </w:pPr>
            <w:r>
              <w:rPr>
                <w:rFonts w:hint="eastAsia"/>
              </w:rPr>
              <w:t>75</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D936B">
            <w:pPr>
              <w:pStyle w:val="31"/>
            </w:pPr>
            <w:r>
              <w:rPr>
                <w:rFonts w:hint="eastAsia"/>
              </w:rPr>
              <w:t>初期雨水量最大为75m</w:t>
            </w:r>
            <w:r>
              <w:rPr>
                <w:rFonts w:hint="eastAsia"/>
                <w:vertAlign w:val="superscript"/>
              </w:rPr>
              <w:t>3</w:t>
            </w:r>
            <w:r>
              <w:rPr>
                <w:rFonts w:hint="eastAsia"/>
              </w:rPr>
              <w:t>/次</w:t>
            </w:r>
          </w:p>
        </w:tc>
      </w:tr>
      <w:tr w14:paraId="5E450434">
        <w:tblPrEx>
          <w:tblCellMar>
            <w:top w:w="0" w:type="dxa"/>
            <w:left w:w="108" w:type="dxa"/>
            <w:bottom w:w="0" w:type="dxa"/>
            <w:right w:w="108" w:type="dxa"/>
          </w:tblCellMar>
        </w:tblPrEx>
        <w:trPr>
          <w:trHeight w:val="495" w:hRule="atLeast"/>
        </w:trPr>
        <w:tc>
          <w:tcPr>
            <w:tcW w:w="3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E1508">
            <w:pPr>
              <w:pStyle w:val="31"/>
            </w:pPr>
            <w:r>
              <w:t>V总</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99C5C">
            <w:pPr>
              <w:pStyle w:val="31"/>
            </w:pPr>
            <w:r>
              <w:rPr>
                <w:rFonts w:hint="eastAsia"/>
              </w:rPr>
              <w:t>131.5</w:t>
            </w:r>
          </w:p>
        </w:tc>
        <w:tc>
          <w:tcPr>
            <w:tcW w:w="40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06811">
            <w:pPr>
              <w:pStyle w:val="31"/>
            </w:pPr>
            <w:r>
              <w:t>(V₁+V₂-V₃)max+V₄+V₅</w:t>
            </w:r>
          </w:p>
        </w:tc>
      </w:tr>
    </w:tbl>
    <w:p w14:paraId="59B587B1">
      <w:pPr>
        <w:pStyle w:val="21"/>
        <w:ind w:firstLine="480"/>
        <w:rPr>
          <w:rFonts w:hint="eastAsia"/>
        </w:rPr>
      </w:pPr>
      <w:r>
        <w:rPr>
          <w:rFonts w:hint="eastAsia"/>
        </w:rPr>
        <w:t>通过计算，项目所需的事故池大小为131.5m³，作为事故状态下厂区消防废水、泄漏废液等的应急收纳，建设单位现状未建设事故应急池。建议建设单位利用船台内的空间，构筑</w:t>
      </w:r>
      <w:r>
        <w:rPr>
          <w:rFonts w:hint="eastAsia"/>
          <w:lang w:val="en-US" w:eastAsia="zh-CN"/>
        </w:rPr>
        <w:t>船台内</w:t>
      </w:r>
      <w:r>
        <w:rPr>
          <w:rFonts w:hint="eastAsia"/>
        </w:rPr>
        <w:t>拦截坝，现有船台面积为5000m</w:t>
      </w:r>
      <w:r>
        <w:rPr>
          <w:rFonts w:hint="eastAsia"/>
          <w:vertAlign w:val="superscript"/>
        </w:rPr>
        <w:t>2</w:t>
      </w:r>
      <w:r>
        <w:rPr>
          <w:rFonts w:hint="eastAsia"/>
        </w:rPr>
        <w:t>，在船台入口处构筑不低于</w:t>
      </w:r>
      <w:r>
        <w:rPr>
          <w:rFonts w:hint="eastAsia"/>
          <w:lang w:val="en-US" w:eastAsia="zh-CN"/>
        </w:rPr>
        <w:t>2</w:t>
      </w:r>
      <w:r>
        <w:rPr>
          <w:rFonts w:hint="eastAsia"/>
        </w:rPr>
        <w:t>0cm的拦截坝，可形成容积约为</w:t>
      </w:r>
      <w:r>
        <w:rPr>
          <w:rFonts w:hint="eastAsia"/>
          <w:lang w:val="en-US" w:eastAsia="zh-CN"/>
        </w:rPr>
        <w:t>10</w:t>
      </w:r>
      <w:r>
        <w:rPr>
          <w:rFonts w:hint="eastAsia"/>
        </w:rPr>
        <w:t>00m</w:t>
      </w:r>
      <w:r>
        <w:rPr>
          <w:rFonts w:hint="eastAsia"/>
          <w:vertAlign w:val="superscript"/>
        </w:rPr>
        <w:t>3</w:t>
      </w:r>
      <w:r>
        <w:rPr>
          <w:rFonts w:hint="eastAsia"/>
        </w:rPr>
        <w:t>的事故应急池，能够满足事故废水的暂存；同时要求拦截坝配备应急切换闸门、围堵沙袋、污水泵及收集管等物资，确保事故状态下雨污水收集不直接进入湘江。</w:t>
      </w:r>
    </w:p>
    <w:p w14:paraId="398364E6">
      <w:pPr>
        <w:pStyle w:val="21"/>
        <w:ind w:firstLine="480"/>
        <w:rPr>
          <w:rFonts w:hint="default" w:eastAsia="宋体"/>
          <w:vertAlign w:val="baseline"/>
          <w:lang w:val="en-US" w:eastAsia="zh-CN"/>
        </w:rPr>
      </w:pPr>
      <w:r>
        <w:rPr>
          <w:rFonts w:hint="eastAsia"/>
          <w:lang w:val="en-US" w:eastAsia="zh-CN"/>
        </w:rPr>
        <w:t>且项目设置了50m</w:t>
      </w:r>
      <w:r>
        <w:rPr>
          <w:rFonts w:hint="eastAsia"/>
          <w:vertAlign w:val="superscript"/>
          <w:lang w:val="en-US" w:eastAsia="zh-CN"/>
        </w:rPr>
        <w:t>3</w:t>
      </w:r>
      <w:r>
        <w:rPr>
          <w:rFonts w:hint="eastAsia"/>
          <w:vertAlign w:val="baseline"/>
          <w:lang w:val="en-US" w:eastAsia="zh-CN"/>
        </w:rPr>
        <w:t>初期雨水池，可作为事故状态下事故废水收集设施，初期雨水池设置了自动水泵，将废水随时抽至岸边污水处理设施处理。</w:t>
      </w:r>
    </w:p>
    <w:p w14:paraId="52ADCB91">
      <w:pPr>
        <w:pStyle w:val="21"/>
        <w:ind w:firstLine="480"/>
      </w:pPr>
      <w:r>
        <w:rPr>
          <w:rFonts w:hint="eastAsia"/>
        </w:rPr>
        <w:t>（3）船台风险防范措施</w:t>
      </w:r>
    </w:p>
    <w:p w14:paraId="676F8E81">
      <w:pPr>
        <w:pStyle w:val="21"/>
        <w:ind w:firstLine="480"/>
      </w:pPr>
      <w:r>
        <w:rPr>
          <w:rFonts w:hint="eastAsia"/>
        </w:rPr>
        <w:t>项目拆解区主要污染区位于船台内，船台入口处设置不低于30cm高的围堰可形成天然的应急池，围堰内侧设场地清洗废水和初期雨水收集沟、污水井，排水沟接入污水井前设三通阀门。雨季收集15min 后的雨水通过三通阀门排入集水池。</w:t>
      </w:r>
    </w:p>
    <w:p w14:paraId="233108D4">
      <w:pPr>
        <w:pStyle w:val="21"/>
        <w:ind w:firstLine="480"/>
      </w:pPr>
      <w:r>
        <w:rPr>
          <w:rFonts w:hint="eastAsia"/>
        </w:rPr>
        <w:t>另外船台需按照《船舶修造和拆解单位防污染设施设备配备及操作要求》(JT/T787-2010)配备油污水临时储存装置、有害材料储存装置等，避免风险事故含油污水对湘江产生不利影响。</w:t>
      </w:r>
    </w:p>
    <w:p w14:paraId="2820DE41">
      <w:pPr>
        <w:pStyle w:val="21"/>
        <w:ind w:firstLine="480"/>
      </w:pPr>
      <w:r>
        <w:rPr>
          <w:rFonts w:hint="eastAsia"/>
        </w:rPr>
        <w:t>（4）水上溢油事故风险防范措施</w:t>
      </w:r>
    </w:p>
    <w:p w14:paraId="208A6BA8">
      <w:pPr>
        <w:pStyle w:val="21"/>
        <w:ind w:firstLine="480"/>
      </w:pPr>
      <w:r>
        <w:rPr>
          <w:rFonts w:hint="eastAsia"/>
        </w:rPr>
        <w:t>建设单位应制定专门的水上溢油事故专项应急处置预案，同时日常运营过程中应要求待修或待拆船进船台时，及时抽走船舶油仓中燃油，留少量燃油供船进</w:t>
      </w:r>
      <w:r>
        <w:rPr>
          <w:rFonts w:hint="eastAsia"/>
          <w:lang w:val="en-US" w:eastAsia="zh-CN"/>
        </w:rPr>
        <w:t>港</w:t>
      </w:r>
      <w:r>
        <w:rPr>
          <w:rFonts w:hint="eastAsia"/>
        </w:rPr>
        <w:t>，减少泄漏风险及泄漏量。</w:t>
      </w:r>
      <w:r>
        <w:rPr>
          <w:rFonts w:hint="eastAsia"/>
          <w:lang w:val="en-US" w:eastAsia="zh-CN"/>
        </w:rPr>
        <w:t>码头港口</w:t>
      </w:r>
      <w:r>
        <w:rPr>
          <w:rFonts w:hint="eastAsia"/>
        </w:rPr>
        <w:t>周围应布设围油栏，一旦燃油泄漏时能够及时拦截。公司船台出口应装有监控摄像头，与水利部门及环保部门在线连接，一旦在船台口发生燃料油泄漏，水利部门及环保部门能在第一时间发现，进行通知及启动应急响应。</w:t>
      </w:r>
    </w:p>
    <w:p w14:paraId="044E58E7">
      <w:pPr>
        <w:pStyle w:val="21"/>
        <w:ind w:firstLine="480"/>
      </w:pPr>
      <w:r>
        <w:rPr>
          <w:rFonts w:hint="eastAsia"/>
        </w:rPr>
        <w:t>（5）火灾爆炸事故风险防范措施</w:t>
      </w:r>
    </w:p>
    <w:p w14:paraId="66649940">
      <w:pPr>
        <w:pStyle w:val="21"/>
        <w:ind w:firstLine="480"/>
        <w:rPr>
          <w:rFonts w:hint="eastAsia"/>
        </w:rPr>
      </w:pPr>
      <w:r>
        <w:rPr>
          <w:rFonts w:hint="eastAsia"/>
        </w:rPr>
        <w:t>建设单位配备合格的消防器材；制定岗位、部门消防安全规章制定，规范岗位、部门消防管理要求，完善消防安全管理，公司车间、办公楼、仓库按要求设有灭火器和消防栓；原料仓库等设置醒目的防火、禁止吸烟及明火标志；制定消防安全责任制，把消防安全落实到岗位，落实消防安全的一岗双责，并层层落实；对消防器材进行管理，做到定人管理、定点、定期检查(三定)；定期对生产车间，特别是电线等进行检查，防止因为设备故障、电线短路等引起火灾；做好消防应急预案，并定期进行演炼；公司配备足够的堵漏沙袋，根据事故发生地点及地势即使围堵消防废水，并立即采用污水泵收集至事故应急罐内，防止洗消废水直接流向外环境。</w:t>
      </w:r>
    </w:p>
    <w:p w14:paraId="4491A069">
      <w:pPr>
        <w:pStyle w:val="36"/>
        <w:bidi w:val="0"/>
        <w:rPr>
          <w:rFonts w:hint="eastAsia"/>
          <w:lang w:val="en-US" w:eastAsia="zh-CN"/>
        </w:rPr>
      </w:pPr>
      <w:r>
        <w:rPr>
          <w:rFonts w:hint="eastAsia"/>
          <w:lang w:val="en-US" w:eastAsia="zh-CN"/>
        </w:rPr>
        <w:t>5.8.5.2水上污染事故应急防备能力要求</w:t>
      </w:r>
    </w:p>
    <w:p w14:paraId="571EEF5D">
      <w:pPr>
        <w:pStyle w:val="21"/>
        <w:rPr>
          <w:rFonts w:hint="eastAsia"/>
          <w:u w:val="none"/>
          <w:lang w:val="en-US" w:eastAsia="zh-CN"/>
        </w:rPr>
      </w:pPr>
      <w:r>
        <w:rPr>
          <w:rFonts w:hint="eastAsia"/>
          <w:u w:val="none"/>
          <w:lang w:val="en-US" w:eastAsia="zh-CN"/>
        </w:rPr>
        <w:t>建设单位需按照《港口码头水上污染事故应急防备能力要求》(JT/T451-2017)落实水上污染事故应急防备能力要求。</w:t>
      </w:r>
    </w:p>
    <w:p w14:paraId="3FD4F51B">
      <w:pPr>
        <w:pStyle w:val="21"/>
        <w:rPr>
          <w:rFonts w:hint="eastAsia"/>
          <w:u w:val="none"/>
          <w:lang w:val="en-US" w:eastAsia="zh-CN"/>
        </w:rPr>
      </w:pPr>
      <w:r>
        <w:rPr>
          <w:rFonts w:hint="eastAsia"/>
          <w:u w:val="none"/>
          <w:lang w:val="en-US" w:eastAsia="zh-CN"/>
        </w:rPr>
        <w:t>1、应急防备能力目标要求</w:t>
      </w:r>
    </w:p>
    <w:p w14:paraId="57A13AB1">
      <w:pPr>
        <w:pStyle w:val="21"/>
        <w:rPr>
          <w:rFonts w:hint="default"/>
          <w:u w:val="none"/>
          <w:lang w:val="en-US" w:eastAsia="zh-CN"/>
        </w:rPr>
      </w:pPr>
      <w:r>
        <w:rPr>
          <w:rFonts w:hint="eastAsia"/>
          <w:u w:val="none"/>
          <w:lang w:val="en-US" w:eastAsia="zh-CN"/>
        </w:rPr>
        <w:t>（1）</w:t>
      </w:r>
      <w:r>
        <w:rPr>
          <w:rFonts w:hint="default"/>
          <w:u w:val="none"/>
          <w:lang w:val="en-US" w:eastAsia="zh-CN"/>
        </w:rPr>
        <w:t>港口、码头、装卸站按照JT/T 1143 对区域或建设项目水上污染事故环境风险进行评估,按照JT/T877对现有水上溢油应急防备能力进行评估。</w:t>
      </w:r>
    </w:p>
    <w:p w14:paraId="1292E92D">
      <w:pPr>
        <w:pStyle w:val="21"/>
        <w:rPr>
          <w:rFonts w:hint="default"/>
          <w:u w:val="none"/>
          <w:lang w:val="en-US" w:eastAsia="zh-CN"/>
        </w:rPr>
      </w:pPr>
      <w:r>
        <w:rPr>
          <w:rFonts w:hint="eastAsia"/>
          <w:u w:val="none"/>
          <w:lang w:val="en-US" w:eastAsia="zh-CN"/>
        </w:rPr>
        <w:t>（2）</w:t>
      </w:r>
      <w:r>
        <w:rPr>
          <w:rFonts w:hint="default"/>
          <w:u w:val="none"/>
          <w:lang w:val="en-US" w:eastAsia="zh-CN"/>
        </w:rPr>
        <w:t>港口应以风险评估确定的可能最大水上溢油事故溢油量作为本港及其附近区域的溢油应急防备目标。</w:t>
      </w:r>
    </w:p>
    <w:p w14:paraId="1A9A0240">
      <w:pPr>
        <w:pStyle w:val="21"/>
        <w:rPr>
          <w:rFonts w:hint="default"/>
          <w:u w:val="none"/>
          <w:lang w:val="en-US" w:eastAsia="zh-CN"/>
        </w:rPr>
      </w:pPr>
      <w:r>
        <w:rPr>
          <w:rFonts w:hint="eastAsia"/>
          <w:u w:val="none"/>
          <w:lang w:val="en-US" w:eastAsia="zh-CN"/>
        </w:rPr>
        <w:t>（3）</w:t>
      </w:r>
      <w:r>
        <w:rPr>
          <w:rFonts w:hint="default"/>
          <w:u w:val="none"/>
          <w:lang w:val="en-US" w:eastAsia="zh-CN"/>
        </w:rPr>
        <w:t>从事散装液体污染危害性货物装卸作业的新、改、扩建码头、装卸站应通过自行配置应急资源或联防方式,其他码头、装卸站还可通过购买服务方式,满足表1中一级防备要求,并在应急预案中提出满足表1的二级防备、三级防备要求的衔接措施。同一码头有多个泊位的,按照其中最高风险的泊位作为本码头的水上溢油应急防备目标。</w:t>
      </w:r>
    </w:p>
    <w:p w14:paraId="6C9033A9">
      <w:pPr>
        <w:pStyle w:val="21"/>
        <w:rPr>
          <w:rFonts w:hint="default"/>
          <w:u w:val="none"/>
          <w:lang w:val="en-US" w:eastAsia="zh-CN"/>
        </w:rPr>
      </w:pPr>
      <w:r>
        <w:rPr>
          <w:rFonts w:hint="eastAsia"/>
          <w:u w:val="none"/>
          <w:lang w:val="en-US" w:eastAsia="zh-CN"/>
        </w:rPr>
        <w:t>（4）</w:t>
      </w:r>
      <w:r>
        <w:rPr>
          <w:rFonts w:hint="default"/>
          <w:u w:val="none"/>
          <w:lang w:val="en-US" w:eastAsia="zh-CN"/>
        </w:rPr>
        <w:t>港口应在港内最高风险码头应急防备能力要求的基础上,根据风险评估结果,确定本港口的应急防备要求</w:t>
      </w:r>
      <w:r>
        <w:rPr>
          <w:rFonts w:hint="eastAsia"/>
          <w:u w:val="none"/>
          <w:lang w:val="en-US" w:eastAsia="zh-CN"/>
        </w:rPr>
        <w:t>，</w:t>
      </w:r>
      <w:r>
        <w:rPr>
          <w:rFonts w:hint="default"/>
          <w:u w:val="none"/>
          <w:lang w:val="en-US" w:eastAsia="zh-CN"/>
        </w:rPr>
        <w:t>一个港湾或单一港口不宜超过表!的二级防备要求。港口应结合当地和周边区域可协调的应急防备能力,合理确定本港口水上溢油应急能力建设需求。</w:t>
      </w:r>
    </w:p>
    <w:p w14:paraId="63ADB9EE">
      <w:pPr>
        <w:pStyle w:val="21"/>
        <w:rPr>
          <w:rFonts w:hint="eastAsia"/>
          <w:u w:val="none"/>
          <w:lang w:val="en-US" w:eastAsia="zh-CN"/>
        </w:rPr>
      </w:pPr>
      <w:r>
        <w:rPr>
          <w:rFonts w:hint="eastAsia"/>
          <w:u w:val="none"/>
          <w:lang w:val="en-US" w:eastAsia="zh-CN"/>
        </w:rPr>
        <w:t>（5）</w:t>
      </w:r>
      <w:r>
        <w:rPr>
          <w:rFonts w:hint="default"/>
          <w:u w:val="none"/>
          <w:lang w:val="en-US" w:eastAsia="zh-CN"/>
        </w:rPr>
        <w:t>可协调的应急防备能力区域范围为在表1的应急反应时间内</w:t>
      </w:r>
      <w:r>
        <w:rPr>
          <w:rFonts w:hint="eastAsia"/>
          <w:u w:val="none"/>
          <w:lang w:val="en-US" w:eastAsia="zh-CN"/>
        </w:rPr>
        <w:t>，</w:t>
      </w:r>
      <w:r>
        <w:rPr>
          <w:rFonts w:hint="default"/>
          <w:u w:val="none"/>
          <w:lang w:val="en-US" w:eastAsia="zh-CN"/>
        </w:rPr>
        <w:t>主要应急资源可到达事故多发点的周边区域,应急反应时间按照 JT/T877计算</w:t>
      </w:r>
      <w:r>
        <w:rPr>
          <w:rFonts w:hint="eastAsia"/>
          <w:u w:val="none"/>
          <w:lang w:val="en-US" w:eastAsia="zh-CN"/>
        </w:rPr>
        <w:t>：</w:t>
      </w:r>
    </w:p>
    <w:p w14:paraId="63C4B23D">
      <w:pPr>
        <w:pStyle w:val="21"/>
        <w:rPr>
          <w:rFonts w:hint="eastAsia"/>
          <w:u w:val="single"/>
          <w:lang w:val="en-US" w:eastAsia="zh-CN"/>
        </w:rPr>
      </w:pPr>
    </w:p>
    <w:p w14:paraId="02351CCA">
      <w:pPr>
        <w:pStyle w:val="21"/>
        <w:rPr>
          <w:rFonts w:hint="eastAsia"/>
          <w:u w:val="single"/>
          <w:lang w:val="en-US" w:eastAsia="zh-CN"/>
        </w:rPr>
      </w:pPr>
    </w:p>
    <w:p w14:paraId="42D02A30">
      <w:pPr>
        <w:pStyle w:val="21"/>
        <w:rPr>
          <w:rFonts w:hint="eastAsia"/>
          <w:u w:val="single"/>
          <w:lang w:val="en-US" w:eastAsia="zh-CN"/>
        </w:rPr>
      </w:pPr>
    </w:p>
    <w:p w14:paraId="5F213139">
      <w:pPr>
        <w:pStyle w:val="21"/>
        <w:rPr>
          <w:rFonts w:hint="eastAsia"/>
          <w:u w:val="single"/>
          <w:lang w:val="en-US" w:eastAsia="zh-CN"/>
        </w:rPr>
      </w:pPr>
    </w:p>
    <w:p w14:paraId="2BDCF14B">
      <w:pPr>
        <w:pStyle w:val="23"/>
        <w:bidi w:val="0"/>
        <w:rPr>
          <w:rFonts w:hint="eastAsia"/>
          <w:u w:val="none"/>
          <w:lang w:val="en-US" w:eastAsia="zh-CN"/>
        </w:rPr>
      </w:pPr>
      <w:r>
        <w:rPr>
          <w:rFonts w:hint="eastAsia"/>
          <w:u w:val="none"/>
          <w:lang w:val="en-US" w:eastAsia="zh-CN"/>
        </w:rPr>
        <w:t>表5.3-7  新、改、扩建码头水上溢油应急防备等级要求</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952"/>
        <w:gridCol w:w="2305"/>
        <w:gridCol w:w="1704"/>
        <w:gridCol w:w="1759"/>
        <w:gridCol w:w="1632"/>
      </w:tblGrid>
      <w:tr w14:paraId="3027B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70" w:type="pct"/>
            <w:vMerge w:val="restart"/>
            <w:vAlign w:val="center"/>
          </w:tcPr>
          <w:p w14:paraId="1A478A01">
            <w:pPr>
              <w:pStyle w:val="31"/>
              <w:bidi w:val="0"/>
              <w:jc w:val="center"/>
              <w:rPr>
                <w:rFonts w:hint="eastAsia"/>
                <w:u w:val="none"/>
                <w:lang w:val="en-US" w:eastAsia="zh-CN"/>
              </w:rPr>
            </w:pPr>
            <w:r>
              <w:rPr>
                <w:rFonts w:hint="eastAsia"/>
                <w:u w:val="none"/>
                <w:lang w:val="en-US" w:eastAsia="zh-CN"/>
              </w:rPr>
              <w:t>应急防</w:t>
            </w:r>
          </w:p>
          <w:p w14:paraId="02FC7E05">
            <w:pPr>
              <w:pStyle w:val="31"/>
              <w:bidi w:val="0"/>
              <w:jc w:val="center"/>
              <w:rPr>
                <w:rFonts w:hint="default"/>
                <w:u w:val="none"/>
                <w:lang w:val="en-US" w:eastAsia="zh-CN"/>
              </w:rPr>
            </w:pPr>
            <w:r>
              <w:rPr>
                <w:rFonts w:hint="eastAsia"/>
                <w:u w:val="none"/>
                <w:lang w:val="en-US" w:eastAsia="zh-CN"/>
              </w:rPr>
              <w:t>备等级</w:t>
            </w:r>
          </w:p>
        </w:tc>
        <w:tc>
          <w:tcPr>
            <w:tcW w:w="1380" w:type="pct"/>
            <w:vMerge w:val="restart"/>
            <w:vAlign w:val="center"/>
          </w:tcPr>
          <w:p w14:paraId="3F9829F9">
            <w:pPr>
              <w:pStyle w:val="31"/>
              <w:bidi w:val="0"/>
              <w:jc w:val="center"/>
              <w:rPr>
                <w:rFonts w:hint="eastAsia"/>
                <w:u w:val="none"/>
                <w:lang w:val="en-US" w:eastAsia="zh-CN"/>
              </w:rPr>
            </w:pPr>
            <w:r>
              <w:rPr>
                <w:rFonts w:hint="eastAsia"/>
                <w:u w:val="none"/>
                <w:lang w:val="en-US" w:eastAsia="zh-CN"/>
              </w:rPr>
              <w:t>应急资源</w:t>
            </w:r>
          </w:p>
          <w:p w14:paraId="7F975518">
            <w:pPr>
              <w:pStyle w:val="31"/>
              <w:bidi w:val="0"/>
              <w:jc w:val="center"/>
              <w:rPr>
                <w:rFonts w:hint="default"/>
                <w:u w:val="none"/>
                <w:lang w:val="en-US" w:eastAsia="zh-CN"/>
              </w:rPr>
            </w:pPr>
            <w:r>
              <w:rPr>
                <w:rFonts w:hint="eastAsia"/>
                <w:u w:val="none"/>
                <w:lang w:val="en-US" w:eastAsia="zh-CN"/>
              </w:rPr>
              <w:t>拥有方式</w:t>
            </w:r>
          </w:p>
        </w:tc>
        <w:tc>
          <w:tcPr>
            <w:tcW w:w="2073" w:type="pct"/>
            <w:gridSpan w:val="2"/>
            <w:vAlign w:val="center"/>
          </w:tcPr>
          <w:p w14:paraId="689D0A71">
            <w:pPr>
              <w:pStyle w:val="31"/>
              <w:bidi w:val="0"/>
              <w:jc w:val="center"/>
              <w:rPr>
                <w:rFonts w:hint="default"/>
                <w:u w:val="none"/>
                <w:lang w:val="en-US" w:eastAsia="zh-CN"/>
              </w:rPr>
            </w:pPr>
            <w:r>
              <w:rPr>
                <w:rFonts w:hint="eastAsia"/>
                <w:u w:val="none"/>
                <w:lang w:val="en-US" w:eastAsia="zh-CN"/>
              </w:rPr>
              <w:t>防备能力配备要求</w:t>
            </w:r>
          </w:p>
        </w:tc>
        <w:tc>
          <w:tcPr>
            <w:tcW w:w="975" w:type="pct"/>
            <w:vMerge w:val="restart"/>
            <w:vAlign w:val="center"/>
          </w:tcPr>
          <w:p w14:paraId="63135B86">
            <w:pPr>
              <w:pStyle w:val="31"/>
              <w:bidi w:val="0"/>
              <w:jc w:val="center"/>
              <w:rPr>
                <w:rFonts w:hint="eastAsia"/>
                <w:u w:val="none"/>
                <w:lang w:val="en-US" w:eastAsia="zh-CN"/>
              </w:rPr>
            </w:pPr>
            <w:r>
              <w:rPr>
                <w:rFonts w:hint="eastAsia"/>
                <w:u w:val="none"/>
                <w:lang w:val="en-US" w:eastAsia="zh-CN"/>
              </w:rPr>
              <w:t>自接到应急响应</w:t>
            </w:r>
          </w:p>
          <w:p w14:paraId="28B497F2">
            <w:pPr>
              <w:pStyle w:val="31"/>
              <w:bidi w:val="0"/>
              <w:jc w:val="center"/>
              <w:rPr>
                <w:rFonts w:hint="eastAsia"/>
                <w:u w:val="none"/>
                <w:lang w:val="en-US" w:eastAsia="zh-CN"/>
              </w:rPr>
            </w:pPr>
            <w:r>
              <w:rPr>
                <w:rFonts w:hint="eastAsia"/>
                <w:u w:val="none"/>
                <w:lang w:val="en-US" w:eastAsia="zh-CN"/>
              </w:rPr>
              <w:t>通知后应急反应</w:t>
            </w:r>
          </w:p>
          <w:p w14:paraId="028FE6F2">
            <w:pPr>
              <w:pStyle w:val="31"/>
              <w:bidi w:val="0"/>
              <w:jc w:val="center"/>
              <w:rPr>
                <w:rFonts w:hint="default"/>
                <w:u w:val="none"/>
                <w:lang w:val="en-US" w:eastAsia="zh-CN"/>
              </w:rPr>
            </w:pPr>
            <w:r>
              <w:rPr>
                <w:rFonts w:hint="eastAsia"/>
                <w:u w:val="none"/>
                <w:lang w:val="en-US" w:eastAsia="zh-CN"/>
              </w:rPr>
              <w:t>时间最低要求h</w:t>
            </w:r>
          </w:p>
        </w:tc>
      </w:tr>
      <w:tr w14:paraId="166A8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70" w:type="pct"/>
            <w:vMerge w:val="continue"/>
            <w:vAlign w:val="center"/>
          </w:tcPr>
          <w:p w14:paraId="0FA427E5">
            <w:pPr>
              <w:pStyle w:val="31"/>
              <w:bidi w:val="0"/>
              <w:jc w:val="center"/>
              <w:rPr>
                <w:rFonts w:hint="default"/>
                <w:u w:val="none"/>
                <w:lang w:val="en-US" w:eastAsia="zh-CN"/>
              </w:rPr>
            </w:pPr>
          </w:p>
        </w:tc>
        <w:tc>
          <w:tcPr>
            <w:tcW w:w="1380" w:type="pct"/>
            <w:vMerge w:val="continue"/>
            <w:vAlign w:val="center"/>
          </w:tcPr>
          <w:p w14:paraId="4A464614">
            <w:pPr>
              <w:pStyle w:val="31"/>
              <w:bidi w:val="0"/>
              <w:jc w:val="center"/>
              <w:rPr>
                <w:rFonts w:hint="default"/>
                <w:u w:val="none"/>
                <w:lang w:val="en-US" w:eastAsia="zh-CN"/>
              </w:rPr>
            </w:pPr>
          </w:p>
        </w:tc>
        <w:tc>
          <w:tcPr>
            <w:tcW w:w="1020" w:type="pct"/>
            <w:vAlign w:val="center"/>
          </w:tcPr>
          <w:p w14:paraId="73BE4792">
            <w:pPr>
              <w:pStyle w:val="31"/>
              <w:bidi w:val="0"/>
              <w:jc w:val="center"/>
              <w:rPr>
                <w:rFonts w:hint="eastAsia"/>
                <w:u w:val="none"/>
                <w:lang w:val="en-US" w:eastAsia="zh-CN"/>
              </w:rPr>
            </w:pPr>
            <w:r>
              <w:rPr>
                <w:rFonts w:hint="eastAsia"/>
                <w:u w:val="none"/>
                <w:lang w:val="en-US" w:eastAsia="zh-CN"/>
              </w:rPr>
              <w:t>占区域溢油应</w:t>
            </w:r>
          </w:p>
          <w:p w14:paraId="0AB50520">
            <w:pPr>
              <w:pStyle w:val="31"/>
              <w:bidi w:val="0"/>
              <w:jc w:val="center"/>
              <w:rPr>
                <w:rFonts w:hint="default"/>
                <w:u w:val="none"/>
                <w:lang w:val="en-US" w:eastAsia="zh-CN"/>
              </w:rPr>
            </w:pPr>
            <w:r>
              <w:rPr>
                <w:rFonts w:hint="eastAsia"/>
                <w:u w:val="none"/>
                <w:lang w:val="en-US" w:eastAsia="zh-CN"/>
              </w:rPr>
              <w:t>急防备目标比例</w:t>
            </w:r>
          </w:p>
        </w:tc>
        <w:tc>
          <w:tcPr>
            <w:tcW w:w="1053" w:type="pct"/>
            <w:vAlign w:val="center"/>
          </w:tcPr>
          <w:p w14:paraId="1E162717">
            <w:pPr>
              <w:pStyle w:val="31"/>
              <w:bidi w:val="0"/>
              <w:jc w:val="center"/>
              <w:rPr>
                <w:rFonts w:hint="eastAsia"/>
                <w:u w:val="none"/>
                <w:lang w:val="en-US" w:eastAsia="zh-CN"/>
              </w:rPr>
            </w:pPr>
            <w:r>
              <w:rPr>
                <w:rFonts w:hint="eastAsia"/>
                <w:u w:val="none"/>
                <w:lang w:val="en-US" w:eastAsia="zh-CN"/>
              </w:rPr>
              <w:t>满足浅水和岸线</w:t>
            </w:r>
          </w:p>
          <w:p w14:paraId="69175BE6">
            <w:pPr>
              <w:pStyle w:val="31"/>
              <w:bidi w:val="0"/>
              <w:jc w:val="center"/>
              <w:rPr>
                <w:rFonts w:hint="default"/>
                <w:u w:val="none"/>
                <w:vertAlign w:val="superscript"/>
                <w:lang w:val="en-US" w:eastAsia="zh-CN"/>
              </w:rPr>
            </w:pPr>
            <w:r>
              <w:rPr>
                <w:rFonts w:hint="eastAsia"/>
                <w:u w:val="none"/>
                <w:lang w:val="en-US" w:eastAsia="zh-CN"/>
              </w:rPr>
              <w:t>清污作业的占比</w:t>
            </w:r>
            <w:r>
              <w:rPr>
                <w:rFonts w:hint="eastAsia"/>
                <w:u w:val="none"/>
                <w:vertAlign w:val="superscript"/>
                <w:lang w:val="en-US" w:eastAsia="zh-CN"/>
              </w:rPr>
              <w:t>b</w:t>
            </w:r>
          </w:p>
        </w:tc>
        <w:tc>
          <w:tcPr>
            <w:tcW w:w="975" w:type="pct"/>
            <w:vMerge w:val="continue"/>
            <w:vAlign w:val="center"/>
          </w:tcPr>
          <w:p w14:paraId="6F275DFF">
            <w:pPr>
              <w:pStyle w:val="31"/>
              <w:bidi w:val="0"/>
              <w:jc w:val="center"/>
              <w:rPr>
                <w:rFonts w:hint="default"/>
                <w:u w:val="none"/>
                <w:lang w:val="en-US" w:eastAsia="zh-CN"/>
              </w:rPr>
            </w:pPr>
          </w:p>
        </w:tc>
      </w:tr>
      <w:tr w14:paraId="6146F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70" w:type="pct"/>
            <w:vAlign w:val="center"/>
          </w:tcPr>
          <w:p w14:paraId="42A175BB">
            <w:pPr>
              <w:pStyle w:val="31"/>
              <w:bidi w:val="0"/>
              <w:jc w:val="center"/>
              <w:rPr>
                <w:rFonts w:hint="default"/>
                <w:u w:val="none"/>
                <w:lang w:val="en-US" w:eastAsia="zh-CN"/>
              </w:rPr>
            </w:pPr>
            <w:r>
              <w:rPr>
                <w:rFonts w:hint="eastAsia"/>
                <w:u w:val="none"/>
                <w:lang w:val="en-US" w:eastAsia="zh-CN"/>
              </w:rPr>
              <w:t>一级防备</w:t>
            </w:r>
          </w:p>
        </w:tc>
        <w:tc>
          <w:tcPr>
            <w:tcW w:w="1380" w:type="pct"/>
            <w:vAlign w:val="center"/>
          </w:tcPr>
          <w:p w14:paraId="10F9AC79">
            <w:pPr>
              <w:pStyle w:val="31"/>
              <w:bidi w:val="0"/>
              <w:jc w:val="center"/>
              <w:rPr>
                <w:rFonts w:hint="eastAsia"/>
                <w:u w:val="none"/>
                <w:lang w:val="en-US" w:eastAsia="zh-CN"/>
              </w:rPr>
            </w:pPr>
            <w:r>
              <w:rPr>
                <w:rFonts w:hint="eastAsia"/>
                <w:u w:val="none"/>
                <w:lang w:val="en-US" w:eastAsia="zh-CN"/>
              </w:rPr>
              <w:t>自有、联防或者</w:t>
            </w:r>
          </w:p>
          <w:p w14:paraId="2CEA1208">
            <w:pPr>
              <w:pStyle w:val="31"/>
              <w:bidi w:val="0"/>
              <w:jc w:val="center"/>
              <w:rPr>
                <w:rFonts w:hint="default"/>
                <w:u w:val="none"/>
                <w:lang w:val="en-US" w:eastAsia="zh-CN"/>
              </w:rPr>
            </w:pPr>
            <w:r>
              <w:rPr>
                <w:rFonts w:hint="eastAsia"/>
                <w:u w:val="none"/>
                <w:lang w:val="en-US" w:eastAsia="zh-CN"/>
              </w:rPr>
              <w:t>购买应急防备服务</w:t>
            </w:r>
          </w:p>
        </w:tc>
        <w:tc>
          <w:tcPr>
            <w:tcW w:w="1020" w:type="pct"/>
            <w:vAlign w:val="center"/>
          </w:tcPr>
          <w:p w14:paraId="1BA1E5FB">
            <w:pPr>
              <w:pStyle w:val="31"/>
              <w:bidi w:val="0"/>
              <w:jc w:val="center"/>
              <w:rPr>
                <w:rFonts w:hint="eastAsia"/>
                <w:u w:val="none"/>
                <w:lang w:val="en-US" w:eastAsia="zh-CN"/>
              </w:rPr>
            </w:pPr>
            <w:r>
              <w:rPr>
                <w:rFonts w:hint="eastAsia"/>
                <w:u w:val="none"/>
                <w:lang w:val="en-US" w:eastAsia="zh-CN"/>
              </w:rPr>
              <w:t>5%~10%</w:t>
            </w:r>
          </w:p>
          <w:p w14:paraId="789461C4">
            <w:pPr>
              <w:pStyle w:val="31"/>
              <w:bidi w:val="0"/>
              <w:jc w:val="center"/>
              <w:rPr>
                <w:rFonts w:hint="default"/>
                <w:u w:val="none"/>
                <w:vertAlign w:val="superscript"/>
                <w:lang w:val="en-US" w:eastAsia="zh-CN"/>
              </w:rPr>
            </w:pPr>
            <w:r>
              <w:rPr>
                <w:rFonts w:hint="eastAsia"/>
                <w:u w:val="none"/>
                <w:lang w:val="en-US" w:eastAsia="zh-CN"/>
              </w:rPr>
              <w:t>（含基本防备）</w:t>
            </w:r>
            <w:r>
              <w:rPr>
                <w:rFonts w:hint="eastAsia"/>
                <w:u w:val="none"/>
                <w:vertAlign w:val="superscript"/>
                <w:lang w:val="en-US" w:eastAsia="zh-CN"/>
              </w:rPr>
              <w:t>a</w:t>
            </w:r>
          </w:p>
        </w:tc>
        <w:tc>
          <w:tcPr>
            <w:tcW w:w="1053" w:type="pct"/>
            <w:vAlign w:val="center"/>
          </w:tcPr>
          <w:p w14:paraId="5E104B15">
            <w:pPr>
              <w:pStyle w:val="31"/>
              <w:bidi w:val="0"/>
              <w:jc w:val="center"/>
              <w:rPr>
                <w:rFonts w:hint="default"/>
                <w:u w:val="none"/>
                <w:lang w:val="en-US" w:eastAsia="zh-CN"/>
              </w:rPr>
            </w:pPr>
            <w:r>
              <w:rPr>
                <w:rFonts w:hint="eastAsia"/>
                <w:u w:val="none"/>
                <w:lang w:val="en-US" w:eastAsia="zh-CN"/>
              </w:rPr>
              <w:t>20%</w:t>
            </w:r>
          </w:p>
        </w:tc>
        <w:tc>
          <w:tcPr>
            <w:tcW w:w="975" w:type="pct"/>
            <w:vAlign w:val="center"/>
          </w:tcPr>
          <w:p w14:paraId="5D144037">
            <w:pPr>
              <w:pStyle w:val="31"/>
              <w:bidi w:val="0"/>
              <w:jc w:val="center"/>
              <w:rPr>
                <w:rFonts w:hint="default"/>
                <w:u w:val="none"/>
                <w:lang w:val="en-US" w:eastAsia="zh-CN"/>
              </w:rPr>
            </w:pPr>
            <w:r>
              <w:rPr>
                <w:rFonts w:hint="eastAsia"/>
                <w:u w:val="none"/>
                <w:lang w:val="en-US" w:eastAsia="zh-CN"/>
              </w:rPr>
              <w:t>4</w:t>
            </w:r>
          </w:p>
        </w:tc>
      </w:tr>
      <w:tr w14:paraId="0ADAB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70" w:type="pct"/>
            <w:vAlign w:val="center"/>
          </w:tcPr>
          <w:p w14:paraId="566C5BFB">
            <w:pPr>
              <w:pStyle w:val="31"/>
              <w:bidi w:val="0"/>
              <w:jc w:val="center"/>
              <w:rPr>
                <w:rFonts w:hint="default"/>
                <w:u w:val="none"/>
                <w:lang w:val="en-US" w:eastAsia="zh-CN"/>
              </w:rPr>
            </w:pPr>
            <w:r>
              <w:rPr>
                <w:rFonts w:hint="eastAsia"/>
                <w:u w:val="none"/>
                <w:lang w:val="en-US" w:eastAsia="zh-CN"/>
              </w:rPr>
              <w:t>二级防备</w:t>
            </w:r>
          </w:p>
        </w:tc>
        <w:tc>
          <w:tcPr>
            <w:tcW w:w="1380" w:type="pct"/>
            <w:vAlign w:val="center"/>
          </w:tcPr>
          <w:p w14:paraId="4F733035">
            <w:pPr>
              <w:pStyle w:val="31"/>
              <w:bidi w:val="0"/>
              <w:jc w:val="center"/>
              <w:rPr>
                <w:rFonts w:hint="eastAsia"/>
                <w:u w:val="none"/>
                <w:lang w:val="en-US" w:eastAsia="zh-CN"/>
              </w:rPr>
            </w:pPr>
            <w:r>
              <w:rPr>
                <w:rFonts w:hint="eastAsia"/>
                <w:u w:val="none"/>
                <w:lang w:val="en-US" w:eastAsia="zh-CN"/>
              </w:rPr>
              <w:t>与上一级应急预案衔接</w:t>
            </w:r>
          </w:p>
          <w:p w14:paraId="04C1A089">
            <w:pPr>
              <w:pStyle w:val="31"/>
              <w:bidi w:val="0"/>
              <w:jc w:val="center"/>
              <w:rPr>
                <w:rFonts w:hint="default"/>
                <w:u w:val="none"/>
                <w:lang w:val="en-US" w:eastAsia="zh-CN"/>
              </w:rPr>
            </w:pPr>
            <w:r>
              <w:rPr>
                <w:rFonts w:hint="eastAsia"/>
                <w:u w:val="none"/>
                <w:lang w:val="en-US" w:eastAsia="zh-CN"/>
              </w:rPr>
              <w:t>或区域联防安排</w:t>
            </w:r>
          </w:p>
        </w:tc>
        <w:tc>
          <w:tcPr>
            <w:tcW w:w="1020" w:type="pct"/>
            <w:vAlign w:val="center"/>
          </w:tcPr>
          <w:p w14:paraId="1E48A525">
            <w:pPr>
              <w:pStyle w:val="31"/>
              <w:bidi w:val="0"/>
              <w:jc w:val="center"/>
              <w:rPr>
                <w:rFonts w:hint="default"/>
                <w:u w:val="none"/>
                <w:lang w:val="en-US" w:eastAsia="zh-CN"/>
              </w:rPr>
            </w:pPr>
            <w:r>
              <w:rPr>
                <w:rFonts w:hint="eastAsia"/>
                <w:u w:val="none"/>
                <w:lang w:val="en-US" w:eastAsia="zh-CN"/>
              </w:rPr>
              <w:t>50%~60%</w:t>
            </w:r>
          </w:p>
        </w:tc>
        <w:tc>
          <w:tcPr>
            <w:tcW w:w="1053" w:type="pct"/>
            <w:vAlign w:val="center"/>
          </w:tcPr>
          <w:p w14:paraId="29266F87">
            <w:pPr>
              <w:pStyle w:val="31"/>
              <w:bidi w:val="0"/>
              <w:jc w:val="center"/>
              <w:rPr>
                <w:rFonts w:hint="default"/>
                <w:u w:val="none"/>
                <w:lang w:val="en-US" w:eastAsia="zh-CN"/>
              </w:rPr>
            </w:pPr>
            <w:r>
              <w:rPr>
                <w:rFonts w:hint="eastAsia"/>
                <w:u w:val="none"/>
                <w:lang w:val="en-US" w:eastAsia="zh-CN"/>
              </w:rPr>
              <w:t>/</w:t>
            </w:r>
          </w:p>
        </w:tc>
        <w:tc>
          <w:tcPr>
            <w:tcW w:w="975" w:type="pct"/>
            <w:vAlign w:val="center"/>
          </w:tcPr>
          <w:p w14:paraId="604D8BA5">
            <w:pPr>
              <w:pStyle w:val="31"/>
              <w:bidi w:val="0"/>
              <w:jc w:val="center"/>
              <w:rPr>
                <w:rFonts w:hint="default"/>
                <w:u w:val="none"/>
                <w:lang w:val="en-US" w:eastAsia="zh-CN"/>
              </w:rPr>
            </w:pPr>
            <w:r>
              <w:rPr>
                <w:rFonts w:hint="eastAsia"/>
                <w:u w:val="none"/>
                <w:lang w:val="en-US" w:eastAsia="zh-CN"/>
              </w:rPr>
              <w:t>24</w:t>
            </w:r>
          </w:p>
        </w:tc>
      </w:tr>
      <w:tr w14:paraId="29E4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70" w:type="pct"/>
            <w:vAlign w:val="center"/>
          </w:tcPr>
          <w:p w14:paraId="7EF7226D">
            <w:pPr>
              <w:pStyle w:val="31"/>
              <w:bidi w:val="0"/>
              <w:jc w:val="center"/>
              <w:rPr>
                <w:rFonts w:hint="default"/>
                <w:u w:val="none"/>
                <w:lang w:val="en-US" w:eastAsia="zh-CN"/>
              </w:rPr>
            </w:pPr>
            <w:r>
              <w:rPr>
                <w:rFonts w:hint="eastAsia"/>
                <w:u w:val="none"/>
                <w:lang w:val="en-US" w:eastAsia="zh-CN"/>
              </w:rPr>
              <w:t>三级防备</w:t>
            </w:r>
          </w:p>
        </w:tc>
        <w:tc>
          <w:tcPr>
            <w:tcW w:w="1380" w:type="pct"/>
            <w:vAlign w:val="center"/>
          </w:tcPr>
          <w:p w14:paraId="40544CC1">
            <w:pPr>
              <w:pStyle w:val="31"/>
              <w:bidi w:val="0"/>
              <w:jc w:val="center"/>
              <w:rPr>
                <w:rFonts w:hint="eastAsia"/>
                <w:u w:val="none"/>
                <w:lang w:val="en-US" w:eastAsia="zh-CN"/>
              </w:rPr>
            </w:pPr>
            <w:r>
              <w:rPr>
                <w:rFonts w:hint="eastAsia"/>
                <w:u w:val="none"/>
                <w:lang w:val="en-US" w:eastAsia="zh-CN"/>
              </w:rPr>
              <w:t>在应急预案中识别周边</w:t>
            </w:r>
          </w:p>
          <w:p w14:paraId="537FB59C">
            <w:pPr>
              <w:pStyle w:val="31"/>
              <w:bidi w:val="0"/>
              <w:jc w:val="center"/>
              <w:rPr>
                <w:rFonts w:hint="default"/>
                <w:u w:val="none"/>
                <w:lang w:val="en-US" w:eastAsia="zh-CN"/>
              </w:rPr>
            </w:pPr>
            <w:r>
              <w:rPr>
                <w:rFonts w:hint="eastAsia"/>
                <w:u w:val="none"/>
                <w:lang w:val="en-US" w:eastAsia="zh-CN"/>
              </w:rPr>
              <w:t>可协调的应急资源</w:t>
            </w:r>
          </w:p>
        </w:tc>
        <w:tc>
          <w:tcPr>
            <w:tcW w:w="1020" w:type="pct"/>
            <w:vAlign w:val="center"/>
          </w:tcPr>
          <w:p w14:paraId="59162C6B">
            <w:pPr>
              <w:pStyle w:val="31"/>
              <w:bidi w:val="0"/>
              <w:jc w:val="center"/>
              <w:rPr>
                <w:rFonts w:hint="default"/>
                <w:u w:val="none"/>
                <w:lang w:val="en-US" w:eastAsia="zh-CN"/>
              </w:rPr>
            </w:pPr>
            <w:r>
              <w:rPr>
                <w:rFonts w:hint="eastAsia"/>
                <w:u w:val="none"/>
                <w:lang w:val="en-US" w:eastAsia="zh-CN"/>
              </w:rPr>
              <w:t>40%~50%</w:t>
            </w:r>
          </w:p>
        </w:tc>
        <w:tc>
          <w:tcPr>
            <w:tcW w:w="1053" w:type="pct"/>
            <w:vAlign w:val="center"/>
          </w:tcPr>
          <w:p w14:paraId="43F3F61C">
            <w:pPr>
              <w:pStyle w:val="31"/>
              <w:bidi w:val="0"/>
              <w:jc w:val="center"/>
              <w:rPr>
                <w:rFonts w:hint="default"/>
                <w:u w:val="none"/>
                <w:lang w:val="en-US" w:eastAsia="zh-CN"/>
              </w:rPr>
            </w:pPr>
            <w:r>
              <w:rPr>
                <w:rFonts w:hint="eastAsia"/>
                <w:u w:val="none"/>
                <w:lang w:val="en-US" w:eastAsia="zh-CN"/>
              </w:rPr>
              <w:t>/</w:t>
            </w:r>
          </w:p>
        </w:tc>
        <w:tc>
          <w:tcPr>
            <w:tcW w:w="975" w:type="pct"/>
            <w:vAlign w:val="center"/>
          </w:tcPr>
          <w:p w14:paraId="10A3B044">
            <w:pPr>
              <w:pStyle w:val="31"/>
              <w:bidi w:val="0"/>
              <w:jc w:val="center"/>
              <w:rPr>
                <w:rFonts w:hint="default"/>
                <w:u w:val="none"/>
                <w:lang w:val="en-US" w:eastAsia="zh-CN"/>
              </w:rPr>
            </w:pPr>
            <w:r>
              <w:rPr>
                <w:rFonts w:hint="eastAsia"/>
                <w:u w:val="none"/>
                <w:lang w:val="en-US" w:eastAsia="zh-CN"/>
              </w:rPr>
              <w:t>48</w:t>
            </w:r>
          </w:p>
        </w:tc>
      </w:tr>
      <w:tr w14:paraId="41A7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5000" w:type="pct"/>
            <w:gridSpan w:val="5"/>
            <w:vAlign w:val="center"/>
          </w:tcPr>
          <w:p w14:paraId="66665084">
            <w:pPr>
              <w:pStyle w:val="31"/>
              <w:bidi w:val="0"/>
              <w:jc w:val="both"/>
              <w:rPr>
                <w:rFonts w:hint="eastAsia"/>
                <w:u w:val="none"/>
                <w:lang w:val="en-US" w:eastAsia="zh-CN"/>
              </w:rPr>
            </w:pPr>
            <w:r>
              <w:rPr>
                <w:rFonts w:hint="eastAsia"/>
                <w:u w:val="none"/>
                <w:lang w:val="en-US" w:eastAsia="zh-CN"/>
              </w:rPr>
              <w:t>注a：根据风险大小和周边区域现有水上污染事故应急防备能力情况在此区间取值，风险低</w:t>
            </w:r>
          </w:p>
          <w:p w14:paraId="1A2BE630">
            <w:pPr>
              <w:pStyle w:val="31"/>
              <w:bidi w:val="0"/>
              <w:jc w:val="both"/>
              <w:rPr>
                <w:rFonts w:hint="eastAsia"/>
                <w:u w:val="none"/>
                <w:lang w:val="en-US" w:eastAsia="zh-CN"/>
              </w:rPr>
            </w:pPr>
            <w:r>
              <w:rPr>
                <w:rFonts w:hint="eastAsia"/>
                <w:u w:val="none"/>
                <w:lang w:val="en-US" w:eastAsia="zh-CN"/>
              </w:rPr>
              <w:t>或现有能力强的,取低值；风险高或现有能力弱的，取高值；采用联防,购买服务方式满足一</w:t>
            </w:r>
          </w:p>
          <w:p w14:paraId="45F96678">
            <w:pPr>
              <w:pStyle w:val="31"/>
              <w:bidi w:val="0"/>
              <w:jc w:val="both"/>
              <w:rPr>
                <w:rFonts w:hint="eastAsia"/>
                <w:u w:val="none"/>
                <w:lang w:val="en-US" w:eastAsia="zh-CN"/>
              </w:rPr>
            </w:pPr>
            <w:r>
              <w:rPr>
                <w:rFonts w:hint="eastAsia"/>
                <w:u w:val="none"/>
                <w:lang w:val="en-US" w:eastAsia="zh-CN"/>
              </w:rPr>
              <w:t>级防备要求的,取高值；三个防备等级的应急能力之和不小于100%。</w:t>
            </w:r>
          </w:p>
          <w:p w14:paraId="6D4DC197">
            <w:pPr>
              <w:pStyle w:val="31"/>
              <w:bidi w:val="0"/>
              <w:jc w:val="both"/>
              <w:rPr>
                <w:rFonts w:hint="eastAsia"/>
                <w:u w:val="none"/>
                <w:lang w:val="en-US" w:eastAsia="zh-CN"/>
              </w:rPr>
            </w:pPr>
            <w:r>
              <w:rPr>
                <w:rFonts w:hint="eastAsia"/>
                <w:u w:val="none"/>
                <w:lang w:val="en-US" w:eastAsia="zh-CN"/>
              </w:rPr>
              <w:t>注b：指在配备的应急设施、设备和物资中,可用于浅水和岸线清污作业的数量或回收清除能</w:t>
            </w:r>
          </w:p>
          <w:p w14:paraId="09A9E825">
            <w:pPr>
              <w:pStyle w:val="31"/>
              <w:bidi w:val="0"/>
              <w:jc w:val="both"/>
              <w:rPr>
                <w:rFonts w:hint="eastAsia"/>
                <w:u w:val="none"/>
                <w:lang w:val="en-US" w:eastAsia="zh-CN"/>
              </w:rPr>
            </w:pPr>
            <w:r>
              <w:rPr>
                <w:rFonts w:hint="eastAsia"/>
                <w:u w:val="none"/>
                <w:lang w:val="en-US" w:eastAsia="zh-CN"/>
              </w:rPr>
              <w:t>力占比。</w:t>
            </w:r>
          </w:p>
        </w:tc>
      </w:tr>
    </w:tbl>
    <w:p w14:paraId="769C872D">
      <w:pPr>
        <w:pStyle w:val="21"/>
        <w:rPr>
          <w:rFonts w:hint="default"/>
          <w:u w:val="none"/>
          <w:lang w:val="en-US" w:eastAsia="zh-CN"/>
        </w:rPr>
      </w:pPr>
      <w:r>
        <w:rPr>
          <w:rFonts w:hint="eastAsia"/>
          <w:u w:val="none"/>
          <w:lang w:val="en-US" w:eastAsia="zh-CN"/>
        </w:rPr>
        <w:t>（6）</w:t>
      </w:r>
      <w:r>
        <w:rPr>
          <w:rFonts w:hint="default"/>
          <w:u w:val="none"/>
          <w:lang w:val="en-US" w:eastAsia="zh-CN"/>
        </w:rPr>
        <w:t>通过联防满足应急防备能力要求的,同一港口的相邻,相近码头、装卸站宜根据风险评估得出的各自的风险比重,确定应承担的应急防备比例。</w:t>
      </w:r>
    </w:p>
    <w:p w14:paraId="48D18F90">
      <w:pPr>
        <w:pStyle w:val="21"/>
        <w:rPr>
          <w:rFonts w:hint="default"/>
          <w:u w:val="none"/>
          <w:lang w:val="en-US" w:eastAsia="zh-CN"/>
        </w:rPr>
      </w:pPr>
      <w:r>
        <w:rPr>
          <w:rFonts w:hint="eastAsia"/>
          <w:u w:val="none"/>
          <w:lang w:val="en-US" w:eastAsia="zh-CN"/>
        </w:rPr>
        <w:t>（7）</w:t>
      </w:r>
      <w:r>
        <w:rPr>
          <w:rFonts w:hint="default"/>
          <w:u w:val="none"/>
          <w:lang w:val="en-US" w:eastAsia="zh-CN"/>
        </w:rPr>
        <w:t>码头、装卸站通过购买服务满足应急防备能力要求的,提供服务的应急单位的应急资源应当满足表1中一级防备能力和反应时间要求。一个港湾或单一港口的应急单位为多个码头、装卸站提供服务的,应当满足4.4的要求。</w:t>
      </w:r>
    </w:p>
    <w:p w14:paraId="295FE06E">
      <w:pPr>
        <w:pStyle w:val="21"/>
        <w:rPr>
          <w:rFonts w:hint="default"/>
          <w:u w:val="none"/>
          <w:lang w:val="en-US" w:eastAsia="zh-CN"/>
        </w:rPr>
      </w:pPr>
      <w:r>
        <w:rPr>
          <w:rFonts w:hint="eastAsia"/>
          <w:u w:val="none"/>
          <w:lang w:val="en-US" w:eastAsia="zh-CN"/>
        </w:rPr>
        <w:t>（8）</w:t>
      </w:r>
      <w:r>
        <w:rPr>
          <w:rFonts w:hint="default"/>
          <w:u w:val="none"/>
          <w:lang w:val="en-US" w:eastAsia="zh-CN"/>
        </w:rPr>
        <w:t>从事类油物质货物作业的港口、码头、装站,按照表1执行;从事其他具有漂浮特性的散装液体污染危害性货物的港口、码头、装卸站可参照表1确定应急防备目标。</w:t>
      </w:r>
    </w:p>
    <w:p w14:paraId="39265EBA">
      <w:pPr>
        <w:pStyle w:val="21"/>
        <w:rPr>
          <w:rFonts w:hint="eastAsia"/>
          <w:u w:val="none"/>
          <w:lang w:val="en-US" w:eastAsia="zh-CN"/>
        </w:rPr>
      </w:pPr>
      <w:r>
        <w:rPr>
          <w:rFonts w:hint="eastAsia"/>
          <w:u w:val="none"/>
          <w:lang w:val="en-US" w:eastAsia="zh-CN"/>
        </w:rPr>
        <w:t>2、应急设施、设备和物资配备要求</w:t>
      </w:r>
    </w:p>
    <w:p w14:paraId="220E3907">
      <w:pPr>
        <w:pStyle w:val="21"/>
        <w:rPr>
          <w:rFonts w:hint="default"/>
          <w:u w:val="none"/>
          <w:lang w:val="en-US" w:eastAsia="zh-CN"/>
        </w:rPr>
      </w:pPr>
      <w:r>
        <w:rPr>
          <w:rFonts w:hint="eastAsia"/>
          <w:u w:val="none"/>
          <w:lang w:val="en-US" w:eastAsia="zh-CN"/>
        </w:rPr>
        <w:t>（1）</w:t>
      </w:r>
      <w:r>
        <w:rPr>
          <w:rFonts w:hint="default"/>
          <w:u w:val="none"/>
          <w:lang w:val="en-US" w:eastAsia="zh-CN"/>
        </w:rPr>
        <w:t>新、改、扩建码头,装卸站确定水上溢油应急防备能力目标后,按照JT/T877分别计算需要配备的污染源控制、围控与防护、回收与清除、监视监测及预警等应急设施设备和物资的种类及数量。</w:t>
      </w:r>
    </w:p>
    <w:p w14:paraId="549B6017">
      <w:pPr>
        <w:pStyle w:val="21"/>
        <w:rPr>
          <w:rFonts w:hint="default"/>
          <w:u w:val="none"/>
          <w:lang w:val="en-US" w:eastAsia="zh-CN"/>
        </w:rPr>
      </w:pPr>
      <w:r>
        <w:rPr>
          <w:rFonts w:hint="eastAsia"/>
          <w:u w:val="none"/>
          <w:lang w:val="en-US" w:eastAsia="zh-CN"/>
        </w:rPr>
        <w:t>（2）</w:t>
      </w:r>
      <w:r>
        <w:rPr>
          <w:rFonts w:hint="default"/>
          <w:u w:val="none"/>
          <w:lang w:val="en-US" w:eastAsia="zh-CN"/>
        </w:rPr>
        <w:t>现有码头、装卸站可按照表2~表5要求配备水上溢油应急设施、设备和物资</w:t>
      </w:r>
      <w:r>
        <w:rPr>
          <w:rFonts w:hint="eastAsia"/>
          <w:u w:val="none"/>
          <w:lang w:val="en-US" w:eastAsia="zh-CN"/>
        </w:rPr>
        <w:t>，</w:t>
      </w:r>
      <w:r>
        <w:rPr>
          <w:rFonts w:hint="default"/>
          <w:u w:val="none"/>
          <w:lang w:val="en-US" w:eastAsia="zh-CN"/>
        </w:rPr>
        <w:t>也可基于风险评估结果,按照新、改、扩建码头的要求配备水上溢油应急设施、设备和物资。</w:t>
      </w:r>
    </w:p>
    <w:p w14:paraId="2FFEE169">
      <w:pPr>
        <w:pStyle w:val="21"/>
        <w:rPr>
          <w:rFonts w:hint="default"/>
          <w:u w:val="none"/>
          <w:lang w:val="en-US" w:eastAsia="zh-CN"/>
        </w:rPr>
      </w:pPr>
      <w:r>
        <w:rPr>
          <w:rFonts w:hint="eastAsia"/>
          <w:u w:val="none"/>
          <w:lang w:val="en-US" w:eastAsia="zh-CN"/>
        </w:rPr>
        <w:t>（3）</w:t>
      </w:r>
      <w:r>
        <w:rPr>
          <w:rFonts w:hint="default"/>
          <w:u w:val="none"/>
          <w:lang w:val="en-US" w:eastAsia="zh-CN"/>
        </w:rPr>
        <w:t>散装液体污染危害性货物码头、装卸站应按照</w:t>
      </w:r>
      <w:r>
        <w:rPr>
          <w:rFonts w:hint="eastAsia"/>
          <w:u w:val="none"/>
          <w:lang w:val="en-US" w:eastAsia="zh-CN"/>
        </w:rPr>
        <w:t>上述</w:t>
      </w:r>
      <w:r>
        <w:rPr>
          <w:rFonts w:hint="default"/>
          <w:u w:val="none"/>
          <w:lang w:val="en-US" w:eastAsia="zh-CN"/>
        </w:rPr>
        <w:t>要求配备溢油应急设施、设备和物资</w:t>
      </w:r>
      <w:r>
        <w:rPr>
          <w:rFonts w:hint="eastAsia"/>
          <w:u w:val="none"/>
          <w:lang w:val="en-US" w:eastAsia="zh-CN"/>
        </w:rPr>
        <w:t>，</w:t>
      </w:r>
      <w:r>
        <w:rPr>
          <w:rFonts w:hint="default"/>
          <w:u w:val="none"/>
          <w:lang w:val="en-US" w:eastAsia="zh-CN"/>
        </w:rPr>
        <w:t>并按照表6配备污染危害性货物泄漏事故应急设施、设备和物资。溢油应急和污染危害性货物泄漏事故应急设施、设备和物资可兼用的,可不重复配备。</w:t>
      </w:r>
    </w:p>
    <w:p w14:paraId="44FB191A">
      <w:pPr>
        <w:pStyle w:val="21"/>
        <w:rPr>
          <w:rFonts w:hint="default"/>
          <w:u w:val="none"/>
          <w:lang w:val="en-US" w:eastAsia="zh-CN"/>
        </w:rPr>
      </w:pPr>
      <w:r>
        <w:rPr>
          <w:rFonts w:hint="eastAsia"/>
          <w:u w:val="none"/>
          <w:lang w:val="en-US" w:eastAsia="zh-CN"/>
        </w:rPr>
        <w:t>（4）</w:t>
      </w:r>
      <w:r>
        <w:rPr>
          <w:rFonts w:hint="default"/>
          <w:u w:val="none"/>
          <w:lang w:val="en-US" w:eastAsia="zh-CN"/>
        </w:rPr>
        <w:t>码头、装卸站可通过自行配置、联防等方式,按照表7的要求配置水上污染事故基本应急防备设备和物资:基本应急防备设备和物资应能在接到应急反应通知后1h内到达码头前沿水域事故现场。基本应急防备能力计人码头、装卸站一级防备能力要求。</w:t>
      </w:r>
    </w:p>
    <w:p w14:paraId="217EABF9">
      <w:pPr>
        <w:pStyle w:val="21"/>
        <w:rPr>
          <w:rFonts w:hint="default"/>
          <w:u w:val="none"/>
          <w:lang w:val="en-US" w:eastAsia="zh-CN"/>
        </w:rPr>
      </w:pPr>
      <w:r>
        <w:rPr>
          <w:rFonts w:hint="eastAsia"/>
          <w:u w:val="none"/>
          <w:lang w:val="en-US" w:eastAsia="zh-CN"/>
        </w:rPr>
        <w:t>（5）</w:t>
      </w:r>
      <w:r>
        <w:rPr>
          <w:rFonts w:hint="default"/>
          <w:u w:val="none"/>
          <w:lang w:val="en-US" w:eastAsia="zh-CN"/>
        </w:rPr>
        <w:t>内河5000吨级、沿海50000吨级以上从事油类及类油物质货物作业的码头、装卸站,应当至少配置或租用一艘溢油应急处置船。在4h的反应时间内,相邻或相近的码头、装卸站可共建或共用一艘溢油应急处置船。一个港口应至少配备一艘具有现场应急指挥功能的溢油应急处置船。溢油应急处置船可兼作他用,但应当在其设定的应急防备区域内值守。</w:t>
      </w:r>
    </w:p>
    <w:p w14:paraId="31F4C46D">
      <w:pPr>
        <w:pStyle w:val="21"/>
        <w:rPr>
          <w:rFonts w:hint="default"/>
          <w:u w:val="none"/>
          <w:lang w:val="en-US" w:eastAsia="zh-CN"/>
        </w:rPr>
      </w:pPr>
      <w:r>
        <w:rPr>
          <w:rFonts w:hint="eastAsia"/>
          <w:u w:val="none"/>
          <w:lang w:val="en-US" w:eastAsia="zh-CN"/>
        </w:rPr>
        <w:t>（6）</w:t>
      </w:r>
      <w:r>
        <w:rPr>
          <w:rFonts w:hint="default"/>
          <w:u w:val="none"/>
          <w:lang w:val="en-US" w:eastAsia="zh-CN"/>
        </w:rPr>
        <w:t>溢油应急处置船的回收舱容和收油能力应至少满足表2和表3的配置要求,以及JT/T1144的要求,4h 可到达水域范围内的航行区域要求。溢油应急处置船的各项应急能力计入相应的溢油应急能力要求。</w:t>
      </w:r>
    </w:p>
    <w:p w14:paraId="07CD5884">
      <w:pPr>
        <w:pStyle w:val="21"/>
        <w:rPr>
          <w:rFonts w:hint="default"/>
          <w:u w:val="none"/>
          <w:lang w:val="en-US" w:eastAsia="zh-CN"/>
        </w:rPr>
      </w:pPr>
      <w:r>
        <w:rPr>
          <w:rFonts w:hint="eastAsia"/>
          <w:u w:val="none"/>
          <w:lang w:val="en-US" w:eastAsia="zh-CN"/>
        </w:rPr>
        <w:t>（7）</w:t>
      </w:r>
      <w:r>
        <w:rPr>
          <w:rFonts w:hint="default"/>
          <w:u w:val="none"/>
          <w:lang w:val="en-US" w:eastAsia="zh-CN"/>
        </w:rPr>
        <w:t>码头、装卸站应按照JIS149-1要求设置水上油品及其他散装液体污染危害性货物泄漏监视监测报警装置。</w:t>
      </w:r>
    </w:p>
    <w:p w14:paraId="1D02AC6B">
      <w:pPr>
        <w:pStyle w:val="21"/>
        <w:rPr>
          <w:rFonts w:hint="default"/>
          <w:u w:val="none"/>
          <w:lang w:val="en-US" w:eastAsia="zh-CN"/>
        </w:rPr>
      </w:pPr>
      <w:r>
        <w:rPr>
          <w:rFonts w:hint="eastAsia"/>
          <w:u w:val="none"/>
          <w:lang w:val="en-US" w:eastAsia="zh-CN"/>
        </w:rPr>
        <w:t>（8）</w:t>
      </w:r>
      <w:r>
        <w:rPr>
          <w:rFonts w:hint="default"/>
          <w:u w:val="none"/>
          <w:lang w:val="en-US" w:eastAsia="zh-CN"/>
        </w:rPr>
        <w:t>港口、码头、装卸站配备的水上污染事故应急设备和物资选型应与污染风险及其使用条件相适应,符合国家现行标准规定的技术要求。港口、码头、装卸站应优先选择技术先进、节能高效、便于操作的应急产品。港口、码头、装卸站水上污染事故应急设施、设备和物资发生损坏或消耗后,应及时补充更新。</w:t>
      </w:r>
    </w:p>
    <w:p w14:paraId="359A861A">
      <w:pPr>
        <w:pStyle w:val="21"/>
        <w:rPr>
          <w:rFonts w:hint="eastAsia"/>
          <w:u w:val="none"/>
          <w:lang w:val="en-US" w:eastAsia="zh-CN"/>
        </w:rPr>
      </w:pPr>
      <w:r>
        <w:rPr>
          <w:rFonts w:hint="eastAsia"/>
          <w:u w:val="none"/>
          <w:lang w:val="en-US" w:eastAsia="zh-CN"/>
        </w:rPr>
        <w:t>3、配套设施、设备要求</w:t>
      </w:r>
    </w:p>
    <w:p w14:paraId="5988897D">
      <w:pPr>
        <w:pStyle w:val="21"/>
        <w:rPr>
          <w:rFonts w:hint="default"/>
          <w:u w:val="none"/>
          <w:lang w:val="en-US" w:eastAsia="zh-CN"/>
        </w:rPr>
      </w:pPr>
      <w:r>
        <w:rPr>
          <w:rFonts w:hint="eastAsia"/>
          <w:u w:val="none"/>
          <w:lang w:val="en-US" w:eastAsia="zh-CN"/>
        </w:rPr>
        <w:t>（1）</w:t>
      </w:r>
      <w:r>
        <w:rPr>
          <w:rFonts w:hint="default"/>
          <w:u w:val="none"/>
          <w:lang w:val="en-US" w:eastAsia="zh-CN"/>
        </w:rPr>
        <w:t>港口、码头应当配套建设水上污染事故应急设备库。码头之间可通过联防的方式共用应急设备库。</w:t>
      </w:r>
    </w:p>
    <w:p w14:paraId="75C8ACB3">
      <w:pPr>
        <w:pStyle w:val="21"/>
        <w:rPr>
          <w:rFonts w:hint="default"/>
          <w:u w:val="none"/>
          <w:lang w:val="en-US" w:eastAsia="zh-CN"/>
        </w:rPr>
      </w:pPr>
      <w:r>
        <w:rPr>
          <w:rFonts w:hint="eastAsia"/>
          <w:u w:val="none"/>
          <w:lang w:val="en-US" w:eastAsia="zh-CN"/>
        </w:rPr>
        <w:t>（2）</w:t>
      </w:r>
      <w:r>
        <w:rPr>
          <w:rFonts w:hint="default"/>
          <w:u w:val="none"/>
          <w:lang w:val="en-US" w:eastAsia="zh-CN"/>
        </w:rPr>
        <w:t>新、改、扩建应急设备库要求如下:</w:t>
      </w:r>
    </w:p>
    <w:p w14:paraId="7E807B25">
      <w:pPr>
        <w:pStyle w:val="21"/>
        <w:rPr>
          <w:rFonts w:hint="default"/>
          <w:u w:val="none"/>
          <w:lang w:val="en-US" w:eastAsia="zh-CN"/>
        </w:rPr>
      </w:pPr>
      <w:r>
        <w:rPr>
          <w:rFonts w:hint="default"/>
          <w:u w:val="none"/>
          <w:lang w:val="en-US" w:eastAsia="zh-CN"/>
        </w:rPr>
        <w:t>a</w:t>
      </w:r>
      <w:r>
        <w:rPr>
          <w:rFonts w:hint="eastAsia"/>
          <w:u w:val="none"/>
          <w:lang w:val="en-US" w:eastAsia="zh-CN"/>
        </w:rPr>
        <w:t>）</w:t>
      </w:r>
      <w:r>
        <w:rPr>
          <w:rFonts w:hint="default"/>
          <w:u w:val="none"/>
          <w:lang w:val="en-US" w:eastAsia="zh-CN"/>
        </w:rPr>
        <w:t>应急设备库选址应满足表1中一级防备的应急反应时间要求。沿海同一港口的不同港区较远</w:t>
      </w:r>
      <w:r>
        <w:rPr>
          <w:rFonts w:hint="eastAsia"/>
          <w:u w:val="none"/>
          <w:lang w:val="en-US" w:eastAsia="zh-CN"/>
        </w:rPr>
        <w:t>的，</w:t>
      </w:r>
      <w:r>
        <w:rPr>
          <w:rFonts w:hint="default"/>
          <w:u w:val="none"/>
          <w:lang w:val="en-US" w:eastAsia="zh-CN"/>
        </w:rPr>
        <w:t>应分别配套应急设备库。内河港口、码头宜建设浮式应急设备库,内河上、下游相邻港口距离较近的,上游可与下游港口共建应急设备库。</w:t>
      </w:r>
    </w:p>
    <w:p w14:paraId="593D0C73">
      <w:pPr>
        <w:pStyle w:val="21"/>
        <w:rPr>
          <w:rFonts w:hint="default"/>
          <w:u w:val="none"/>
          <w:lang w:val="en-US" w:eastAsia="zh-CN"/>
        </w:rPr>
      </w:pPr>
      <w:r>
        <w:rPr>
          <w:rFonts w:hint="eastAsia"/>
          <w:u w:val="none"/>
          <w:lang w:val="en-US" w:eastAsia="zh-CN"/>
        </w:rPr>
        <w:t>b）</w:t>
      </w:r>
      <w:r>
        <w:rPr>
          <w:rFonts w:hint="default"/>
          <w:u w:val="none"/>
          <w:lang w:val="en-US" w:eastAsia="zh-CN"/>
        </w:rPr>
        <w:t>应急设备库应靠近码头,水陆交通便利,便于快速用于水上作业:基本应急防备的主要设备和物资宜置于码头前沿陆域的适当场所。</w:t>
      </w:r>
    </w:p>
    <w:p w14:paraId="7A33B12E">
      <w:pPr>
        <w:pStyle w:val="21"/>
        <w:rPr>
          <w:rFonts w:hint="default"/>
          <w:u w:val="none"/>
          <w:lang w:val="en-US" w:eastAsia="zh-CN"/>
        </w:rPr>
      </w:pPr>
      <w:r>
        <w:rPr>
          <w:rFonts w:hint="eastAsia"/>
          <w:u w:val="none"/>
          <w:lang w:val="en-US" w:eastAsia="zh-CN"/>
        </w:rPr>
        <w:t>c）</w:t>
      </w:r>
      <w:r>
        <w:rPr>
          <w:rFonts w:hint="default"/>
          <w:u w:val="none"/>
          <w:lang w:val="en-US" w:eastAsia="zh-CN"/>
        </w:rPr>
        <w:t>应急设备库的结构和布置应满足配备的应急设备、物资的储存及快速应急要求</w:t>
      </w:r>
      <w:r>
        <w:rPr>
          <w:rFonts w:hint="eastAsia"/>
          <w:u w:val="none"/>
          <w:lang w:val="en-US" w:eastAsia="zh-CN"/>
        </w:rPr>
        <w:t>，</w:t>
      </w:r>
      <w:r>
        <w:rPr>
          <w:rFonts w:hint="default"/>
          <w:u w:val="none"/>
          <w:lang w:val="en-US" w:eastAsia="zh-CN"/>
        </w:rPr>
        <w:t>具有良好的通风、散热、去湿、防潮、隔热等功能:设备和物资宜撬装储存</w:t>
      </w:r>
      <w:r>
        <w:rPr>
          <w:rFonts w:hint="eastAsia"/>
          <w:u w:val="none"/>
          <w:lang w:val="en-US" w:eastAsia="zh-CN"/>
        </w:rPr>
        <w:t>，</w:t>
      </w:r>
      <w:r>
        <w:rPr>
          <w:rFonts w:hint="default"/>
          <w:u w:val="none"/>
          <w:lang w:val="en-US" w:eastAsia="zh-CN"/>
        </w:rPr>
        <w:t>建筑面积可按照表8确定。</w:t>
      </w:r>
    </w:p>
    <w:p w14:paraId="65CC8B65">
      <w:pPr>
        <w:pStyle w:val="21"/>
        <w:rPr>
          <w:rFonts w:hint="default"/>
          <w:u w:val="none"/>
          <w:lang w:val="en-US" w:eastAsia="zh-CN"/>
        </w:rPr>
      </w:pPr>
      <w:r>
        <w:rPr>
          <w:rFonts w:hint="eastAsia"/>
          <w:u w:val="none"/>
          <w:lang w:val="en-US" w:eastAsia="zh-CN"/>
        </w:rPr>
        <w:t>d）</w:t>
      </w:r>
      <w:r>
        <w:rPr>
          <w:rFonts w:hint="default"/>
          <w:u w:val="none"/>
          <w:lang w:val="en-US" w:eastAsia="zh-CN"/>
        </w:rPr>
        <w:t>应急设备库应配套与应急设备的重量、外形和体积相匹配的起吊设备。</w:t>
      </w:r>
    </w:p>
    <w:p w14:paraId="405BDD49">
      <w:pPr>
        <w:pStyle w:val="21"/>
        <w:rPr>
          <w:rFonts w:hint="eastAsia"/>
          <w:u w:val="none"/>
          <w:lang w:val="en-US" w:eastAsia="zh-CN"/>
        </w:rPr>
      </w:pPr>
      <w:r>
        <w:rPr>
          <w:rFonts w:hint="eastAsia"/>
          <w:u w:val="none"/>
          <w:lang w:val="en-US" w:eastAsia="zh-CN"/>
        </w:rPr>
        <w:t>4、应急管理要求</w:t>
      </w:r>
    </w:p>
    <w:p w14:paraId="1A5B6039">
      <w:pPr>
        <w:pStyle w:val="21"/>
        <w:rPr>
          <w:rFonts w:hint="default"/>
          <w:u w:val="none"/>
          <w:lang w:val="en-US" w:eastAsia="zh-CN"/>
        </w:rPr>
      </w:pPr>
      <w:r>
        <w:rPr>
          <w:rFonts w:hint="eastAsia"/>
          <w:u w:val="none"/>
          <w:lang w:val="en-US" w:eastAsia="zh-CN"/>
        </w:rPr>
        <w:t>（1）</w:t>
      </w:r>
      <w:r>
        <w:rPr>
          <w:rFonts w:hint="default"/>
          <w:u w:val="none"/>
          <w:lang w:val="en-US" w:eastAsia="zh-CN"/>
        </w:rPr>
        <w:t>港口、码头、装卸站应制订水上污染事故应急预案,定期开展应急培训和应急演练。</w:t>
      </w:r>
    </w:p>
    <w:p w14:paraId="1A8EE41D">
      <w:pPr>
        <w:pStyle w:val="21"/>
        <w:rPr>
          <w:rFonts w:hint="default"/>
          <w:u w:val="none"/>
          <w:lang w:val="en-US" w:eastAsia="zh-CN"/>
        </w:rPr>
      </w:pPr>
      <w:r>
        <w:rPr>
          <w:rFonts w:hint="eastAsia"/>
          <w:u w:val="none"/>
          <w:lang w:val="en-US" w:eastAsia="zh-CN"/>
        </w:rPr>
        <w:t>（2）</w:t>
      </w:r>
      <w:r>
        <w:rPr>
          <w:rFonts w:hint="default"/>
          <w:u w:val="none"/>
          <w:lang w:val="en-US" w:eastAsia="zh-CN"/>
        </w:rPr>
        <w:t>港口、码头、装卸站应配备专职或兼职的应急人员,应急人员应熟悉使用基本防备要求的设备和物资。通过联防、购买服务方式满足应急防备能力要求的,应在应急预案中列明联防机构或受委托的应急单位应急人员的配备情况。</w:t>
      </w:r>
    </w:p>
    <w:p w14:paraId="5FC9D14A">
      <w:pPr>
        <w:pStyle w:val="21"/>
        <w:rPr>
          <w:rFonts w:hint="default"/>
          <w:u w:val="none"/>
          <w:lang w:val="en-US" w:eastAsia="zh-CN"/>
        </w:rPr>
      </w:pPr>
      <w:r>
        <w:rPr>
          <w:rFonts w:hint="eastAsia"/>
          <w:u w:val="none"/>
          <w:lang w:val="en-US" w:eastAsia="zh-CN"/>
        </w:rPr>
        <w:t>（3）</w:t>
      </w:r>
      <w:r>
        <w:rPr>
          <w:rFonts w:hint="default"/>
          <w:u w:val="none"/>
          <w:lang w:val="en-US" w:eastAsia="zh-CN"/>
        </w:rPr>
        <w:t>港口、码头、装卸站应定期对溢油应急设备设施进行维护、保养,确保其在应急处置行动中的正常使用。</w:t>
      </w:r>
    </w:p>
    <w:p w14:paraId="32E4A14C">
      <w:pPr>
        <w:pStyle w:val="21"/>
        <w:rPr>
          <w:rFonts w:hint="default"/>
          <w:u w:val="none"/>
          <w:lang w:val="en-US" w:eastAsia="zh-CN"/>
        </w:rPr>
      </w:pPr>
      <w:r>
        <w:rPr>
          <w:rFonts w:hint="eastAsia"/>
          <w:u w:val="none"/>
          <w:lang w:val="en-US" w:eastAsia="zh-CN"/>
        </w:rPr>
        <w:t>（4）</w:t>
      </w:r>
      <w:r>
        <w:rPr>
          <w:rFonts w:hint="default"/>
          <w:u w:val="none"/>
          <w:lang w:val="en-US" w:eastAsia="zh-CN"/>
        </w:rPr>
        <w:t>同一港口或同一港区、作业区的码头、装卸站,宜参加或建立联防机构。联防机构各成员之间应有合作协议、应急联动预案以及联动指挥调度系统。</w:t>
      </w:r>
    </w:p>
    <w:p w14:paraId="0AD8094A">
      <w:pPr>
        <w:pStyle w:val="21"/>
        <w:rPr>
          <w:rFonts w:hint="default"/>
          <w:u w:val="none"/>
          <w:lang w:val="en-US" w:eastAsia="zh-CN"/>
        </w:rPr>
      </w:pPr>
      <w:r>
        <w:rPr>
          <w:rFonts w:hint="eastAsia"/>
          <w:u w:val="none"/>
          <w:lang w:val="en-US" w:eastAsia="zh-CN"/>
        </w:rPr>
        <w:t>（5）</w:t>
      </w:r>
      <w:r>
        <w:rPr>
          <w:rFonts w:hint="default"/>
          <w:u w:val="none"/>
          <w:lang w:val="en-US" w:eastAsia="zh-CN"/>
        </w:rPr>
        <w:t>港口、码头、装卸站通过购买服务方式满足应急防备能力要求的,应按照JT/T877对提供应急防备服务的单位的应急防备能力进行评估;船舶污染清除单位提供应急防备服务的,不应影响其为船舶提供应急服务的能力。</w:t>
      </w:r>
    </w:p>
    <w:p w14:paraId="2FB3E8B3">
      <w:pPr>
        <w:pStyle w:val="36"/>
      </w:pPr>
      <w:r>
        <w:rPr>
          <w:rFonts w:hint="eastAsia"/>
        </w:rPr>
        <w:t>5.8.5.</w:t>
      </w:r>
      <w:r>
        <w:rPr>
          <w:rFonts w:hint="eastAsia"/>
          <w:lang w:val="en-US" w:eastAsia="zh-CN"/>
        </w:rPr>
        <w:t>3</w:t>
      </w:r>
      <w:r>
        <w:rPr>
          <w:rFonts w:hint="eastAsia"/>
        </w:rPr>
        <w:t>应急处置措施</w:t>
      </w:r>
    </w:p>
    <w:p w14:paraId="662D8061">
      <w:pPr>
        <w:pStyle w:val="21"/>
        <w:ind w:firstLine="480"/>
      </w:pPr>
      <w:r>
        <w:rPr>
          <w:rFonts w:hint="eastAsia"/>
        </w:rPr>
        <w:t>（1）危险化学品泄漏应急处置</w:t>
      </w:r>
    </w:p>
    <w:p w14:paraId="0C4193F8">
      <w:pPr>
        <w:pStyle w:val="21"/>
        <w:ind w:firstLine="480"/>
      </w:pPr>
      <w:r>
        <w:rPr>
          <w:rFonts w:hint="eastAsia"/>
        </w:rPr>
        <w:t>切断污染源方案：对于危险化学品的泄漏，首先应根据泄漏物质的性质，毒性和特点，确定使用堵塞泄漏点的材料，利用该材料修补容器或管道的泄漏口，以防污染物更多的泄漏；利用能够降低污染物危害的物质(如沙土、吸油毡等)设置在泄漏口周围，将泄漏口与外部隔绝开；若泄漏速度过快，并且堵塞泄漏口有困难，应当及时使用有针对性的材料堵塞下水道，截断污染物外流造成污染。同时封堵污水排放口和雨水排放口，防止污染物通过污水排放口流入到厂外，对外环境造成污染。通知相关人员通过围堵引流，将泄漏物转移至事故应急罐中；化学品污染物削减与消除方案根据公司使用原辅料的理化特性，采取相应泄漏处置措施。用吸油毡、砂袋等堵住后收集起来的废物，当作危险废物委托给有资质的单位统一处置，避免造成二次污染。</w:t>
      </w:r>
    </w:p>
    <w:p w14:paraId="4AD63B5A">
      <w:pPr>
        <w:pStyle w:val="21"/>
        <w:ind w:firstLine="480"/>
      </w:pPr>
      <w:r>
        <w:rPr>
          <w:rFonts w:hint="eastAsia"/>
        </w:rPr>
        <w:t>（2）含油废水事故性排放</w:t>
      </w:r>
    </w:p>
    <w:p w14:paraId="789A1982">
      <w:pPr>
        <w:pStyle w:val="21"/>
        <w:ind w:firstLine="480"/>
      </w:pPr>
      <w:r>
        <w:rPr>
          <w:rFonts w:hint="eastAsia"/>
        </w:rPr>
        <w:t>当含油废水事故排放时，现场人员穿戴后防护装备后，立即切断或者阻止泄漏源的继续泄漏。抢修人员立即将含油废水引入初期雨水池。</w:t>
      </w:r>
    </w:p>
    <w:p w14:paraId="4AD18D82">
      <w:pPr>
        <w:pStyle w:val="21"/>
        <w:ind w:firstLine="480"/>
      </w:pPr>
      <w:r>
        <w:rPr>
          <w:rFonts w:hint="eastAsia"/>
        </w:rPr>
        <w:t>（3）溢油事故</w:t>
      </w:r>
    </w:p>
    <w:p w14:paraId="09F0203E">
      <w:pPr>
        <w:pStyle w:val="21"/>
        <w:ind w:firstLine="480"/>
      </w:pPr>
      <w:r>
        <w:rPr>
          <w:rFonts w:hint="eastAsia"/>
        </w:rPr>
        <w:t>立即采用围油栏拦截溢油，避免油污扩散；利用吸油毡吸附油污，并上报生态环境部门及海事部门，及时开展海上溢油应急处置工作。</w:t>
      </w:r>
    </w:p>
    <w:p w14:paraId="68061CE6">
      <w:pPr>
        <w:pStyle w:val="21"/>
        <w:ind w:firstLine="480"/>
      </w:pPr>
      <w:r>
        <w:rPr>
          <w:rFonts w:hint="eastAsia"/>
        </w:rPr>
        <w:t>（4）火灾衍生洗消废水</w:t>
      </w:r>
    </w:p>
    <w:p w14:paraId="438F7E2A">
      <w:pPr>
        <w:pStyle w:val="21"/>
        <w:ind w:firstLine="480"/>
      </w:pPr>
      <w:r>
        <w:rPr>
          <w:rFonts w:hint="eastAsia"/>
        </w:rPr>
        <w:t>当厂区引发火灾等事故时，应立即封堵雨污水排放口口，再通过沙袋将洗消水截流引入事故应急池内暂存。待火灾事故处理结束后，将事故应急池洗消废水外运处理达标后排放。若洗消废水未控制住，排入外环境，由应急办公室及时向衡阳市生态环境局衡东分局报告，请求相关协助，并配合衡东县相关部门做好应急处置工作。应急池内配套应急抽水泵，发生事故，立即开启应急抽水泵，保证事故废水不直接排入外环境。</w:t>
      </w:r>
    </w:p>
    <w:p w14:paraId="428AB350">
      <w:pPr>
        <w:pStyle w:val="36"/>
      </w:pPr>
      <w:r>
        <w:rPr>
          <w:rFonts w:hint="eastAsia"/>
        </w:rPr>
        <w:t>5.8.5.</w:t>
      </w:r>
      <w:r>
        <w:rPr>
          <w:rFonts w:hint="eastAsia"/>
          <w:lang w:val="en-US" w:eastAsia="zh-CN"/>
        </w:rPr>
        <w:t>4</w:t>
      </w:r>
      <w:r>
        <w:rPr>
          <w:rFonts w:hint="eastAsia"/>
        </w:rPr>
        <w:t>应急管理要求</w:t>
      </w:r>
    </w:p>
    <w:p w14:paraId="40327DBB">
      <w:pPr>
        <w:pStyle w:val="21"/>
        <w:ind w:firstLine="480"/>
      </w:pPr>
      <w:r>
        <w:rPr>
          <w:rFonts w:hint="eastAsia"/>
        </w:rPr>
        <w:t>项目应在投入生产前，按照表5.</w:t>
      </w:r>
      <w:r>
        <w:rPr>
          <w:rFonts w:hint="eastAsia"/>
          <w:lang w:val="en-US" w:eastAsia="zh-CN"/>
        </w:rPr>
        <w:t>3</w:t>
      </w:r>
      <w:r>
        <w:rPr>
          <w:rFonts w:hint="eastAsia"/>
        </w:rPr>
        <w:t>-</w:t>
      </w:r>
      <w:r>
        <w:rPr>
          <w:rFonts w:hint="eastAsia"/>
          <w:lang w:val="en-US" w:eastAsia="zh-CN"/>
        </w:rPr>
        <w:t>8</w:t>
      </w:r>
      <w:r>
        <w:rPr>
          <w:rFonts w:hint="eastAsia"/>
        </w:rPr>
        <w:t>内容及要求修订应急预案，并报衡阳市生态环境局衡东分局备案。</w:t>
      </w:r>
    </w:p>
    <w:p w14:paraId="0D0A809D">
      <w:pPr>
        <w:pStyle w:val="23"/>
      </w:pPr>
      <w:r>
        <w:rPr>
          <w:rFonts w:hint="eastAsia"/>
        </w:rPr>
        <w:t>表5.</w:t>
      </w:r>
      <w:r>
        <w:rPr>
          <w:rFonts w:hint="eastAsia"/>
          <w:lang w:val="en-US" w:eastAsia="zh-CN"/>
        </w:rPr>
        <w:t>3</w:t>
      </w:r>
      <w:r>
        <w:rPr>
          <w:rFonts w:hint="eastAsia"/>
        </w:rPr>
        <w:t>-</w:t>
      </w:r>
      <w:r>
        <w:rPr>
          <w:rFonts w:hint="eastAsia"/>
          <w:lang w:val="en-US" w:eastAsia="zh-CN"/>
        </w:rPr>
        <w:t>8</w:t>
      </w:r>
      <w:r>
        <w:rPr>
          <w:rFonts w:hint="eastAsia"/>
        </w:rPr>
        <w:t xml:space="preserve">  突发环境事件应急预案</w:t>
      </w:r>
    </w:p>
    <w:tbl>
      <w:tblPr>
        <w:tblStyle w:val="15"/>
        <w:tblW w:w="5000" w:type="pct"/>
        <w:tblInd w:w="0" w:type="dxa"/>
        <w:tblLayout w:type="autofit"/>
        <w:tblCellMar>
          <w:top w:w="0" w:type="dxa"/>
          <w:left w:w="28" w:type="dxa"/>
          <w:bottom w:w="0" w:type="dxa"/>
          <w:right w:w="28" w:type="dxa"/>
        </w:tblCellMar>
      </w:tblPr>
      <w:tblGrid>
        <w:gridCol w:w="610"/>
        <w:gridCol w:w="1151"/>
        <w:gridCol w:w="6601"/>
      </w:tblGrid>
      <w:tr w14:paraId="4A15AD92">
        <w:tblPrEx>
          <w:tblCellMar>
            <w:top w:w="0" w:type="dxa"/>
            <w:left w:w="28" w:type="dxa"/>
            <w:bottom w:w="0" w:type="dxa"/>
            <w:right w:w="28" w:type="dxa"/>
          </w:tblCellMar>
        </w:tblPrEx>
        <w:trPr>
          <w:trHeight w:val="475"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8EEDD">
            <w:pPr>
              <w:pStyle w:val="31"/>
            </w:pPr>
            <w:r>
              <w:t>序号</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04C41">
            <w:pPr>
              <w:pStyle w:val="31"/>
            </w:pPr>
            <w:r>
              <w:t>项目</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A4DC0">
            <w:pPr>
              <w:pStyle w:val="31"/>
            </w:pPr>
            <w:r>
              <w:t>内容及要求</w:t>
            </w:r>
          </w:p>
        </w:tc>
      </w:tr>
      <w:tr w14:paraId="15F28280">
        <w:tblPrEx>
          <w:tblCellMar>
            <w:top w:w="0" w:type="dxa"/>
            <w:left w:w="28" w:type="dxa"/>
            <w:bottom w:w="0" w:type="dxa"/>
            <w:right w:w="28" w:type="dxa"/>
          </w:tblCellMar>
        </w:tblPrEx>
        <w:trPr>
          <w:trHeight w:val="47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08664">
            <w:pPr>
              <w:pStyle w:val="31"/>
            </w:pPr>
            <w:r>
              <w:rPr>
                <w:rFonts w:hint="eastAsia"/>
              </w:rPr>
              <w:t xml:space="preserve">1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087B0">
            <w:pPr>
              <w:pStyle w:val="31"/>
            </w:pPr>
            <w:r>
              <w:t>总则</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25138">
            <w:pPr>
              <w:pStyle w:val="31"/>
            </w:pPr>
            <w:r>
              <w:t>编制目的、编制依据、事件分级、适用范围、工作原则和应急预案关系说明等</w:t>
            </w:r>
          </w:p>
        </w:tc>
      </w:tr>
      <w:tr w14:paraId="048927C8">
        <w:tblPrEx>
          <w:tblCellMar>
            <w:top w:w="0" w:type="dxa"/>
            <w:left w:w="28" w:type="dxa"/>
            <w:bottom w:w="0" w:type="dxa"/>
            <w:right w:w="28" w:type="dxa"/>
          </w:tblCellMar>
        </w:tblPrEx>
        <w:trPr>
          <w:trHeight w:val="74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521F9">
            <w:pPr>
              <w:pStyle w:val="31"/>
            </w:pPr>
            <w:r>
              <w:rPr>
                <w:rFonts w:hint="eastAsia"/>
              </w:rPr>
              <w:t xml:space="preserve">2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50D25">
            <w:pPr>
              <w:pStyle w:val="31"/>
            </w:pPr>
            <w:r>
              <w:t>应急组织指</w:t>
            </w:r>
            <w:r>
              <w:rPr>
                <w:rFonts w:hint="eastAsia"/>
              </w:rPr>
              <w:br w:type="textWrapping"/>
            </w:r>
            <w:r>
              <w:t>挥体系</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62D6B">
            <w:pPr>
              <w:pStyle w:val="31"/>
            </w:pPr>
            <w:r>
              <w:t>内部应急组织机构与职责与职责外部指挥与协调</w:t>
            </w:r>
          </w:p>
        </w:tc>
      </w:tr>
      <w:tr w14:paraId="0A048022">
        <w:tblPrEx>
          <w:tblCellMar>
            <w:top w:w="0" w:type="dxa"/>
            <w:left w:w="28" w:type="dxa"/>
            <w:bottom w:w="0" w:type="dxa"/>
            <w:right w:w="28" w:type="dxa"/>
          </w:tblCellMar>
        </w:tblPrEx>
        <w:trPr>
          <w:trHeight w:val="74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7E931">
            <w:pPr>
              <w:pStyle w:val="31"/>
            </w:pPr>
            <w:r>
              <w:rPr>
                <w:rFonts w:hint="eastAsia"/>
              </w:rPr>
              <w:t xml:space="preserve">3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9C5DB">
            <w:pPr>
              <w:pStyle w:val="31"/>
            </w:pPr>
            <w:r>
              <w:t>预防与预警</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84037">
            <w:pPr>
              <w:pStyle w:val="31"/>
            </w:pPr>
            <w:r>
              <w:t>企业应加强对各种可能发生的突发环境事件的风险目标监控，建立突发事件预警机制，做到“早发现、早报告、早处置”。包括预防与预警</w:t>
            </w:r>
          </w:p>
        </w:tc>
      </w:tr>
      <w:tr w14:paraId="11C66BDE">
        <w:tblPrEx>
          <w:tblCellMar>
            <w:top w:w="0" w:type="dxa"/>
            <w:left w:w="28" w:type="dxa"/>
            <w:bottom w:w="0" w:type="dxa"/>
            <w:right w:w="28" w:type="dxa"/>
          </w:tblCellMar>
        </w:tblPrEx>
        <w:trPr>
          <w:trHeight w:val="73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45F75">
            <w:pPr>
              <w:pStyle w:val="31"/>
            </w:pPr>
            <w:r>
              <w:rPr>
                <w:rFonts w:hint="eastAsia"/>
              </w:rPr>
              <w:t xml:space="preserve">4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EF3CE">
            <w:pPr>
              <w:pStyle w:val="31"/>
            </w:pPr>
            <w:r>
              <w:t>应急处置</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BF9AF">
            <w:pPr>
              <w:pStyle w:val="31"/>
            </w:pPr>
            <w:r>
              <w:t>先期处置、响应分级应急响应程序、应急处置、受伤人员现场救护、救治与医院救治、配合有关部门应急响应</w:t>
            </w:r>
          </w:p>
        </w:tc>
      </w:tr>
      <w:tr w14:paraId="592BCBA6">
        <w:tblPrEx>
          <w:tblCellMar>
            <w:top w:w="0" w:type="dxa"/>
            <w:left w:w="28" w:type="dxa"/>
            <w:bottom w:w="0" w:type="dxa"/>
            <w:right w:w="28" w:type="dxa"/>
          </w:tblCellMar>
        </w:tblPrEx>
        <w:trPr>
          <w:trHeight w:val="47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4ED75">
            <w:pPr>
              <w:pStyle w:val="31"/>
            </w:pPr>
            <w:r>
              <w:rPr>
                <w:rFonts w:hint="eastAsia"/>
              </w:rPr>
              <w:t xml:space="preserve">5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651C3">
            <w:pPr>
              <w:pStyle w:val="31"/>
            </w:pPr>
            <w:r>
              <w:t>应急终止</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B586B">
            <w:pPr>
              <w:pStyle w:val="31"/>
            </w:pPr>
            <w:r>
              <w:t>明确应急终止的条件、程序</w:t>
            </w:r>
          </w:p>
        </w:tc>
      </w:tr>
      <w:tr w14:paraId="1F980C81">
        <w:tblPrEx>
          <w:tblCellMar>
            <w:top w:w="0" w:type="dxa"/>
            <w:left w:w="28" w:type="dxa"/>
            <w:bottom w:w="0" w:type="dxa"/>
            <w:right w:w="28" w:type="dxa"/>
          </w:tblCellMar>
        </w:tblPrEx>
        <w:trPr>
          <w:trHeight w:val="47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083CA">
            <w:pPr>
              <w:pStyle w:val="31"/>
            </w:pPr>
            <w:r>
              <w:rPr>
                <w:rFonts w:hint="eastAsia"/>
              </w:rPr>
              <w:t xml:space="preserve">6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C7FBF">
            <w:pPr>
              <w:pStyle w:val="31"/>
            </w:pPr>
            <w:r>
              <w:t>后期处置</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DB867">
            <w:pPr>
              <w:pStyle w:val="31"/>
            </w:pPr>
            <w:r>
              <w:t>善后处置评估与总结</w:t>
            </w:r>
          </w:p>
        </w:tc>
      </w:tr>
      <w:tr w14:paraId="6E1FFA5E">
        <w:tblPrEx>
          <w:tblCellMar>
            <w:top w:w="0" w:type="dxa"/>
            <w:left w:w="28" w:type="dxa"/>
            <w:bottom w:w="0" w:type="dxa"/>
            <w:right w:w="28" w:type="dxa"/>
          </w:tblCellMar>
        </w:tblPrEx>
        <w:trPr>
          <w:trHeight w:val="74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47679">
            <w:pPr>
              <w:pStyle w:val="31"/>
            </w:pPr>
            <w:r>
              <w:rPr>
                <w:rFonts w:hint="eastAsia"/>
              </w:rPr>
              <w:t xml:space="preserve">7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1CFFB">
            <w:pPr>
              <w:pStyle w:val="31"/>
            </w:pPr>
            <w:r>
              <w:t>应急保障</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4A9B9">
            <w:pPr>
              <w:pStyle w:val="31"/>
            </w:pPr>
            <w:r>
              <w:t>根据本单位应急工作需求而确定的相关保障措施如资金保障、物资保障、医疗卫生保障</w:t>
            </w:r>
          </w:p>
        </w:tc>
      </w:tr>
      <w:tr w14:paraId="487B22D3">
        <w:tblPrEx>
          <w:tblCellMar>
            <w:top w:w="0" w:type="dxa"/>
            <w:left w:w="28" w:type="dxa"/>
            <w:bottom w:w="0" w:type="dxa"/>
            <w:right w:w="28" w:type="dxa"/>
          </w:tblCellMar>
        </w:tblPrEx>
        <w:trPr>
          <w:trHeight w:val="47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4D205">
            <w:pPr>
              <w:pStyle w:val="31"/>
            </w:pPr>
            <w:r>
              <w:rPr>
                <w:rFonts w:hint="eastAsia"/>
              </w:rPr>
              <w:t xml:space="preserve">8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9FCFC">
            <w:pPr>
              <w:pStyle w:val="31"/>
            </w:pPr>
            <w:r>
              <w:t>监督管理</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B09FD">
            <w:pPr>
              <w:pStyle w:val="31"/>
            </w:pPr>
            <w:r>
              <w:t>应急预案演练、宣教培训、责任与奖惩</w:t>
            </w:r>
          </w:p>
        </w:tc>
      </w:tr>
      <w:tr w14:paraId="47F077DC">
        <w:tblPrEx>
          <w:tblCellMar>
            <w:top w:w="0" w:type="dxa"/>
            <w:left w:w="28" w:type="dxa"/>
            <w:bottom w:w="0" w:type="dxa"/>
            <w:right w:w="28" w:type="dxa"/>
          </w:tblCellMar>
        </w:tblPrEx>
        <w:trPr>
          <w:trHeight w:val="470"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3D26B">
            <w:pPr>
              <w:pStyle w:val="31"/>
            </w:pPr>
            <w:r>
              <w:rPr>
                <w:rFonts w:hint="eastAsia"/>
              </w:rPr>
              <w:t xml:space="preserve">9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C1D93">
            <w:pPr>
              <w:pStyle w:val="31"/>
            </w:pPr>
            <w:r>
              <w:t>附则</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76DEB">
            <w:pPr>
              <w:pStyle w:val="31"/>
            </w:pPr>
            <w:r>
              <w:t>名词术语、预案解释、修订情况、实施日期</w:t>
            </w:r>
          </w:p>
        </w:tc>
      </w:tr>
      <w:tr w14:paraId="3BD886B1">
        <w:trPr>
          <w:trHeight w:val="465" w:hRule="atLeast"/>
        </w:trPr>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30232">
            <w:pPr>
              <w:pStyle w:val="31"/>
            </w:pPr>
            <w:r>
              <w:rPr>
                <w:rFonts w:hint="eastAsia"/>
              </w:rPr>
              <w:t xml:space="preserve">10 </w:t>
            </w:r>
          </w:p>
        </w:tc>
        <w:tc>
          <w:tcPr>
            <w:tcW w:w="6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818C0">
            <w:pPr>
              <w:pStyle w:val="31"/>
            </w:pPr>
            <w:r>
              <w:t>附件</w:t>
            </w:r>
          </w:p>
        </w:tc>
        <w:tc>
          <w:tcPr>
            <w:tcW w:w="39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A3678">
            <w:pPr>
              <w:pStyle w:val="31"/>
            </w:pPr>
            <w:r>
              <w:t>与应急事故有关的多种附件材料的准备和形成</w:t>
            </w:r>
          </w:p>
        </w:tc>
      </w:tr>
    </w:tbl>
    <w:p w14:paraId="13C81B69">
      <w:pPr>
        <w:pStyle w:val="33"/>
      </w:pPr>
      <w:bookmarkStart w:id="170" w:name="_Toc28696"/>
      <w:bookmarkStart w:id="171" w:name="_Toc31244"/>
      <w:r>
        <w:rPr>
          <w:rFonts w:hint="eastAsia"/>
        </w:rPr>
        <w:t>5.8.6分析结论</w:t>
      </w:r>
      <w:bookmarkEnd w:id="170"/>
      <w:bookmarkEnd w:id="171"/>
    </w:p>
    <w:p w14:paraId="4CC1ED98">
      <w:pPr>
        <w:pStyle w:val="21"/>
        <w:ind w:firstLine="480"/>
      </w:pPr>
      <w:r>
        <w:rPr>
          <w:rFonts w:hint="eastAsia"/>
        </w:rPr>
        <w:t>项目风险物质为油漆、废机油、乙炔、液压油、柴油和危险废物等，风险潜势为</w:t>
      </w:r>
      <w:r>
        <w:t>I</w:t>
      </w:r>
      <w:r>
        <w:rPr>
          <w:rFonts w:hint="eastAsia"/>
        </w:rPr>
        <w:t>，风险类型包括火灾、爆炸、泄漏事故产生的伴生</w:t>
      </w:r>
      <w:r>
        <w:t>/</w:t>
      </w:r>
      <w:r>
        <w:rPr>
          <w:rFonts w:hint="eastAsia"/>
        </w:rPr>
        <w:t>次生污染物，废水事故排放、船舶燃料油泄漏溢油事故等，项目在采取有效的风险防范措施，并制定应急预案的基础上，本项目的环境风险是可以接受的。</w:t>
      </w:r>
    </w:p>
    <w:p w14:paraId="32810DC0">
      <w:pPr>
        <w:pStyle w:val="23"/>
      </w:pPr>
      <w:r>
        <w:rPr>
          <w:rFonts w:hint="eastAsia"/>
        </w:rPr>
        <w:t>表5.</w:t>
      </w:r>
      <w:r>
        <w:rPr>
          <w:rFonts w:hint="eastAsia"/>
          <w:lang w:val="en-US" w:eastAsia="zh-CN"/>
        </w:rPr>
        <w:t>3</w:t>
      </w:r>
      <w:r>
        <w:rPr>
          <w:rFonts w:hint="eastAsia"/>
        </w:rPr>
        <w:t>-</w:t>
      </w:r>
      <w:r>
        <w:rPr>
          <w:rFonts w:hint="eastAsia"/>
          <w:lang w:val="en-US" w:eastAsia="zh-CN"/>
        </w:rPr>
        <w:t>9</w:t>
      </w:r>
      <w:r>
        <w:rPr>
          <w:rFonts w:hint="eastAsia"/>
        </w:rPr>
        <w:t xml:space="preserve">  环境风险简单分析内容表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1290"/>
        <w:gridCol w:w="1819"/>
        <w:gridCol w:w="839"/>
        <w:gridCol w:w="2978"/>
      </w:tblGrid>
      <w:tr w14:paraId="029E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03E9C5F7">
            <w:pPr>
              <w:pStyle w:val="31"/>
            </w:pPr>
            <w:r>
              <w:rPr>
                <w:rFonts w:hint="eastAsia"/>
              </w:rPr>
              <w:t>建设项目名称</w:t>
            </w:r>
          </w:p>
        </w:tc>
        <w:tc>
          <w:tcPr>
            <w:tcW w:w="406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3A5C510C">
            <w:pPr>
              <w:pStyle w:val="31"/>
              <w:rPr>
                <w:rFonts w:hint="default"/>
                <w:lang w:val="en-US"/>
              </w:rPr>
            </w:pPr>
            <w:r>
              <w:rPr>
                <w:rFonts w:hint="eastAsia"/>
                <w:lang w:val="en-US" w:eastAsia="zh-CN"/>
              </w:rPr>
              <w:t>衡东兴泰船舶维修有限公司船舶拆解项目</w:t>
            </w:r>
          </w:p>
        </w:tc>
      </w:tr>
      <w:tr w14:paraId="05434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06982E97">
            <w:pPr>
              <w:pStyle w:val="31"/>
            </w:pPr>
            <w:r>
              <w:rPr>
                <w:rFonts w:hint="eastAsia"/>
              </w:rPr>
              <w:t>建设地点</w:t>
            </w:r>
          </w:p>
        </w:tc>
        <w:tc>
          <w:tcPr>
            <w:tcW w:w="757" w:type="pct"/>
            <w:shd w:val="clear" w:color="auto" w:fill="auto"/>
            <w:vAlign w:val="center"/>
          </w:tcPr>
          <w:p w14:paraId="17400491">
            <w:pPr>
              <w:pStyle w:val="31"/>
            </w:pPr>
            <w:r>
              <w:rPr>
                <w:rFonts w:hint="eastAsia"/>
              </w:rPr>
              <w:t>湖南省</w:t>
            </w:r>
          </w:p>
        </w:tc>
        <w:tc>
          <w:tcPr>
            <w:tcW w:w="1559" w:type="pct"/>
            <w:gridSpan w:val="2"/>
            <w:shd w:val="clear" w:color="auto" w:fill="auto"/>
            <w:vAlign w:val="center"/>
          </w:tcPr>
          <w:p w14:paraId="0DFBF181">
            <w:pPr>
              <w:pStyle w:val="31"/>
            </w:pPr>
            <w:r>
              <w:rPr>
                <w:rFonts w:hint="eastAsia"/>
              </w:rPr>
              <w:t>衡阳市</w:t>
            </w:r>
          </w:p>
        </w:tc>
        <w:tc>
          <w:tcPr>
            <w:tcW w:w="1747" w:type="pct"/>
            <w:shd w:val="clear" w:color="auto" w:fill="auto"/>
            <w:vAlign w:val="center"/>
          </w:tcPr>
          <w:p w14:paraId="156CAD5B">
            <w:pPr>
              <w:pStyle w:val="31"/>
            </w:pPr>
            <w:r>
              <w:rPr>
                <w:rFonts w:hint="eastAsia"/>
              </w:rPr>
              <w:t>三樟镇</w:t>
            </w:r>
          </w:p>
        </w:tc>
      </w:tr>
      <w:tr w14:paraId="265DA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00679B25">
            <w:pPr>
              <w:pStyle w:val="31"/>
            </w:pPr>
            <w:r>
              <w:rPr>
                <w:rFonts w:hint="eastAsia"/>
              </w:rPr>
              <w:t>地理坐标</w:t>
            </w:r>
          </w:p>
        </w:tc>
        <w:tc>
          <w:tcPr>
            <w:tcW w:w="757" w:type="pct"/>
            <w:shd w:val="clear" w:color="auto" w:fill="auto"/>
            <w:vAlign w:val="center"/>
          </w:tcPr>
          <w:p w14:paraId="21B7874A">
            <w:pPr>
              <w:pStyle w:val="31"/>
            </w:pPr>
            <w:r>
              <w:rPr>
                <w:rFonts w:hint="eastAsia"/>
              </w:rPr>
              <w:t>经度</w:t>
            </w:r>
          </w:p>
        </w:tc>
        <w:tc>
          <w:tcPr>
            <w:tcW w:w="1067" w:type="pct"/>
            <w:shd w:val="clear" w:color="auto" w:fill="auto"/>
            <w:vAlign w:val="center"/>
          </w:tcPr>
          <w:p w14:paraId="18CDDD7E">
            <w:pPr>
              <w:pStyle w:val="31"/>
            </w:pPr>
            <w:r>
              <w:rPr>
                <w:rFonts w:hint="eastAsia"/>
              </w:rPr>
              <w:t>112.921879</w:t>
            </w:r>
          </w:p>
        </w:tc>
        <w:tc>
          <w:tcPr>
            <w:tcW w:w="492" w:type="pct"/>
            <w:shd w:val="clear" w:color="auto" w:fill="auto"/>
            <w:vAlign w:val="center"/>
          </w:tcPr>
          <w:p w14:paraId="2CB6EC73">
            <w:pPr>
              <w:pStyle w:val="31"/>
            </w:pPr>
            <w:r>
              <w:rPr>
                <w:rFonts w:hint="eastAsia"/>
              </w:rPr>
              <w:t>纬度</w:t>
            </w:r>
          </w:p>
        </w:tc>
        <w:tc>
          <w:tcPr>
            <w:tcW w:w="1747" w:type="pct"/>
            <w:shd w:val="clear" w:color="auto" w:fill="auto"/>
            <w:vAlign w:val="center"/>
          </w:tcPr>
          <w:p w14:paraId="0099C66B">
            <w:pPr>
              <w:pStyle w:val="31"/>
              <w:rPr>
                <w:rFonts w:hint="eastAsia" w:eastAsia="宋体"/>
                <w:lang w:val="en-US" w:eastAsia="zh-CN"/>
              </w:rPr>
            </w:pPr>
            <w:r>
              <w:rPr>
                <w:rFonts w:hint="eastAsia"/>
              </w:rPr>
              <w:t>27.39805</w:t>
            </w:r>
            <w:r>
              <w:rPr>
                <w:rFonts w:hint="eastAsia"/>
                <w:lang w:val="en-US" w:eastAsia="zh-CN"/>
              </w:rPr>
              <w:t>7</w:t>
            </w:r>
          </w:p>
        </w:tc>
      </w:tr>
      <w:tr w14:paraId="509D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731EF146">
            <w:pPr>
              <w:pStyle w:val="31"/>
            </w:pPr>
            <w:r>
              <w:rPr>
                <w:rFonts w:hint="eastAsia"/>
              </w:rPr>
              <w:t>主要危险物质及分布</w:t>
            </w:r>
          </w:p>
        </w:tc>
        <w:tc>
          <w:tcPr>
            <w:tcW w:w="406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65A1AF1">
            <w:pPr>
              <w:pStyle w:val="31"/>
              <w:jc w:val="left"/>
            </w:pPr>
            <w:r>
              <w:t>(1)</w:t>
            </w:r>
            <w:r>
              <w:rPr>
                <w:rFonts w:hint="eastAsia"/>
              </w:rPr>
              <w:t xml:space="preserve">乙炔操作不当等生产火灾事故衍生洗消废水泄漏环境事故； </w:t>
            </w:r>
          </w:p>
          <w:p w14:paraId="09C87382">
            <w:pPr>
              <w:pStyle w:val="31"/>
              <w:jc w:val="left"/>
            </w:pPr>
            <w:r>
              <w:t>(2)</w:t>
            </w:r>
            <w:r>
              <w:rPr>
                <w:rFonts w:hint="eastAsia"/>
              </w:rPr>
              <w:t xml:space="preserve">超标地面清洗水及初期雨水泄漏事故； </w:t>
            </w:r>
          </w:p>
          <w:p w14:paraId="6A04018A">
            <w:pPr>
              <w:pStyle w:val="31"/>
              <w:jc w:val="left"/>
            </w:pPr>
            <w:r>
              <w:t>(3)</w:t>
            </w:r>
            <w:r>
              <w:rPr>
                <w:rFonts w:hint="eastAsia"/>
              </w:rPr>
              <w:t xml:space="preserve">危险废物、油漆等泄漏事故。 </w:t>
            </w:r>
          </w:p>
          <w:p w14:paraId="76CA7952">
            <w:pPr>
              <w:pStyle w:val="31"/>
              <w:jc w:val="left"/>
            </w:pPr>
            <w:r>
              <w:t>(4)</w:t>
            </w:r>
            <w:r>
              <w:rPr>
                <w:rFonts w:hint="eastAsia"/>
              </w:rPr>
              <w:t>待修、待拆船舶进出船台船台碰撞导致燃料油泄漏事故。</w:t>
            </w:r>
          </w:p>
        </w:tc>
      </w:tr>
      <w:tr w14:paraId="32725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3A6F94A4">
            <w:pPr>
              <w:pStyle w:val="31"/>
            </w:pPr>
            <w:r>
              <w:rPr>
                <w:rFonts w:hint="eastAsia"/>
              </w:rPr>
              <w:t>环境影响途径及危害后果</w:t>
            </w:r>
          </w:p>
        </w:tc>
        <w:tc>
          <w:tcPr>
            <w:tcW w:w="406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2B042648">
            <w:pPr>
              <w:pStyle w:val="31"/>
              <w:jc w:val="left"/>
            </w:pPr>
            <w:r>
              <w:rPr>
                <w:rFonts w:hint="eastAsia"/>
              </w:rPr>
              <w:t>(1)风险物质泄漏事故影响分析</w:t>
            </w:r>
          </w:p>
          <w:p w14:paraId="06006B03">
            <w:pPr>
              <w:pStyle w:val="31"/>
              <w:jc w:val="left"/>
            </w:pPr>
            <w:r>
              <w:rPr>
                <w:rFonts w:hint="eastAsia"/>
              </w:rPr>
              <w:t>项目的事故风险主要来源于危险废物泄漏、废水事故排放、船舶碰撞造成的油箱破裂带来的事故溢油排放等突发性事故，泄漏物质若进入湘江，影响湘江水质；油类物质若遇明火，释放大量黑烟及其他废气污染物，从而影响大气环境；建设单位加强日常管理，风险防控设施维护和检修，事故发生的可能性较小；火灾事故产生洗消废水收集不当引发衍生洗消废水泄漏环境事故，影响湘江水质。</w:t>
            </w:r>
          </w:p>
          <w:p w14:paraId="1291C777">
            <w:pPr>
              <w:pStyle w:val="31"/>
              <w:jc w:val="left"/>
            </w:pPr>
            <w:r>
              <w:rPr>
                <w:rFonts w:hint="eastAsia"/>
              </w:rPr>
              <w:t>(2)环保设施风险事故影响分析</w:t>
            </w:r>
          </w:p>
          <w:p w14:paraId="65A628A6">
            <w:pPr>
              <w:pStyle w:val="31"/>
              <w:jc w:val="left"/>
            </w:pPr>
            <w:r>
              <w:rPr>
                <w:rFonts w:hint="eastAsia"/>
              </w:rPr>
              <w:t>项目环保设施主要为危废贮存间、处理地面清洗水废水的隔油沉淀池等废水处理设施。风险物质主要为油类物质；若环保设施出现事故，防渗措施不到位，易进入湘江内，易对水质造成影响。</w:t>
            </w:r>
          </w:p>
        </w:tc>
      </w:tr>
      <w:tr w14:paraId="5E424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tcBorders>
              <w:top w:val="single" w:color="auto" w:sz="4" w:space="0"/>
              <w:left w:val="single" w:color="auto" w:sz="4" w:space="0"/>
              <w:bottom w:val="single" w:color="auto" w:sz="4" w:space="0"/>
              <w:right w:val="single" w:color="auto" w:sz="4" w:space="0"/>
            </w:tcBorders>
            <w:shd w:val="clear" w:color="auto" w:fill="auto"/>
            <w:vAlign w:val="center"/>
          </w:tcPr>
          <w:p w14:paraId="6773F3AD">
            <w:pPr>
              <w:pStyle w:val="31"/>
            </w:pPr>
            <w:r>
              <w:rPr>
                <w:rFonts w:hint="eastAsia"/>
              </w:rPr>
              <w:t>风险防范措施要求</w:t>
            </w:r>
          </w:p>
        </w:tc>
        <w:tc>
          <w:tcPr>
            <w:tcW w:w="4063"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665822F7">
            <w:pPr>
              <w:pStyle w:val="31"/>
            </w:pPr>
            <w:r>
              <w:rPr>
                <w:rFonts w:hint="eastAsia"/>
              </w:rPr>
              <w:t>从设计落实分区防渗，配备必要的应急物资，加强设备检修和人员培训；设置专用导流沟、</w:t>
            </w:r>
            <w:r>
              <w:t>切换阀、应急池</w:t>
            </w:r>
            <w:r>
              <w:rPr>
                <w:rFonts w:hint="eastAsia"/>
              </w:rPr>
              <w:t>及隔油沉淀池，建立健全的安全环境管理制度，修订突发环境事件应急预案并备案</w:t>
            </w:r>
          </w:p>
        </w:tc>
      </w:tr>
      <w:tr w14:paraId="1600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2F7FB503">
            <w:pPr>
              <w:pStyle w:val="31"/>
            </w:pPr>
            <w:r>
              <w:rPr>
                <w:rFonts w:hint="eastAsia"/>
              </w:rPr>
              <w:t>填表说明</w:t>
            </w:r>
          </w:p>
          <w:p w14:paraId="514FF99F">
            <w:pPr>
              <w:pStyle w:val="31"/>
            </w:pPr>
            <w:r>
              <w:rPr>
                <w:rFonts w:hint="eastAsia"/>
              </w:rPr>
              <w:t>本次扩建项目环境风险物质为乙炔，贮存和使用过程单瓶含量较少，在采取本环评所提出的防治措施后，其风险管理措施有效、可靠，从环境风险角度而言是可行的。</w:t>
            </w:r>
          </w:p>
          <w:p w14:paraId="0428382F">
            <w:pPr>
              <w:pStyle w:val="31"/>
            </w:pPr>
            <w:r>
              <w:rPr>
                <w:rFonts w:hint="eastAsia"/>
              </w:rPr>
              <w:t>现有项目所用的油漆、乙炔等均由供货厂家委托有运输危险化学品运输资质运送到厂，到厂后有专用储存区并有专人负责管理，在加强厂区防火管理、编制事故应急预案的基础上，事故发生概率很低，经过妥善的风险防范措施，企业厂区环境风险在可接受的范围内。</w:t>
            </w:r>
          </w:p>
        </w:tc>
      </w:tr>
    </w:tbl>
    <w:p w14:paraId="0CD6EAD2">
      <w:pPr>
        <w:pStyle w:val="21"/>
        <w:rPr>
          <w:rFonts w:hint="default"/>
          <w:lang w:val="en-US" w:eastAsia="zh-CN"/>
        </w:rPr>
      </w:pPr>
    </w:p>
    <w:p w14:paraId="0B67677F">
      <w:pPr>
        <w:pStyle w:val="21"/>
        <w:ind w:firstLine="480"/>
        <w:sectPr>
          <w:pgSz w:w="11906" w:h="16838"/>
          <w:pgMar w:top="1440" w:right="1800" w:bottom="1440" w:left="1800" w:header="851" w:footer="992" w:gutter="0"/>
          <w:pgNumType w:fmt="decimal"/>
          <w:cols w:space="425" w:num="1"/>
          <w:docGrid w:type="lines" w:linePitch="312" w:charSpace="0"/>
        </w:sectPr>
      </w:pPr>
    </w:p>
    <w:p w14:paraId="10F46102">
      <w:pPr>
        <w:pStyle w:val="25"/>
      </w:pPr>
      <w:bookmarkStart w:id="172" w:name="_Toc10874"/>
      <w:r>
        <w:rPr>
          <w:rFonts w:hint="eastAsia"/>
        </w:rPr>
        <w:t>6环境保护措施及其可行性论证</w:t>
      </w:r>
      <w:bookmarkEnd w:id="172"/>
    </w:p>
    <w:p w14:paraId="50DD19FD">
      <w:pPr>
        <w:pStyle w:val="28"/>
        <w:rPr>
          <w:rFonts w:hint="eastAsia"/>
        </w:rPr>
      </w:pPr>
      <w:bookmarkStart w:id="173" w:name="_Toc18479"/>
      <w:r>
        <w:rPr>
          <w:rFonts w:hint="eastAsia"/>
        </w:rPr>
        <w:t>6.1施工期环境保护措施</w:t>
      </w:r>
      <w:bookmarkEnd w:id="173"/>
    </w:p>
    <w:p w14:paraId="5098926B">
      <w:pPr>
        <w:pStyle w:val="21"/>
        <w:ind w:firstLine="480"/>
      </w:pPr>
      <w:r>
        <w:rPr>
          <w:rFonts w:hint="eastAsia"/>
        </w:rPr>
        <w:t>本次扩建项目施工期采取的污染控制措施具体如下：</w:t>
      </w:r>
    </w:p>
    <w:p w14:paraId="0835FAA7">
      <w:pPr>
        <w:pStyle w:val="21"/>
        <w:ind w:firstLine="480"/>
      </w:pPr>
      <w:r>
        <w:rPr>
          <w:rFonts w:hint="eastAsia"/>
        </w:rPr>
        <w:t>废气：施工期严格按照《衡阳市扬尘污染防治条例》中明确的施工单位在建设工程施工中应当采取扬尘污染防治措施落实</w:t>
      </w:r>
      <w:r>
        <w:t>，可有效控制其不利影响</w:t>
      </w:r>
      <w:r>
        <w:rPr>
          <w:rFonts w:hint="eastAsia"/>
        </w:rPr>
        <w:t>；</w:t>
      </w:r>
      <w:r>
        <w:t>施工机械</w:t>
      </w:r>
      <w:r>
        <w:rPr>
          <w:rFonts w:hint="eastAsia"/>
        </w:rPr>
        <w:t>、车辆</w:t>
      </w:r>
      <w:r>
        <w:t>尾气对沿线大气环境质量影响很小，且影响是短暂的，随着施工的结束而消失。</w:t>
      </w:r>
    </w:p>
    <w:p w14:paraId="19DD7BBD">
      <w:pPr>
        <w:pStyle w:val="21"/>
        <w:ind w:firstLine="480"/>
      </w:pPr>
      <w:r>
        <w:rPr>
          <w:rFonts w:hint="eastAsia"/>
        </w:rPr>
        <w:t>场界噪声：施工期噪声主要来源于施工机械设备（如电钻、无齿锯、挖掘机、运输车辆等），属于临时性的噪声，通过</w:t>
      </w:r>
      <w:r>
        <w:t>降低设备声级</w:t>
      </w:r>
      <w:r>
        <w:rPr>
          <w:rFonts w:hint="eastAsia"/>
        </w:rPr>
        <w:t>、</w:t>
      </w:r>
      <w:r>
        <w:t>合理安排施工时间和布局施工现场</w:t>
      </w:r>
      <w:r>
        <w:rPr>
          <w:rFonts w:hint="eastAsia"/>
        </w:rPr>
        <w:t>、</w:t>
      </w:r>
      <w:r>
        <w:t>减少</w:t>
      </w:r>
      <w:r>
        <w:rPr>
          <w:rFonts w:hint="eastAsia"/>
        </w:rPr>
        <w:t>交通</w:t>
      </w:r>
      <w:r>
        <w:t>运输</w:t>
      </w:r>
      <w:r>
        <w:rPr>
          <w:rFonts w:hint="eastAsia"/>
        </w:rPr>
        <w:t>噪声等措施，</w:t>
      </w:r>
      <w:r>
        <w:t>做到文明施工、严格管理、缩短工期，力争将项目建设过程中对周围环境产生的影响降到最低限度</w:t>
      </w:r>
      <w:r>
        <w:rPr>
          <w:rFonts w:hint="eastAsia"/>
        </w:rPr>
        <w:t>。</w:t>
      </w:r>
    </w:p>
    <w:p w14:paraId="60E0B56F">
      <w:pPr>
        <w:pStyle w:val="21"/>
        <w:ind w:firstLine="480"/>
      </w:pPr>
      <w:r>
        <w:rPr>
          <w:rFonts w:hint="eastAsia"/>
        </w:rPr>
        <w:t>废水：</w:t>
      </w:r>
      <w:r>
        <w:rPr>
          <w:rFonts w:hint="eastAsia"/>
          <w:szCs w:val="32"/>
        </w:rPr>
        <w:t>施工人员依托现有项目办公区及卫生间，生活污水经化粪池预处理后用作农肥，不外排，不对水环境造成影响。</w:t>
      </w:r>
    </w:p>
    <w:p w14:paraId="279D50DF">
      <w:pPr>
        <w:pStyle w:val="21"/>
        <w:ind w:firstLine="480"/>
      </w:pPr>
      <w:r>
        <w:rPr>
          <w:rFonts w:hint="eastAsia"/>
        </w:rPr>
        <w:t>固体废物：</w:t>
      </w:r>
      <w:r>
        <w:t>施工人员</w:t>
      </w:r>
      <w:r>
        <w:rPr>
          <w:rFonts w:hint="eastAsia"/>
        </w:rPr>
        <w:t>生活垃圾集中收集至厂区垃圾桶，由环卫部门</w:t>
      </w:r>
      <w:r>
        <w:t>定期清</w:t>
      </w:r>
      <w:r>
        <w:rPr>
          <w:rFonts w:hint="eastAsia"/>
        </w:rPr>
        <w:t>理；施工过程中产生的建筑垃圾，建设单位拟对建筑垃圾进行分类，可回收利用的交由废品回收站综合利用</w:t>
      </w:r>
      <w:r>
        <w:t>，</w:t>
      </w:r>
      <w:r>
        <w:rPr>
          <w:rFonts w:hint="eastAsia"/>
        </w:rPr>
        <w:t>其余无法回收的均按照《湖南省城市建筑垃圾管理实施细则（暂行）》要求，建设单位严格落实渣土审批5条硬性措施，施工过程产生的各类固体废物均得到有效处置。</w:t>
      </w:r>
    </w:p>
    <w:p w14:paraId="0739B5E9">
      <w:pPr>
        <w:pStyle w:val="21"/>
      </w:pPr>
      <w:r>
        <w:rPr>
          <w:rFonts w:hint="eastAsia"/>
        </w:rPr>
        <w:t>利用现有项目的工作船台和辅助构筑物，施工期主要进行工作台和构筑物修缮等，仅涉及小面积的开挖，施工周期2个月较短，随着施工期结束后环境影响随即消失，施工期采取的各项污染控制措施均满足相关规范要求，经济、技术上均可行。</w:t>
      </w:r>
    </w:p>
    <w:p w14:paraId="0F38541D">
      <w:pPr>
        <w:pStyle w:val="28"/>
      </w:pPr>
      <w:bookmarkStart w:id="174" w:name="_Toc17032"/>
      <w:r>
        <w:rPr>
          <w:rFonts w:hint="eastAsia"/>
        </w:rPr>
        <w:t>6.2运营期环境保护措施及其可行性论证</w:t>
      </w:r>
      <w:bookmarkEnd w:id="174"/>
    </w:p>
    <w:p w14:paraId="4A0459FD">
      <w:pPr>
        <w:pStyle w:val="33"/>
      </w:pPr>
      <w:bookmarkStart w:id="175" w:name="_Toc30660"/>
      <w:r>
        <w:rPr>
          <w:rFonts w:hint="eastAsia"/>
        </w:rPr>
        <w:t>6.2.1废气污染防治措施及其可行性论证</w:t>
      </w:r>
      <w:bookmarkEnd w:id="175"/>
    </w:p>
    <w:p w14:paraId="79DBE870">
      <w:pPr>
        <w:pStyle w:val="21"/>
        <w:ind w:firstLine="480"/>
      </w:pPr>
      <w:r>
        <w:rPr>
          <w:rFonts w:hint="eastAsia"/>
        </w:rPr>
        <w:t>根据《排污许可证申请与核发技术规范</w:t>
      </w:r>
      <w:r>
        <w:t xml:space="preserve"> 废弃资源加工工业》（HJ 1034—2019）</w:t>
      </w:r>
      <w:r>
        <w:rPr>
          <w:rFonts w:hint="eastAsia"/>
        </w:rPr>
        <w:t>，拟建设项目采取废气治理措施详见下表：</w:t>
      </w:r>
    </w:p>
    <w:p w14:paraId="047116E3">
      <w:pPr>
        <w:pStyle w:val="23"/>
      </w:pPr>
      <w:r>
        <w:rPr>
          <w:rFonts w:hint="eastAsia"/>
        </w:rPr>
        <w:t>表6.2-1</w:t>
      </w:r>
      <w:r>
        <w:t xml:space="preserve">  </w:t>
      </w:r>
      <w:r>
        <w:rPr>
          <w:rFonts w:hint="eastAsia"/>
        </w:rPr>
        <w:t>拟建设项目采取的废气治理措施汇总表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2749"/>
        <w:gridCol w:w="3349"/>
        <w:gridCol w:w="1792"/>
      </w:tblGrid>
      <w:tr w14:paraId="09B59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 w:type="pct"/>
            <w:vAlign w:val="center"/>
          </w:tcPr>
          <w:p w14:paraId="0187C23C">
            <w:pPr>
              <w:pStyle w:val="31"/>
              <w:rPr>
                <w:rFonts w:cs="Times New Roman"/>
                <w:kern w:val="0"/>
              </w:rPr>
            </w:pPr>
            <w:r>
              <w:rPr>
                <w:rFonts w:hint="eastAsia" w:cs="Times New Roman"/>
                <w:kern w:val="0"/>
              </w:rPr>
              <w:t>序号</w:t>
            </w:r>
          </w:p>
        </w:tc>
        <w:tc>
          <w:tcPr>
            <w:tcW w:w="1613" w:type="pct"/>
            <w:vAlign w:val="center"/>
          </w:tcPr>
          <w:p w14:paraId="50331B03">
            <w:pPr>
              <w:pStyle w:val="31"/>
              <w:rPr>
                <w:rFonts w:cs="Times New Roman"/>
                <w:kern w:val="0"/>
              </w:rPr>
            </w:pPr>
            <w:r>
              <w:rPr>
                <w:rFonts w:hint="eastAsia" w:cs="Times New Roman"/>
                <w:kern w:val="0"/>
              </w:rPr>
              <w:t>污染源</w:t>
            </w:r>
          </w:p>
        </w:tc>
        <w:tc>
          <w:tcPr>
            <w:tcW w:w="1965" w:type="pct"/>
            <w:vAlign w:val="center"/>
          </w:tcPr>
          <w:p w14:paraId="53A02A2A">
            <w:pPr>
              <w:pStyle w:val="31"/>
              <w:rPr>
                <w:rFonts w:cs="Times New Roman"/>
                <w:kern w:val="0"/>
              </w:rPr>
            </w:pPr>
            <w:r>
              <w:rPr>
                <w:rFonts w:hint="eastAsia" w:cs="Times New Roman"/>
                <w:kern w:val="0"/>
              </w:rPr>
              <w:t>废气治理措施</w:t>
            </w:r>
          </w:p>
        </w:tc>
        <w:tc>
          <w:tcPr>
            <w:tcW w:w="1052" w:type="pct"/>
            <w:vAlign w:val="center"/>
          </w:tcPr>
          <w:p w14:paraId="427E7E06">
            <w:pPr>
              <w:pStyle w:val="31"/>
              <w:rPr>
                <w:rFonts w:cs="Times New Roman"/>
                <w:kern w:val="0"/>
              </w:rPr>
            </w:pPr>
            <w:r>
              <w:rPr>
                <w:rFonts w:hint="eastAsia" w:cs="Times New Roman"/>
                <w:kern w:val="0"/>
              </w:rPr>
              <w:t>是否为可行性技术</w:t>
            </w:r>
          </w:p>
        </w:tc>
      </w:tr>
      <w:tr w14:paraId="78BCF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 w:type="pct"/>
            <w:vAlign w:val="center"/>
          </w:tcPr>
          <w:p w14:paraId="1602870C">
            <w:pPr>
              <w:pStyle w:val="31"/>
              <w:rPr>
                <w:rFonts w:cs="Times New Roman"/>
                <w:kern w:val="0"/>
              </w:rPr>
            </w:pPr>
            <w:r>
              <w:rPr>
                <w:rFonts w:hint="eastAsia" w:cs="Times New Roman"/>
                <w:kern w:val="0"/>
              </w:rPr>
              <w:t>1</w:t>
            </w:r>
          </w:p>
        </w:tc>
        <w:tc>
          <w:tcPr>
            <w:tcW w:w="1613" w:type="pct"/>
            <w:vAlign w:val="center"/>
          </w:tcPr>
          <w:p w14:paraId="7A03A522">
            <w:pPr>
              <w:pStyle w:val="31"/>
              <w:rPr>
                <w:rFonts w:cs="Times New Roman"/>
                <w:kern w:val="0"/>
              </w:rPr>
            </w:pPr>
            <w:r>
              <w:rPr>
                <w:rFonts w:hint="eastAsia" w:cs="Times New Roman"/>
                <w:kern w:val="0"/>
              </w:rPr>
              <w:t>切割</w:t>
            </w:r>
          </w:p>
        </w:tc>
        <w:tc>
          <w:tcPr>
            <w:tcW w:w="1965" w:type="pct"/>
            <w:vAlign w:val="center"/>
          </w:tcPr>
          <w:p w14:paraId="78E2F804">
            <w:pPr>
              <w:pStyle w:val="31"/>
              <w:rPr>
                <w:rFonts w:cs="Times New Roman"/>
                <w:kern w:val="0"/>
              </w:rPr>
            </w:pPr>
            <w:r>
              <w:rPr>
                <w:rFonts w:hint="eastAsia" w:cs="Times New Roman"/>
                <w:kern w:val="0"/>
              </w:rPr>
              <w:t>移动式工业烟尘处理器（除尘设施）</w:t>
            </w:r>
          </w:p>
        </w:tc>
        <w:tc>
          <w:tcPr>
            <w:tcW w:w="1052" w:type="pct"/>
            <w:vAlign w:val="center"/>
          </w:tcPr>
          <w:p w14:paraId="3651BC99">
            <w:pPr>
              <w:pStyle w:val="31"/>
              <w:rPr>
                <w:rFonts w:cs="Times New Roman"/>
                <w:kern w:val="0"/>
              </w:rPr>
            </w:pPr>
            <w:r>
              <w:rPr>
                <w:rFonts w:hint="eastAsia" w:cs="Times New Roman"/>
                <w:kern w:val="0"/>
              </w:rPr>
              <w:t>是</w:t>
            </w:r>
          </w:p>
        </w:tc>
      </w:tr>
      <w:tr w14:paraId="00A9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1" w:type="pct"/>
            <w:vAlign w:val="center"/>
          </w:tcPr>
          <w:p w14:paraId="04A555B1">
            <w:pPr>
              <w:pStyle w:val="31"/>
              <w:rPr>
                <w:rFonts w:cs="Times New Roman"/>
                <w:kern w:val="0"/>
              </w:rPr>
            </w:pPr>
            <w:r>
              <w:rPr>
                <w:rFonts w:hint="eastAsia" w:cs="Times New Roman"/>
                <w:kern w:val="0"/>
              </w:rPr>
              <w:t>2</w:t>
            </w:r>
          </w:p>
        </w:tc>
        <w:tc>
          <w:tcPr>
            <w:tcW w:w="1613" w:type="pct"/>
            <w:vAlign w:val="center"/>
          </w:tcPr>
          <w:p w14:paraId="55D51B60">
            <w:pPr>
              <w:pStyle w:val="31"/>
              <w:rPr>
                <w:rFonts w:cs="Times New Roman"/>
                <w:kern w:val="0"/>
              </w:rPr>
            </w:pPr>
            <w:r>
              <w:rPr>
                <w:rFonts w:hint="eastAsia" w:cs="Times New Roman"/>
                <w:kern w:val="0"/>
              </w:rPr>
              <w:t>人工拆解和其他重型机械拆解</w:t>
            </w:r>
          </w:p>
        </w:tc>
        <w:tc>
          <w:tcPr>
            <w:tcW w:w="1965" w:type="pct"/>
            <w:vAlign w:val="center"/>
          </w:tcPr>
          <w:p w14:paraId="6B8814EE">
            <w:pPr>
              <w:pStyle w:val="31"/>
              <w:rPr>
                <w:rFonts w:cs="Times New Roman"/>
                <w:kern w:val="0"/>
              </w:rPr>
            </w:pPr>
            <w:r>
              <w:rPr>
                <w:rFonts w:hint="eastAsia" w:cs="Times New Roman"/>
                <w:kern w:val="0"/>
              </w:rPr>
              <w:t>自然通风</w:t>
            </w:r>
          </w:p>
        </w:tc>
        <w:tc>
          <w:tcPr>
            <w:tcW w:w="1052" w:type="pct"/>
            <w:vAlign w:val="center"/>
          </w:tcPr>
          <w:p w14:paraId="5E97CD3E">
            <w:pPr>
              <w:pStyle w:val="31"/>
              <w:rPr>
                <w:rFonts w:cs="Times New Roman"/>
                <w:kern w:val="0"/>
              </w:rPr>
            </w:pPr>
            <w:r>
              <w:rPr>
                <w:rFonts w:hint="eastAsia" w:cs="Times New Roman"/>
                <w:kern w:val="0"/>
              </w:rPr>
              <w:t>是</w:t>
            </w:r>
          </w:p>
        </w:tc>
      </w:tr>
    </w:tbl>
    <w:p w14:paraId="0A7ED6FD">
      <w:pPr>
        <w:pStyle w:val="39"/>
        <w:ind w:firstLine="480"/>
      </w:pPr>
      <w:r>
        <w:rPr>
          <w:rFonts w:hint="eastAsia"/>
        </w:rPr>
        <w:t>本次扩建项目在拆解、切割过程中会产生废气，主要污染物为颗粒物，工作船台配备移动式工业烟尘处理器，对于产污量大的节点进行收集处理；厂区内主要采取人工拆解和其他重型机械拆解，采取自然通风，以上措施均属于可行性技术，无需进一步论证。</w:t>
      </w:r>
    </w:p>
    <w:p w14:paraId="3F0A6461">
      <w:pPr>
        <w:pStyle w:val="39"/>
        <w:ind w:firstLine="480"/>
      </w:pPr>
      <w:r>
        <w:rPr>
          <w:rFonts w:hint="eastAsia"/>
        </w:rPr>
        <w:t>另外对于拆除船主体过程会采用热切割，对于喷漆船面直接切割会产生少量挥发性有机物，建议关键连接点敲除上方漆面后切割可以有效减少，无相关产污系数和源强参考，本次评价采取定性分析和相关措施建议。</w:t>
      </w:r>
    </w:p>
    <w:p w14:paraId="62BDE1F5">
      <w:pPr>
        <w:pStyle w:val="21"/>
        <w:ind w:firstLine="480"/>
      </w:pPr>
      <w:r>
        <w:rPr>
          <w:rFonts w:hint="eastAsia"/>
        </w:rPr>
        <w:t>根据上述措施，可有效收集处理船舶拆除过程中产生的颗粒物，少量废气无组织也满足达标排放，对周边环境空气质量影响较小。</w:t>
      </w:r>
    </w:p>
    <w:p w14:paraId="6469F630">
      <w:pPr>
        <w:pStyle w:val="33"/>
      </w:pPr>
      <w:bookmarkStart w:id="176" w:name="_Toc20265"/>
      <w:r>
        <w:rPr>
          <w:rFonts w:hint="eastAsia"/>
        </w:rPr>
        <w:t>6.2.2废水污染防治措施及其可行性论证</w:t>
      </w:r>
      <w:bookmarkEnd w:id="176"/>
    </w:p>
    <w:p w14:paraId="3868C49A">
      <w:pPr>
        <w:pStyle w:val="36"/>
        <w:bidi w:val="0"/>
        <w:rPr>
          <w:rFonts w:hint="eastAsia"/>
          <w:lang w:val="en-US" w:eastAsia="zh-CN"/>
        </w:rPr>
      </w:pPr>
      <w:r>
        <w:rPr>
          <w:rFonts w:hint="eastAsia"/>
          <w:lang w:val="en-US" w:eastAsia="zh-CN"/>
        </w:rPr>
        <w:t>6.2.2.1“雨污分流”措施</w:t>
      </w:r>
    </w:p>
    <w:p w14:paraId="08B82BF3">
      <w:pPr>
        <w:pStyle w:val="21"/>
        <w:rPr>
          <w:rFonts w:hint="eastAsia"/>
          <w:lang w:val="en-US" w:eastAsia="zh-CN"/>
        </w:rPr>
      </w:pPr>
      <w:r>
        <w:rPr>
          <w:rFonts w:hint="eastAsia"/>
          <w:lang w:val="en-US" w:eastAsia="zh-CN"/>
        </w:rPr>
        <w:t>现有工程已采取雨污分流措施，在船台靠近湘江侧设置了导流沟，将场地内雨水导流至场地北侧初期雨水池（50m</w:t>
      </w:r>
      <w:r>
        <w:rPr>
          <w:rFonts w:hint="eastAsia"/>
          <w:vertAlign w:val="superscript"/>
          <w:lang w:val="en-US" w:eastAsia="zh-CN"/>
        </w:rPr>
        <w:t>3</w:t>
      </w:r>
      <w:r>
        <w:rPr>
          <w:rFonts w:hint="eastAsia"/>
          <w:lang w:val="en-US" w:eastAsia="zh-CN"/>
        </w:rPr>
        <w:t>）内，后期雨水直接排入湘江，收集的初期雨水用于场地冲洗及场地洒水降尘。</w:t>
      </w:r>
    </w:p>
    <w:p w14:paraId="14CA301F">
      <w:pPr>
        <w:pStyle w:val="21"/>
        <w:rPr>
          <w:rFonts w:hint="eastAsia"/>
          <w:lang w:val="en-US" w:eastAsia="zh-CN"/>
        </w:rPr>
      </w:pPr>
      <w:r>
        <w:rPr>
          <w:rFonts w:hint="eastAsia"/>
          <w:lang w:val="en-US" w:eastAsia="zh-CN"/>
        </w:rPr>
        <w:t>根据现场核查，由于船台整体向湘江呈倾斜，场地内雨水向湘江侧漫流，现场导流沟长时间未清理，导致底部污泥较厚，当雨量较小时，导流沟还存在导流作用，雨量较大时，雨水将越过导流沟直接漫流至湘江，可能会对湘江造成污染。</w:t>
      </w:r>
    </w:p>
    <w:p w14:paraId="39C46C72">
      <w:pPr>
        <w:pStyle w:val="21"/>
        <w:rPr>
          <w:rFonts w:hint="default"/>
          <w:lang w:val="en-US" w:eastAsia="zh-CN"/>
        </w:rPr>
      </w:pPr>
      <w:r>
        <w:rPr>
          <w:rFonts w:hint="eastAsia"/>
          <w:lang w:val="en-US" w:eastAsia="zh-CN"/>
        </w:rPr>
        <w:t>因此本项目采取“以新带老”措施，在导流沟靠湘江侧，建设20cm高挡水墙，将场地内雨水进行拦截，并清理导流沟及初期雨水池底部污泥，制定环境保护制度，定期清理，保证初期雨水及场地废水的有效收集，避免初期雨水及场地废水直接排入湘江。并在废水进入初期雨水池口设置切换阀，后期雨水切换直接排入湘江。</w:t>
      </w:r>
    </w:p>
    <w:p w14:paraId="0A7683C9">
      <w:pPr>
        <w:pStyle w:val="21"/>
        <w:rPr>
          <w:rFonts w:hint="eastAsia"/>
          <w:lang w:val="en-US" w:eastAsia="zh-CN"/>
        </w:rPr>
      </w:pPr>
      <w:r>
        <w:rPr>
          <w:rFonts w:hint="eastAsia"/>
          <w:lang w:val="en-US" w:eastAsia="zh-CN"/>
        </w:rPr>
        <w:t>由于场地限制，场地内无法建设更大规模的初期雨水池，且现有初期雨水池当面临暴雨时，无法全部收集初期雨水，因此环评要求在初期雨水池底部设置潜水泵，采用液位监控装置联动，当初期雨水池水位达到液位，则自动启动潜水泵，将初期雨水池内水抽至防洪堤内侧新建的废水处理站处理。</w:t>
      </w:r>
    </w:p>
    <w:p w14:paraId="2DE4D251">
      <w:pPr>
        <w:pStyle w:val="36"/>
        <w:bidi w:val="0"/>
        <w:rPr>
          <w:rFonts w:hint="eastAsia"/>
          <w:lang w:val="en-US" w:eastAsia="zh-CN"/>
        </w:rPr>
      </w:pPr>
      <w:r>
        <w:rPr>
          <w:rFonts w:hint="eastAsia"/>
          <w:lang w:val="en-US" w:eastAsia="zh-CN"/>
        </w:rPr>
        <w:t>6.2.2.2废水处置工艺可行性</w:t>
      </w:r>
    </w:p>
    <w:p w14:paraId="1601E295">
      <w:pPr>
        <w:pStyle w:val="21"/>
        <w:rPr>
          <w:rFonts w:hint="eastAsia"/>
          <w:lang w:val="en-US" w:eastAsia="zh-CN"/>
        </w:rPr>
      </w:pPr>
      <w:r>
        <w:rPr>
          <w:rFonts w:hint="eastAsia"/>
          <w:lang w:val="en-US" w:eastAsia="zh-CN"/>
        </w:rPr>
        <w:t>本项目新建废水处理站，采用“调节+气浮+隔油+AAO+混凝沉淀+斜板沉淀+清水池”的处理工艺，设计出水标准为《污水综合排放标准》（GB8978-1996）一级标准。工艺介绍如下：</w:t>
      </w:r>
    </w:p>
    <w:p w14:paraId="4395B46C">
      <w:pPr>
        <w:pStyle w:val="21"/>
        <w:ind w:left="0" w:leftChars="0" w:firstLine="0" w:firstLineChars="0"/>
        <w:rPr>
          <w:rFonts w:hint="eastAsia"/>
          <w:lang w:val="en-US" w:eastAsia="zh-CN"/>
        </w:rPr>
      </w:pPr>
      <w:r>
        <w:rPr>
          <w:rFonts w:hint="eastAsia"/>
          <w:lang w:val="en-US" w:eastAsia="zh-CN"/>
        </w:rPr>
        <w:drawing>
          <wp:inline distT="0" distB="0" distL="114300" distR="114300">
            <wp:extent cx="5273040" cy="414655"/>
            <wp:effectExtent l="0" t="0" r="3810" b="4445"/>
            <wp:docPr id="3" name="图片 3" descr="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34"/>
                    <pic:cNvPicPr>
                      <a:picLocks noChangeAspect="1"/>
                    </pic:cNvPicPr>
                  </pic:nvPicPr>
                  <pic:blipFill>
                    <a:blip r:embed="rId37"/>
                    <a:stretch>
                      <a:fillRect/>
                    </a:stretch>
                  </pic:blipFill>
                  <pic:spPr>
                    <a:xfrm>
                      <a:off x="0" y="0"/>
                      <a:ext cx="5273040" cy="414655"/>
                    </a:xfrm>
                    <a:prstGeom prst="rect">
                      <a:avLst/>
                    </a:prstGeom>
                  </pic:spPr>
                </pic:pic>
              </a:graphicData>
            </a:graphic>
          </wp:inline>
        </w:drawing>
      </w:r>
    </w:p>
    <w:p w14:paraId="2FDCAAB0">
      <w:pPr>
        <w:pStyle w:val="23"/>
        <w:bidi w:val="0"/>
        <w:rPr>
          <w:rFonts w:hint="default"/>
          <w:lang w:val="en-US" w:eastAsia="zh-CN"/>
        </w:rPr>
      </w:pPr>
      <w:r>
        <w:rPr>
          <w:rFonts w:hint="eastAsia"/>
          <w:lang w:val="en-US" w:eastAsia="zh-CN"/>
        </w:rPr>
        <w:t>图6.2-1  废水处理工艺流程图</w:t>
      </w:r>
    </w:p>
    <w:p w14:paraId="1E23D40C">
      <w:pPr>
        <w:pStyle w:val="21"/>
        <w:bidi w:val="0"/>
        <w:rPr>
          <w:rFonts w:hint="eastAsia"/>
          <w:lang w:val="en-US" w:eastAsia="zh-CN"/>
        </w:rPr>
      </w:pPr>
      <w:r>
        <w:rPr>
          <w:rFonts w:hint="eastAsia"/>
          <w:lang w:val="en-US" w:eastAsia="zh-CN"/>
        </w:rPr>
        <w:t>调节池：</w:t>
      </w:r>
      <w:r>
        <w:t>均衡水质水量，缓冲冲击负荷，为后续工艺提供稳定进水条件。</w:t>
      </w:r>
      <w:r>
        <w:rPr>
          <w:rFonts w:hint="eastAsia"/>
        </w:rPr>
        <w:t>通过储存混合废水，利用搅拌或差流设计实现水质均质化（如pH、COD波动降低30%~50%）。</w:t>
      </w:r>
      <w:r>
        <w:rPr>
          <w:rFonts w:hint="eastAsia"/>
          <w:lang w:val="en-US" w:eastAsia="zh-CN"/>
        </w:rPr>
        <w:t>设计停留时间4h。</w:t>
      </w:r>
    </w:p>
    <w:p w14:paraId="6928DAD5">
      <w:pPr>
        <w:pStyle w:val="21"/>
        <w:bidi w:val="0"/>
        <w:rPr>
          <w:rFonts w:hint="eastAsia"/>
          <w:lang w:val="en-US" w:eastAsia="zh-CN"/>
        </w:rPr>
      </w:pPr>
      <w:r>
        <w:rPr>
          <w:rFonts w:hint="eastAsia"/>
          <w:lang w:val="en-US" w:eastAsia="zh-CN"/>
        </w:rPr>
        <w:t>气浮单元：深度分离乳化油、胶体及微细悬浮物（SS）。溶气气浮（DAF）为主，微气泡（15~30μm）粘附污染物上浮。</w:t>
      </w:r>
    </w:p>
    <w:p w14:paraId="12D48FF3">
      <w:pPr>
        <w:pStyle w:val="21"/>
        <w:bidi w:val="0"/>
        <w:rPr>
          <w:rFonts w:hint="eastAsia"/>
          <w:lang w:val="en-US" w:eastAsia="zh-CN"/>
        </w:rPr>
      </w:pPr>
      <w:r>
        <w:rPr>
          <w:rFonts w:hint="eastAsia"/>
          <w:lang w:val="en-US" w:eastAsia="zh-CN"/>
        </w:rPr>
        <w:t>隔油池：去除浮油及分散油脂（密度0.9~0.95 g/cm³）。重力分离+聚结强化，斜板设计（倾角60°）加速油滴碰撞上浮，表面负荷≤0.6m³/(m²·h)。</w:t>
      </w:r>
    </w:p>
    <w:p w14:paraId="3A6B4E55">
      <w:pPr>
        <w:pStyle w:val="21"/>
        <w:bidi w:val="0"/>
        <w:rPr>
          <w:rFonts w:hint="eastAsia"/>
        </w:rPr>
      </w:pPr>
      <w:r>
        <w:rPr>
          <w:rFonts w:hint="eastAsia"/>
          <w:lang w:val="en-US" w:eastAsia="zh-CN"/>
        </w:rPr>
        <w:t>AAO生物处理：</w:t>
      </w:r>
      <w:r>
        <w:t>同步脱氮除磷及降解有机物。</w:t>
      </w:r>
      <w:r>
        <w:rPr>
          <w:rFonts w:hint="eastAsia"/>
        </w:rPr>
        <w:t>厌氧段（Anaerobic）：释磷菌分解有机物，释放磷酸盐。缺氧段（Anoxic）：反硝化菌以碳源为电子供体，将NO₃⁻还原为N₂。好氧段（Oxic）：硝化菌转化NH₄⁺→NO₃⁻，聚磷菌超量吸磷</w:t>
      </w:r>
    </w:p>
    <w:p w14:paraId="21298AF0">
      <w:pPr>
        <w:pStyle w:val="21"/>
        <w:bidi w:val="0"/>
        <w:rPr>
          <w:rFonts w:hint="eastAsia"/>
          <w:lang w:val="en-US" w:eastAsia="zh-CN"/>
        </w:rPr>
      </w:pPr>
      <w:r>
        <w:rPr>
          <w:rFonts w:hint="eastAsia"/>
          <w:lang w:val="en-US" w:eastAsia="zh-CN"/>
        </w:rPr>
        <w:t>混凝沉淀池：化学强化絮凝，去除胶体磷、残留SS及部分COD。投加铁盐/铝盐（如FeCl₃、PAC）形成矾花，吸附污染物沉降。混合时间：1~3分钟（快速搅拌），絮凝时间：15~30分钟（慢速搅拌）。</w:t>
      </w:r>
    </w:p>
    <w:p w14:paraId="58962FF1">
      <w:pPr>
        <w:pStyle w:val="21"/>
        <w:bidi w:val="0"/>
        <w:rPr>
          <w:rFonts w:hint="eastAsia"/>
        </w:rPr>
      </w:pPr>
      <w:r>
        <w:rPr>
          <w:rFonts w:hint="eastAsia"/>
          <w:lang w:val="en-US" w:eastAsia="zh-CN"/>
        </w:rPr>
        <w:t>斜板沉淀池：</w:t>
      </w:r>
      <w:r>
        <w:t>高效固液分离，替代传统沉淀池。</w:t>
      </w:r>
      <w:r>
        <w:rPr>
          <w:rFonts w:hint="eastAsia"/>
        </w:rPr>
        <w:t>浅池理论+斜板（倾角55°~60°）增加沉降面积，缩短颗粒沉降路径。</w:t>
      </w:r>
    </w:p>
    <w:p w14:paraId="25115189">
      <w:pPr>
        <w:pStyle w:val="21"/>
        <w:bidi w:val="0"/>
        <w:rPr>
          <w:rFonts w:hint="default" w:eastAsia="宋体"/>
          <w:vertAlign w:val="baseline"/>
          <w:lang w:val="en-US" w:eastAsia="zh-CN"/>
        </w:rPr>
      </w:pPr>
      <w:r>
        <w:rPr>
          <w:rFonts w:hint="eastAsia"/>
          <w:lang w:val="en-US" w:eastAsia="zh-CN"/>
        </w:rPr>
        <w:t>清水池：储存达标出水，用于生产回用，设计50m</w:t>
      </w:r>
      <w:r>
        <w:rPr>
          <w:rFonts w:hint="eastAsia"/>
          <w:vertAlign w:val="superscript"/>
          <w:lang w:val="en-US" w:eastAsia="zh-CN"/>
        </w:rPr>
        <w:t>3</w:t>
      </w:r>
      <w:r>
        <w:rPr>
          <w:rFonts w:hint="eastAsia"/>
          <w:vertAlign w:val="baseline"/>
          <w:lang w:val="en-US" w:eastAsia="zh-CN"/>
        </w:rPr>
        <w:t>，清水池快满时，通过罐车将废水运输至三樟镇污水处理厂处理。</w:t>
      </w:r>
    </w:p>
    <w:p w14:paraId="294C3EF9">
      <w:pPr>
        <w:pStyle w:val="21"/>
        <w:rPr>
          <w:rFonts w:hint="eastAsia"/>
          <w:lang w:val="en-US" w:eastAsia="zh-CN"/>
        </w:rPr>
      </w:pPr>
      <w:r>
        <w:rPr>
          <w:rFonts w:hint="eastAsia"/>
          <w:lang w:val="en-US" w:eastAsia="zh-CN"/>
        </w:rPr>
        <w:t>根据《排污许可证申请与核发技术规范》（HJ1034-2019）推荐废船加工工业排污单位废水处理的可行技术为：预处理：油水分离，气浮，混凝沉淀，其他；生活处理：CASS升华，普通活性污泥法，A/O法，AA/O法，接触氧化法，MBR法，SBR法，其他等。本项目采用“调节+气浮+隔油+AAO+混凝沉淀+斜板沉淀+清水池”处理工艺，属于排污许可推荐的可行工艺，因此工艺可行。</w:t>
      </w:r>
    </w:p>
    <w:p w14:paraId="295C44B7">
      <w:pPr>
        <w:pStyle w:val="33"/>
      </w:pPr>
      <w:bookmarkStart w:id="177" w:name="_Toc30691"/>
      <w:r>
        <w:rPr>
          <w:rFonts w:hint="eastAsia"/>
        </w:rPr>
        <w:t>6.2.3噪声污染防治措施及其可行性论证</w:t>
      </w:r>
      <w:bookmarkEnd w:id="177"/>
    </w:p>
    <w:p w14:paraId="40107C71">
      <w:pPr>
        <w:pStyle w:val="21"/>
        <w:ind w:firstLine="480"/>
      </w:pPr>
      <w:r>
        <w:rPr>
          <w:rFonts w:hint="eastAsia"/>
        </w:rPr>
        <w:t>建设单位通过合理布局、加弹性垫、采购消声设备、距离衰减等措施控制噪声产生和传播，根据《环境评价工程师实用手册》中明确本次扩建项目相关设备的噪声防控及降噪情况，具体详见下表：</w:t>
      </w:r>
    </w:p>
    <w:p w14:paraId="5382DD35">
      <w:pPr>
        <w:pStyle w:val="23"/>
      </w:pPr>
      <w:r>
        <w:t>表</w:t>
      </w:r>
      <w:r>
        <w:rPr>
          <w:rFonts w:hint="eastAsia"/>
        </w:rPr>
        <w:t>6.2-3</w:t>
      </w:r>
      <w:r>
        <w:t xml:space="preserve">  </w:t>
      </w:r>
      <w:r>
        <w:rPr>
          <w:rFonts w:hint="eastAsia"/>
        </w:rPr>
        <w:t>扩建项目工业企业噪声防治措施及投资表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7"/>
        <w:gridCol w:w="2131"/>
        <w:gridCol w:w="602"/>
        <w:gridCol w:w="1713"/>
        <w:gridCol w:w="1999"/>
      </w:tblGrid>
      <w:tr w14:paraId="4906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pct"/>
            <w:vAlign w:val="center"/>
          </w:tcPr>
          <w:p w14:paraId="5E6D1225">
            <w:pPr>
              <w:pStyle w:val="31"/>
              <w:rPr>
                <w:rFonts w:cs="Times New Roman"/>
                <w:kern w:val="0"/>
              </w:rPr>
            </w:pPr>
            <w:r>
              <w:rPr>
                <w:rFonts w:hint="eastAsia" w:cs="Times New Roman"/>
                <w:kern w:val="0"/>
              </w:rPr>
              <w:t>声源</w:t>
            </w:r>
          </w:p>
        </w:tc>
        <w:tc>
          <w:tcPr>
            <w:tcW w:w="1250" w:type="pct"/>
            <w:vAlign w:val="center"/>
          </w:tcPr>
          <w:p w14:paraId="195DF1C1">
            <w:pPr>
              <w:pStyle w:val="31"/>
              <w:rPr>
                <w:rFonts w:cs="Times New Roman"/>
                <w:kern w:val="0"/>
              </w:rPr>
            </w:pPr>
            <w:r>
              <w:rPr>
                <w:rFonts w:hint="eastAsia" w:cs="Times New Roman"/>
                <w:kern w:val="0"/>
              </w:rPr>
              <w:t>噪声防治措施</w:t>
            </w:r>
          </w:p>
        </w:tc>
        <w:tc>
          <w:tcPr>
            <w:tcW w:w="353" w:type="pct"/>
            <w:vAlign w:val="center"/>
          </w:tcPr>
          <w:p w14:paraId="44104A8F">
            <w:pPr>
              <w:pStyle w:val="31"/>
              <w:rPr>
                <w:rFonts w:cs="Times New Roman"/>
                <w:kern w:val="0"/>
              </w:rPr>
            </w:pPr>
            <w:r>
              <w:rPr>
                <w:rFonts w:hint="eastAsia" w:cs="Times New Roman"/>
                <w:kern w:val="0"/>
              </w:rPr>
              <w:t>规模</w:t>
            </w:r>
          </w:p>
        </w:tc>
        <w:tc>
          <w:tcPr>
            <w:tcW w:w="1005" w:type="pct"/>
            <w:vAlign w:val="center"/>
          </w:tcPr>
          <w:p w14:paraId="40093ACC">
            <w:pPr>
              <w:pStyle w:val="31"/>
              <w:rPr>
                <w:rFonts w:cs="Times New Roman"/>
                <w:kern w:val="0"/>
              </w:rPr>
            </w:pPr>
            <w:r>
              <w:rPr>
                <w:rFonts w:hint="eastAsia" w:cs="Times New Roman"/>
                <w:kern w:val="0"/>
              </w:rPr>
              <w:t>噪声防治措施效果/</w:t>
            </w:r>
            <w:r>
              <w:rPr>
                <w:rFonts w:cs="Times New Roman"/>
                <w:kern w:val="0"/>
              </w:rPr>
              <w:t xml:space="preserve"> dB(A)</w:t>
            </w:r>
          </w:p>
        </w:tc>
        <w:tc>
          <w:tcPr>
            <w:tcW w:w="1173" w:type="pct"/>
            <w:vAlign w:val="center"/>
          </w:tcPr>
          <w:p w14:paraId="3D217EB3">
            <w:pPr>
              <w:pStyle w:val="31"/>
              <w:rPr>
                <w:rFonts w:cs="Times New Roman"/>
                <w:kern w:val="0"/>
              </w:rPr>
            </w:pPr>
            <w:r>
              <w:rPr>
                <w:rFonts w:hint="eastAsia" w:cs="Times New Roman"/>
                <w:kern w:val="0"/>
              </w:rPr>
              <w:t>噪声防治措施投资/万元</w:t>
            </w:r>
          </w:p>
        </w:tc>
      </w:tr>
      <w:tr w14:paraId="06AA4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pct"/>
            <w:vAlign w:val="center"/>
          </w:tcPr>
          <w:p w14:paraId="1529FA94">
            <w:pPr>
              <w:pStyle w:val="31"/>
              <w:rPr>
                <w:rFonts w:cs="Times New Roman"/>
                <w:kern w:val="0"/>
              </w:rPr>
            </w:pPr>
            <w:r>
              <w:rPr>
                <w:rFonts w:hint="eastAsia" w:cs="Times New Roman"/>
                <w:kern w:val="0"/>
              </w:rPr>
              <w:t>敲打、撞击</w:t>
            </w:r>
          </w:p>
        </w:tc>
        <w:tc>
          <w:tcPr>
            <w:tcW w:w="1250" w:type="pct"/>
            <w:vAlign w:val="center"/>
          </w:tcPr>
          <w:p w14:paraId="067EAB61">
            <w:pPr>
              <w:pStyle w:val="31"/>
              <w:rPr>
                <w:rFonts w:cs="Times New Roman"/>
                <w:kern w:val="0"/>
              </w:rPr>
            </w:pPr>
            <w:r>
              <w:rPr>
                <w:rFonts w:hint="eastAsia" w:cs="Times New Roman"/>
                <w:kern w:val="0"/>
              </w:rPr>
              <w:t>加弹性垫</w:t>
            </w:r>
          </w:p>
        </w:tc>
        <w:tc>
          <w:tcPr>
            <w:tcW w:w="353" w:type="pct"/>
            <w:vAlign w:val="center"/>
          </w:tcPr>
          <w:p w14:paraId="448150C6">
            <w:pPr>
              <w:pStyle w:val="31"/>
              <w:rPr>
                <w:rFonts w:cs="Times New Roman"/>
                <w:kern w:val="0"/>
              </w:rPr>
            </w:pPr>
            <w:r>
              <w:rPr>
                <w:rFonts w:hint="eastAsia" w:cs="Times New Roman"/>
                <w:kern w:val="0"/>
              </w:rPr>
              <w:t>1套</w:t>
            </w:r>
          </w:p>
        </w:tc>
        <w:tc>
          <w:tcPr>
            <w:tcW w:w="1005" w:type="pct"/>
            <w:vAlign w:val="center"/>
          </w:tcPr>
          <w:p w14:paraId="3004A009">
            <w:pPr>
              <w:pStyle w:val="31"/>
              <w:rPr>
                <w:rFonts w:cs="Times New Roman"/>
                <w:kern w:val="0"/>
              </w:rPr>
            </w:pPr>
            <w:r>
              <w:rPr>
                <w:rFonts w:hint="eastAsia" w:cs="Times New Roman"/>
                <w:kern w:val="0"/>
              </w:rPr>
              <w:t>20</w:t>
            </w:r>
          </w:p>
        </w:tc>
        <w:tc>
          <w:tcPr>
            <w:tcW w:w="1173" w:type="pct"/>
            <w:vAlign w:val="center"/>
          </w:tcPr>
          <w:p w14:paraId="3C7C4685">
            <w:pPr>
              <w:pStyle w:val="31"/>
              <w:rPr>
                <w:rFonts w:cs="Times New Roman"/>
                <w:kern w:val="0"/>
              </w:rPr>
            </w:pPr>
            <w:r>
              <w:rPr>
                <w:rFonts w:hint="eastAsia" w:cs="Times New Roman"/>
                <w:kern w:val="0"/>
              </w:rPr>
              <w:t>0</w:t>
            </w:r>
            <w:r>
              <w:rPr>
                <w:rFonts w:cs="Times New Roman"/>
                <w:kern w:val="0"/>
              </w:rPr>
              <w:t>.5</w:t>
            </w:r>
            <w:r>
              <w:rPr>
                <w:rFonts w:hint="eastAsia" w:cs="Times New Roman"/>
                <w:kern w:val="0"/>
              </w:rPr>
              <w:t>k</w:t>
            </w:r>
          </w:p>
        </w:tc>
      </w:tr>
      <w:tr w14:paraId="757F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pct"/>
            <w:vAlign w:val="center"/>
          </w:tcPr>
          <w:p w14:paraId="4C7BFC3A">
            <w:pPr>
              <w:pStyle w:val="31"/>
              <w:rPr>
                <w:rFonts w:cs="Times New Roman"/>
                <w:kern w:val="0"/>
              </w:rPr>
            </w:pPr>
            <w:r>
              <w:rPr>
                <w:rFonts w:hint="eastAsia" w:cs="Times New Roman"/>
                <w:kern w:val="0"/>
              </w:rPr>
              <w:t>热切割枪（烧嘴）</w:t>
            </w:r>
          </w:p>
        </w:tc>
        <w:tc>
          <w:tcPr>
            <w:tcW w:w="1250" w:type="pct"/>
            <w:vAlign w:val="center"/>
          </w:tcPr>
          <w:p w14:paraId="4B881915">
            <w:pPr>
              <w:pStyle w:val="31"/>
              <w:rPr>
                <w:rFonts w:cs="Times New Roman"/>
                <w:kern w:val="0"/>
              </w:rPr>
            </w:pPr>
            <w:r>
              <w:rPr>
                <w:rFonts w:hint="eastAsia" w:cs="Times New Roman"/>
                <w:kern w:val="0"/>
              </w:rPr>
              <w:t>距离衰减</w:t>
            </w:r>
          </w:p>
        </w:tc>
        <w:tc>
          <w:tcPr>
            <w:tcW w:w="353" w:type="pct"/>
            <w:vAlign w:val="center"/>
          </w:tcPr>
          <w:p w14:paraId="3F371691">
            <w:pPr>
              <w:pStyle w:val="31"/>
              <w:rPr>
                <w:rFonts w:cs="Times New Roman"/>
                <w:kern w:val="0"/>
              </w:rPr>
            </w:pPr>
            <w:r>
              <w:rPr>
                <w:rFonts w:hint="eastAsia" w:cs="Times New Roman"/>
                <w:kern w:val="0"/>
              </w:rPr>
              <w:t>/</w:t>
            </w:r>
          </w:p>
        </w:tc>
        <w:tc>
          <w:tcPr>
            <w:tcW w:w="1005" w:type="pct"/>
            <w:vAlign w:val="center"/>
          </w:tcPr>
          <w:p w14:paraId="3F698DA5">
            <w:pPr>
              <w:pStyle w:val="31"/>
              <w:rPr>
                <w:rFonts w:cs="Times New Roman"/>
                <w:kern w:val="0"/>
              </w:rPr>
            </w:pPr>
            <w:r>
              <w:rPr>
                <w:rFonts w:hint="eastAsia" w:cs="Times New Roman"/>
                <w:kern w:val="0"/>
              </w:rPr>
              <w:t>/</w:t>
            </w:r>
          </w:p>
        </w:tc>
        <w:tc>
          <w:tcPr>
            <w:tcW w:w="1173" w:type="pct"/>
            <w:vAlign w:val="center"/>
          </w:tcPr>
          <w:p w14:paraId="4F6BCC08">
            <w:pPr>
              <w:pStyle w:val="31"/>
              <w:rPr>
                <w:rFonts w:cs="Times New Roman"/>
                <w:kern w:val="0"/>
              </w:rPr>
            </w:pPr>
            <w:r>
              <w:rPr>
                <w:rFonts w:hint="eastAsia" w:cs="Times New Roman"/>
                <w:kern w:val="0"/>
              </w:rPr>
              <w:t>/</w:t>
            </w:r>
          </w:p>
        </w:tc>
      </w:tr>
      <w:tr w14:paraId="25FDC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pct"/>
            <w:vAlign w:val="center"/>
          </w:tcPr>
          <w:p w14:paraId="2A1FDB00">
            <w:pPr>
              <w:pStyle w:val="31"/>
              <w:rPr>
                <w:rFonts w:cs="Times New Roman"/>
                <w:kern w:val="0"/>
              </w:rPr>
            </w:pPr>
            <w:r>
              <w:rPr>
                <w:rFonts w:hint="eastAsia" w:cs="Times New Roman"/>
                <w:kern w:val="0"/>
              </w:rPr>
              <w:t>工业烟尘处理器（进气、排气）</w:t>
            </w:r>
          </w:p>
        </w:tc>
        <w:tc>
          <w:tcPr>
            <w:tcW w:w="1250" w:type="pct"/>
            <w:vAlign w:val="center"/>
          </w:tcPr>
          <w:p w14:paraId="2321598E">
            <w:pPr>
              <w:pStyle w:val="31"/>
              <w:rPr>
                <w:rFonts w:cs="Times New Roman"/>
                <w:kern w:val="0"/>
              </w:rPr>
            </w:pPr>
            <w:r>
              <w:rPr>
                <w:rFonts w:hint="eastAsia" w:cs="Times New Roman"/>
                <w:kern w:val="0"/>
              </w:rPr>
              <w:t>自带消声器</w:t>
            </w:r>
          </w:p>
        </w:tc>
        <w:tc>
          <w:tcPr>
            <w:tcW w:w="353" w:type="pct"/>
            <w:vAlign w:val="center"/>
          </w:tcPr>
          <w:p w14:paraId="51756C29">
            <w:pPr>
              <w:pStyle w:val="31"/>
              <w:rPr>
                <w:rFonts w:cs="Times New Roman"/>
                <w:kern w:val="0"/>
              </w:rPr>
            </w:pPr>
            <w:r>
              <w:rPr>
                <w:rFonts w:hint="eastAsia" w:cs="Times New Roman"/>
                <w:kern w:val="0"/>
              </w:rPr>
              <w:t>4个</w:t>
            </w:r>
          </w:p>
        </w:tc>
        <w:tc>
          <w:tcPr>
            <w:tcW w:w="1005" w:type="pct"/>
            <w:vAlign w:val="center"/>
          </w:tcPr>
          <w:p w14:paraId="20C336FD">
            <w:pPr>
              <w:pStyle w:val="31"/>
              <w:rPr>
                <w:rFonts w:cs="Times New Roman"/>
                <w:kern w:val="0"/>
              </w:rPr>
            </w:pPr>
            <w:r>
              <w:rPr>
                <w:rFonts w:hint="eastAsia" w:cs="Times New Roman"/>
                <w:kern w:val="0"/>
              </w:rPr>
              <w:t>1</w:t>
            </w:r>
            <w:r>
              <w:rPr>
                <w:rFonts w:cs="Times New Roman"/>
                <w:kern w:val="0"/>
              </w:rPr>
              <w:t>0~</w:t>
            </w:r>
            <w:r>
              <w:rPr>
                <w:rFonts w:hint="eastAsia" w:cs="Times New Roman"/>
                <w:kern w:val="0"/>
              </w:rPr>
              <w:t>3</w:t>
            </w:r>
            <w:r>
              <w:rPr>
                <w:rFonts w:cs="Times New Roman"/>
                <w:kern w:val="0"/>
              </w:rPr>
              <w:t>0</w:t>
            </w:r>
          </w:p>
        </w:tc>
        <w:tc>
          <w:tcPr>
            <w:tcW w:w="1173" w:type="pct"/>
            <w:vAlign w:val="center"/>
          </w:tcPr>
          <w:p w14:paraId="7C21566F">
            <w:pPr>
              <w:pStyle w:val="31"/>
              <w:rPr>
                <w:rFonts w:cs="Times New Roman"/>
                <w:kern w:val="0"/>
              </w:rPr>
            </w:pPr>
            <w:r>
              <w:rPr>
                <w:rFonts w:hint="eastAsia" w:cs="Times New Roman"/>
                <w:kern w:val="0"/>
              </w:rPr>
              <w:t>/</w:t>
            </w:r>
          </w:p>
        </w:tc>
      </w:tr>
    </w:tbl>
    <w:p w14:paraId="6212EECB">
      <w:pPr>
        <w:pStyle w:val="21"/>
        <w:ind w:firstLine="480"/>
      </w:pPr>
      <w:r>
        <w:rPr>
          <w:rFonts w:hint="eastAsia"/>
        </w:rPr>
        <w:t>根据环境影响分析结果表明，项目一班制仅昼间生产，</w:t>
      </w:r>
      <w:r>
        <w:t>采取有效噪声污染防治措施后，</w:t>
      </w:r>
      <w:r>
        <w:rPr>
          <w:rFonts w:hint="eastAsia"/>
        </w:rPr>
        <w:t>扩建</w:t>
      </w:r>
      <w:r>
        <w:t>项目主要噪声源</w:t>
      </w:r>
      <w:r>
        <w:rPr>
          <w:rFonts w:hint="eastAsia"/>
        </w:rPr>
        <w:t>的预测值满足达标排放，厂界周边居民点的声环境满足相应声环境功能区划</w:t>
      </w:r>
      <w:r>
        <w:t>。因此本</w:t>
      </w:r>
      <w:r>
        <w:rPr>
          <w:rFonts w:hint="eastAsia"/>
        </w:rPr>
        <w:t>次扩建</w:t>
      </w:r>
      <w:r>
        <w:t>项目采取的噪声污染防治措施是可行的。</w:t>
      </w:r>
    </w:p>
    <w:p w14:paraId="02B68027">
      <w:pPr>
        <w:pStyle w:val="33"/>
      </w:pPr>
      <w:bookmarkStart w:id="178" w:name="_Toc29797"/>
      <w:r>
        <w:rPr>
          <w:rFonts w:hint="eastAsia"/>
        </w:rPr>
        <w:t>6.2.4固体废物污染防治措施及其可行性论证</w:t>
      </w:r>
      <w:bookmarkEnd w:id="178"/>
    </w:p>
    <w:p w14:paraId="208B4E48">
      <w:pPr>
        <w:pStyle w:val="21"/>
        <w:ind w:firstLine="480"/>
      </w:pPr>
      <w:r>
        <w:rPr>
          <w:rFonts w:hint="eastAsia"/>
        </w:rPr>
        <w:t>1、生活垃圾</w:t>
      </w:r>
      <w:r>
        <w:t>管理</w:t>
      </w:r>
      <w:r>
        <w:rPr>
          <w:rFonts w:hint="eastAsia"/>
        </w:rPr>
        <w:t>及处置措施</w:t>
      </w:r>
    </w:p>
    <w:p w14:paraId="1B46E5FE">
      <w:pPr>
        <w:pStyle w:val="21"/>
        <w:ind w:firstLine="480"/>
      </w:pPr>
      <w:r>
        <w:t>厂区内员工日常</w:t>
      </w:r>
      <w:r>
        <w:rPr>
          <w:rFonts w:hint="eastAsia"/>
        </w:rPr>
        <w:t>生产、办公</w:t>
      </w:r>
      <w:r>
        <w:t>产生的生活垃圾</w:t>
      </w:r>
      <w:r>
        <w:rPr>
          <w:rFonts w:hint="eastAsia"/>
        </w:rPr>
        <w:t>收集至厂区垃圾桶内</w:t>
      </w:r>
      <w:r>
        <w:t>，交由</w:t>
      </w:r>
      <w:r>
        <w:rPr>
          <w:rFonts w:hint="eastAsia"/>
        </w:rPr>
        <w:t>乡镇</w:t>
      </w:r>
      <w:r>
        <w:t>环卫部门</w:t>
      </w:r>
      <w:r>
        <w:rPr>
          <w:rFonts w:hint="eastAsia"/>
        </w:rPr>
        <w:t>定期统一</w:t>
      </w:r>
      <w:r>
        <w:t>清运。</w:t>
      </w:r>
    </w:p>
    <w:p w14:paraId="09F1FFD8">
      <w:pPr>
        <w:pStyle w:val="21"/>
        <w:ind w:firstLine="480"/>
      </w:pPr>
      <w:r>
        <w:rPr>
          <w:rFonts w:hint="eastAsia"/>
        </w:rPr>
        <w:t>扩建后全厂年产生量为2t（50kg/周），因此建议采取240L垃圾桶（最大存放150kg），减少转运周期，厂区设置2个，河坝上方办公区1处，避免工作船台上员工随意丢弃，工具间1旁设置1处，生活垃圾有效收集并定期处置，相应措施有效可行。</w:t>
      </w:r>
    </w:p>
    <w:p w14:paraId="23F0A849">
      <w:pPr>
        <w:pStyle w:val="21"/>
        <w:ind w:firstLine="480"/>
      </w:pPr>
      <w:r>
        <w:rPr>
          <w:rFonts w:hint="eastAsia"/>
        </w:rPr>
        <w:t>2、一般固体废物</w:t>
      </w:r>
      <w:r>
        <w:t>管理</w:t>
      </w:r>
      <w:r>
        <w:rPr>
          <w:rFonts w:hint="eastAsia"/>
        </w:rPr>
        <w:t>及处置措施</w:t>
      </w:r>
    </w:p>
    <w:p w14:paraId="6274AF71">
      <w:pPr>
        <w:pStyle w:val="21"/>
        <w:ind w:firstLine="480"/>
      </w:pPr>
      <w:r>
        <w:rPr>
          <w:rFonts w:hint="eastAsia"/>
        </w:rPr>
        <w:t>根据《排污许可证申请与核发技术规范</w:t>
      </w:r>
      <w:r>
        <w:t xml:space="preserve"> 工业固体废物（试行）》 （HJ 1200—2021）中</w:t>
      </w:r>
      <w:r>
        <w:rPr>
          <w:rFonts w:hint="eastAsia"/>
        </w:rPr>
        <w:t>明确一般工业固体废物污染防控技术要求如下：</w:t>
      </w:r>
    </w:p>
    <w:p w14:paraId="317B615C">
      <w:pPr>
        <w:pStyle w:val="21"/>
        <w:ind w:firstLine="480"/>
      </w:pPr>
      <w:r>
        <w:rPr>
          <w:rFonts w:hint="eastAsia"/>
        </w:rPr>
        <w:t>（1）委托</w:t>
      </w:r>
      <w:r>
        <w:t>利用/处置环节污染防控技术要求</w:t>
      </w:r>
    </w:p>
    <w:p w14:paraId="6552E20F">
      <w:pPr>
        <w:pStyle w:val="21"/>
        <w:ind w:firstLine="480"/>
      </w:pPr>
      <w:r>
        <w:rPr>
          <w:rFonts w:hint="eastAsia"/>
        </w:rPr>
        <w:t>排污单位委托他人运输、利用、处置一般工业固体废物的，应落实《中华人民共和国固体废物污染环境防治法》等法律法规要求，对受托方的主体资格和技术能力进行核实，依法订书面合同，在合同中约定污染防治要求等。</w:t>
      </w:r>
    </w:p>
    <w:p w14:paraId="37B738E9">
      <w:pPr>
        <w:pStyle w:val="21"/>
        <w:ind w:firstLine="480"/>
      </w:pPr>
      <w:r>
        <w:rPr>
          <w:rFonts w:hint="eastAsia"/>
        </w:rPr>
        <w:t>（2）</w:t>
      </w:r>
      <w:r>
        <w:t>自行贮存设施污染防控技术要求</w:t>
      </w:r>
    </w:p>
    <w:p w14:paraId="0B0F05DC">
      <w:pPr>
        <w:pStyle w:val="21"/>
        <w:ind w:firstLine="480"/>
      </w:pPr>
      <w:r>
        <w:rPr>
          <w:rFonts w:hint="eastAsia"/>
        </w:rPr>
        <w:t>采用库房、包装工具（</w:t>
      </w:r>
      <w:r>
        <w:t>罐、桶、包装袋等</w:t>
      </w:r>
      <w:r>
        <w:rPr>
          <w:rFonts w:hint="eastAsia"/>
        </w:rPr>
        <w:t>）</w:t>
      </w:r>
      <w:r>
        <w:t>贮存一般工业固体废物的，贮存过程应满足相应防渗漏、防雨淋、防扬尘等环境保护要求</w:t>
      </w:r>
      <w:r>
        <w:rPr>
          <w:rFonts w:hint="eastAsia"/>
        </w:rPr>
        <w:t>；</w:t>
      </w:r>
      <w:r>
        <w:t>危险废物和生活垃圾不得进入一般工业固体废物贮存场及填埋场</w:t>
      </w:r>
      <w:r>
        <w:rPr>
          <w:rFonts w:hint="eastAsia"/>
        </w:rPr>
        <w:t>；</w:t>
      </w:r>
      <w:r>
        <w:t>不相容的一般工业固体废物应设置不同的分区进行贮存和填埋作业</w:t>
      </w:r>
      <w:r>
        <w:rPr>
          <w:rFonts w:hint="eastAsia"/>
        </w:rPr>
        <w:t>；</w:t>
      </w:r>
      <w:r>
        <w:t>焚烧处置设施的炉渣与飞灰应分别收集、贮存和运输</w:t>
      </w:r>
      <w:r>
        <w:rPr>
          <w:rFonts w:hint="eastAsia"/>
        </w:rPr>
        <w:t>；</w:t>
      </w:r>
      <w:r>
        <w:t>贮存场、填埋场应设置清晰、完整的一般工业固体废物标志牌等。排污单位生产运营期间一般工业固体废物自行贮存/利用/处置设施的环境管理和相关设施运行维护要求还应符合 GB 15562.2、GB 18599、GB 30485和 H</w:t>
      </w:r>
      <w:r>
        <w:rPr>
          <w:rFonts w:hint="eastAsia"/>
        </w:rPr>
        <w:t xml:space="preserve">J </w:t>
      </w:r>
      <w:r>
        <w:t>2035等相关标准规范要求</w:t>
      </w:r>
      <w:r>
        <w:rPr>
          <w:rFonts w:hint="eastAsia"/>
        </w:rPr>
        <w:t>。</w:t>
      </w:r>
    </w:p>
    <w:p w14:paraId="5A6079C6">
      <w:pPr>
        <w:pStyle w:val="21"/>
        <w:ind w:firstLine="480"/>
      </w:pPr>
      <w:r>
        <w:rPr>
          <w:rFonts w:hint="eastAsia"/>
        </w:rPr>
        <w:t>另根据《一般工业固体废物贮存和填埋污染控制标准》</w:t>
      </w:r>
      <w:r>
        <w:t>(GB 18599-2020)</w:t>
      </w:r>
      <w:r>
        <w:rPr>
          <w:rFonts w:hint="eastAsia"/>
        </w:rPr>
        <w:t>中明确贮存场选址要求，“贮存场不得选在江河、湖泊、运河、渠道、水库最高水位线以下的滩地和岸坡，</w:t>
      </w:r>
      <w:r>
        <w:t>以及国家和地方长远规划中的水库等人工蓄水设施的淹设区和保护区之内。</w:t>
      </w:r>
      <w:r>
        <w:rPr>
          <w:rFonts w:hint="eastAsia"/>
        </w:rPr>
        <w:t>”</w:t>
      </w:r>
    </w:p>
    <w:p w14:paraId="422C8B41">
      <w:pPr>
        <w:pStyle w:val="21"/>
        <w:ind w:firstLine="480"/>
      </w:pPr>
      <w:r>
        <w:rPr>
          <w:rFonts w:hint="eastAsia"/>
        </w:rPr>
        <w:t>（3）扩建项目</w:t>
      </w:r>
      <w:r>
        <w:t>污染防控技术要求</w:t>
      </w:r>
    </w:p>
    <w:p w14:paraId="41E70CC9">
      <w:pPr>
        <w:pStyle w:val="21"/>
        <w:ind w:firstLine="480"/>
      </w:pPr>
      <w:r>
        <w:rPr>
          <w:rFonts w:hint="eastAsia"/>
        </w:rPr>
        <w:t>本次扩建项目一般固体废物主要包括废钢材、废有色金属、废橡胶塑料、废电线、发电机、油柜油箱、导航雷达、废家具电器、废木材、废玻璃、压舱水泥以及台面清理出的金属粉尘；本次评价建议企业可移动集装箱收集，一般固废暂存区设置2个，配备相应标志，管理制度上墙，分区贮存，在运行周期结束后雨季前可装车转运，基本满足上述贮存场所的规范要求。</w:t>
      </w:r>
    </w:p>
    <w:p w14:paraId="57E2627F">
      <w:pPr>
        <w:pStyle w:val="21"/>
        <w:ind w:firstLine="480"/>
      </w:pPr>
      <w:r>
        <w:rPr>
          <w:rFonts w:hint="eastAsia"/>
        </w:rPr>
        <w:t>其中废钢材占98.7%，废钢材便于回收清理会及时清运仅在一般固废暂存区短暂存放下，类似如废有色金属、废电线、废橡胶塑料、金属粉尘等经打包收集后，均不会直接对环境造成影响；拆除下来的设备如发电机、油柜油箱、导航雷达、废家具电器等，不论雨水侵袭还是生产活动均可能会对设备造成损坏，且处理周期较长间接造成不良环境影响；废木材、废玻璃、压舱水泥等一般属于建筑垃圾，也不可长期工作台面露天堆存；</w:t>
      </w:r>
    </w:p>
    <w:p w14:paraId="22E9760F">
      <w:pPr>
        <w:pStyle w:val="21"/>
        <w:ind w:firstLine="480"/>
      </w:pPr>
      <w:r>
        <w:rPr>
          <w:rFonts w:hint="eastAsia"/>
        </w:rPr>
        <w:t>根据核算可知废弃设备全厂年产生量为320t（平均每艘3.2t），可回收废料（除废钢采外）全厂年产生量为46.07t（平均每艘0.46t），建筑垃圾全厂年产生量为85t（平均每艘0.85t），平台可同时进行2艘废船拆解，因此最大产生量约为9t，一般固废暂存区设置2个（一备一用，或分类贮存），单个集装箱最大贮存能力为15t，基本可满足贮存要求；建设单位也会尽快委托相应单位回收利用，“变废为宝”，一般固废暂存区污染防控技术要求基本可行。</w:t>
      </w:r>
    </w:p>
    <w:p w14:paraId="7162E1B5">
      <w:pPr>
        <w:pStyle w:val="21"/>
        <w:ind w:firstLine="480"/>
      </w:pPr>
      <w:r>
        <w:rPr>
          <w:rFonts w:hint="eastAsia"/>
        </w:rPr>
        <w:t>3、危险废物暂存区</w:t>
      </w:r>
      <w:r>
        <w:t>管理</w:t>
      </w:r>
      <w:r>
        <w:rPr>
          <w:rFonts w:hint="eastAsia"/>
        </w:rPr>
        <w:t>及处置措施</w:t>
      </w:r>
    </w:p>
    <w:p w14:paraId="7979C8CC">
      <w:pPr>
        <w:pStyle w:val="21"/>
        <w:ind w:firstLine="480"/>
      </w:pPr>
      <w:r>
        <w:rPr>
          <w:rFonts w:hint="eastAsia"/>
        </w:rPr>
        <w:t>根据《建设项目危险废物环境影响评价指南》中明确危险废物贮存场所</w:t>
      </w:r>
      <w:r>
        <w:t>(设施)环境影响分析内容应包括</w:t>
      </w:r>
      <w:r>
        <w:rPr>
          <w:rFonts w:hint="eastAsia"/>
        </w:rPr>
        <w:t>：</w:t>
      </w:r>
    </w:p>
    <w:p w14:paraId="5019379D">
      <w:pPr>
        <w:pStyle w:val="21"/>
        <w:ind w:firstLine="480"/>
      </w:pPr>
      <w:r>
        <w:rPr>
          <w:rFonts w:hint="eastAsia" w:ascii="宋体" w:hAnsi="宋体"/>
        </w:rPr>
        <w:t>①</w:t>
      </w:r>
      <w:r>
        <w:t>按照《危险废物贮存污染控制标准》(GB18597)，结合区域</w:t>
      </w:r>
      <w:r>
        <w:rPr>
          <w:rFonts w:hint="eastAsia"/>
        </w:rPr>
        <w:t>水文地质、工程地质、环境地质、主导风向、环境敏感点分布等条件，分析危险废物贮存场选址的可行性。</w:t>
      </w:r>
    </w:p>
    <w:p w14:paraId="72776576">
      <w:pPr>
        <w:pStyle w:val="21"/>
        <w:ind w:firstLine="480"/>
      </w:pPr>
      <w:r>
        <w:rPr>
          <w:rFonts w:hint="eastAsia" w:ascii="宋体" w:hAnsi="宋体"/>
        </w:rPr>
        <w:t>②</w:t>
      </w:r>
      <w:r>
        <w:t>根据危险废物产生量、转运周期、贮存期限等分析、判断危险废物贮存场所(设施)的能力是否满足要求。</w:t>
      </w:r>
    </w:p>
    <w:p w14:paraId="697C617E">
      <w:pPr>
        <w:pStyle w:val="21"/>
        <w:ind w:firstLine="480"/>
      </w:pPr>
      <w:r>
        <w:rPr>
          <w:rFonts w:hint="eastAsia" w:ascii="宋体" w:hAnsi="宋体"/>
        </w:rPr>
        <w:t>③</w:t>
      </w:r>
      <w:r>
        <w:t>分析预测危险废物贮存过程中对环境空气、地表水、地下水、土壤以及环境敏感保护目标可能造成的影响</w:t>
      </w:r>
      <w:r>
        <w:rPr>
          <w:rFonts w:hint="eastAsia"/>
        </w:rPr>
        <w:t>。</w:t>
      </w:r>
    </w:p>
    <w:p w14:paraId="63B501E7">
      <w:pPr>
        <w:pStyle w:val="21"/>
        <w:ind w:firstLine="480"/>
      </w:pPr>
      <w:r>
        <w:rPr>
          <w:rFonts w:hint="eastAsia"/>
        </w:rPr>
        <w:t>根据《排污许可证申请与核发技术规范</w:t>
      </w:r>
      <w:r>
        <w:t xml:space="preserve"> 工业固体废物（试行）》 （HJ 1200—2021）中</w:t>
      </w:r>
      <w:r>
        <w:rPr>
          <w:rFonts w:hint="eastAsia"/>
        </w:rPr>
        <w:t>明确危险废物污染防控技术要求如下：</w:t>
      </w:r>
    </w:p>
    <w:p w14:paraId="3216E0AC">
      <w:pPr>
        <w:pStyle w:val="21"/>
        <w:ind w:firstLine="480"/>
      </w:pPr>
      <w:r>
        <w:rPr>
          <w:rFonts w:hint="eastAsia"/>
        </w:rPr>
        <w:t>（1）</w:t>
      </w:r>
      <w:r>
        <w:t>委托利用/处置环节污染防控技术要求</w:t>
      </w:r>
    </w:p>
    <w:p w14:paraId="32B5F396">
      <w:pPr>
        <w:pStyle w:val="21"/>
        <w:ind w:firstLine="480"/>
      </w:pPr>
      <w:r>
        <w:rPr>
          <w:rFonts w:hint="eastAsia"/>
        </w:rPr>
        <w:t>排污单位委托他人运输、利用、处置危险废物的，应落实《中华人民共和国固体废物污染环境防治法》等法律法规要求，对受托方的主体资格和技术能力进行核实，依法签订书面合同，在合同中约定污染防治要求；</w:t>
      </w:r>
      <w:r>
        <w:t>转移危险废物的，应当按照国家有关规定填写、运行危险废物转移联单等。</w:t>
      </w:r>
    </w:p>
    <w:p w14:paraId="094E97D0">
      <w:pPr>
        <w:pStyle w:val="21"/>
        <w:ind w:firstLine="480"/>
      </w:pPr>
      <w:r>
        <w:rPr>
          <w:rFonts w:hint="eastAsia"/>
        </w:rPr>
        <w:t>（2）</w:t>
      </w:r>
      <w:r>
        <w:t>自行贮存设施污染防控技术要求</w:t>
      </w:r>
    </w:p>
    <w:p w14:paraId="2722C3A2">
      <w:pPr>
        <w:pStyle w:val="21"/>
        <w:ind w:firstLine="480"/>
      </w:pPr>
      <w:r>
        <w:rPr>
          <w:rFonts w:hint="eastAsia"/>
        </w:rPr>
        <w:t>包装容器应达到相应的强度要求并完好无损</w:t>
      </w:r>
      <w:r>
        <w:t>,禁止混合贮存性质不相容而未经安全性处置的危险废物</w:t>
      </w:r>
      <w:r>
        <w:rPr>
          <w:rFonts w:hint="eastAsia"/>
        </w:rPr>
        <w:t>；</w:t>
      </w:r>
      <w:r>
        <w:t>危险废物容器和包装物以及危险废物贮存设施、场所应按规定设置危险废物识别标志</w:t>
      </w:r>
      <w:r>
        <w:rPr>
          <w:rFonts w:hint="eastAsia"/>
        </w:rPr>
        <w:t>；</w:t>
      </w:r>
      <w:r>
        <w:t>仓库式贮存设施应分开存放不相容危险废物</w:t>
      </w:r>
      <w:r>
        <w:rPr>
          <w:rFonts w:hint="eastAsia"/>
        </w:rPr>
        <w:t>，</w:t>
      </w:r>
      <w:r>
        <w:t>按危险废物的种类和特性进行分区贮存</w:t>
      </w:r>
      <w:r>
        <w:rPr>
          <w:rFonts w:hint="eastAsia"/>
        </w:rPr>
        <w:t>，</w:t>
      </w:r>
      <w:r>
        <w:t>采用防、防地面和裙脚，设置防止泄露物质扩散至外环境的拦截、导流、收集设施</w:t>
      </w:r>
      <w:r>
        <w:rPr>
          <w:rFonts w:hint="eastAsia"/>
        </w:rPr>
        <w:t>；</w:t>
      </w:r>
      <w:r>
        <w:t>贮存堆场要防风、防雨、防晒</w:t>
      </w:r>
      <w:r>
        <w:rPr>
          <w:rFonts w:hint="eastAsia"/>
        </w:rPr>
        <w:t>；</w:t>
      </w:r>
      <w:r>
        <w:t>从事收集、贮存、利用、处置危险废物经营活动的单位，贮存危险废物不得超过一年</w:t>
      </w:r>
      <w:r>
        <w:rPr>
          <w:rFonts w:hint="eastAsia"/>
        </w:rPr>
        <w:t>（</w:t>
      </w:r>
      <w:r>
        <w:t>报经颁发危险废物经营许可证的生态环境主管部门批准或法律法规另有规定的除外</w:t>
      </w:r>
      <w:r>
        <w:rPr>
          <w:rFonts w:hint="eastAsia"/>
        </w:rPr>
        <w:t>）</w:t>
      </w:r>
      <w:r>
        <w:t>等</w:t>
      </w:r>
      <w:r>
        <w:rPr>
          <w:rFonts w:hint="eastAsia"/>
        </w:rPr>
        <w:t>。</w:t>
      </w:r>
    </w:p>
    <w:p w14:paraId="7BB7D2BF">
      <w:pPr>
        <w:pStyle w:val="21"/>
        <w:ind w:firstLine="480"/>
      </w:pPr>
      <w:r>
        <w:rPr>
          <w:rFonts w:hint="eastAsia"/>
        </w:rPr>
        <w:t>排污单位生产运营期间危险废物自行贮存设施的环境管理和相关设施运行维护还应符合</w:t>
      </w:r>
      <w:r>
        <w:t>GB15562.2、GB 18484、GB 18597、GB 30485、HJ</w:t>
      </w:r>
      <w:r>
        <w:rPr>
          <w:rFonts w:hint="eastAsia"/>
        </w:rPr>
        <w:t xml:space="preserve"> </w:t>
      </w:r>
      <w:r>
        <w:t>2025和HJ</w:t>
      </w:r>
      <w:r>
        <w:rPr>
          <w:rFonts w:hint="eastAsia"/>
        </w:rPr>
        <w:t xml:space="preserve"> </w:t>
      </w:r>
      <w:r>
        <w:t>2042等相关标准规范要求</w:t>
      </w:r>
      <w:r>
        <w:rPr>
          <w:rFonts w:hint="eastAsia"/>
        </w:rPr>
        <w:t>。</w:t>
      </w:r>
    </w:p>
    <w:p w14:paraId="561CF2BB">
      <w:pPr>
        <w:pStyle w:val="21"/>
        <w:ind w:firstLine="480"/>
      </w:pPr>
      <w:r>
        <w:rPr>
          <w:rFonts w:hint="eastAsia"/>
        </w:rPr>
        <w:t>另根据《危险废物贮存污染控制标准》</w:t>
      </w:r>
      <w:r>
        <w:t xml:space="preserve"> （GB 18597-2023）</w:t>
      </w:r>
      <w:r>
        <w:rPr>
          <w:rFonts w:hint="eastAsia"/>
        </w:rPr>
        <w:t>中相关规范，其中关于选址明确，“贮存设施不应选在江河、湖泊、运河、渠道、水库及其最高水位线以下的滩地和岸坡，以及法律法规规定禁止贮存危险废物的其他地点”。</w:t>
      </w:r>
    </w:p>
    <w:p w14:paraId="2F98C7D3">
      <w:pPr>
        <w:pStyle w:val="21"/>
        <w:ind w:firstLine="480"/>
      </w:pPr>
      <w:r>
        <w:rPr>
          <w:rFonts w:hint="eastAsia"/>
        </w:rPr>
        <w:t>（3）扩建项目</w:t>
      </w:r>
      <w:r>
        <w:t>污染防控技术要求</w:t>
      </w:r>
    </w:p>
    <w:p w14:paraId="1336C5F8">
      <w:pPr>
        <w:pStyle w:val="21"/>
        <w:ind w:firstLine="480"/>
        <w:rPr>
          <w:szCs w:val="21"/>
        </w:rPr>
      </w:pPr>
      <w:r>
        <w:rPr>
          <w:rFonts w:hint="eastAsia"/>
        </w:rPr>
        <w:t>本次扩建项目产生的危险废物主要包括废电子元器件、</w:t>
      </w:r>
      <w:r>
        <w:rPr>
          <w:rFonts w:hint="eastAsia"/>
          <w:kern w:val="0"/>
          <w:szCs w:val="21"/>
        </w:rPr>
        <w:t>废漆渣、</w:t>
      </w:r>
      <w:r>
        <w:rPr>
          <w:szCs w:val="21"/>
        </w:rPr>
        <w:t>含油抹布及劳保用品</w:t>
      </w:r>
      <w:r>
        <w:rPr>
          <w:rFonts w:hint="eastAsia"/>
          <w:szCs w:val="21"/>
        </w:rPr>
        <w:t>；其中废电子元器件可由资质单位回收利用，避免拆除后废物受雨水侵蚀或人为损害，需打包装入可密封塑料箱内。废漆渣通过地面清理采用可盖封空桶收集并贮存，含油抹布及劳保用品经集中收集后塑料袋打包密封，等待资质单位定期转运处置。根据前述可知，本次扩建项目危险废物暂存区设置1个可移动集装箱，基本满足危险废物自行贮存污染防控技术要求。</w:t>
      </w:r>
    </w:p>
    <w:p w14:paraId="3755662E">
      <w:pPr>
        <w:pStyle w:val="21"/>
        <w:ind w:firstLine="480"/>
      </w:pPr>
      <w:r>
        <w:rPr>
          <w:rFonts w:hint="eastAsia"/>
          <w:szCs w:val="21"/>
        </w:rPr>
        <w:t>根据源强核算可知，扩建项目后全厂危险废物年产生总量为8.47t</w:t>
      </w:r>
      <w:r>
        <w:rPr>
          <w:rFonts w:hint="eastAsia"/>
        </w:rPr>
        <w:t>，单个集装箱最大贮存能力为15t，因此</w:t>
      </w:r>
      <w:r>
        <w:t>危险废物贮存设施的能力</w:t>
      </w:r>
      <w:r>
        <w:rPr>
          <w:rFonts w:hint="eastAsia"/>
        </w:rPr>
        <w:t>满足企业实际要求；同时危险废物产生后立刻打包收集密封，不会产生废气造成环境空气影响；由于采用可移动集装箱，在运行周期结束时或雨季到来前，委托资质单位转运至危险废物仓库，按照《危险废物转移管理办法》（部令第23号公布）的相关规定填写危险废物转移联单。危险废物管理纪录需保留3 年，企业运行前完成相关危废利用或处置协议。因此本次扩建项目危险废物贮存环境影响可控，措施合理可行。</w:t>
      </w:r>
    </w:p>
    <w:p w14:paraId="623DB732">
      <w:pPr>
        <w:pStyle w:val="21"/>
        <w:ind w:firstLine="480"/>
      </w:pPr>
      <w:r>
        <w:rPr>
          <w:rFonts w:hint="eastAsia"/>
        </w:rPr>
        <w:t>4、固体废物贮存信息汇总</w:t>
      </w:r>
    </w:p>
    <w:p w14:paraId="66EC2ACF">
      <w:pPr>
        <w:pStyle w:val="21"/>
        <w:ind w:firstLine="480"/>
      </w:pPr>
      <w:r>
        <w:rPr>
          <w:rFonts w:hint="eastAsia"/>
        </w:rPr>
        <w:t>根据《排污许可证申请与核发技术规范 工业固体废物（试行）》（H</w:t>
      </w:r>
      <w:r>
        <w:t>J1200</w:t>
      </w:r>
      <w:r>
        <w:rPr>
          <w:rFonts w:hint="eastAsia"/>
        </w:rPr>
        <w:t>-</w:t>
      </w:r>
      <w:r>
        <w:t>2021</w:t>
      </w:r>
      <w:r>
        <w:rPr>
          <w:rFonts w:hint="eastAsia"/>
        </w:rPr>
        <w:t>）中相关要求，对扩建后全厂固体废物处置和暂存情况登记详见下表。</w:t>
      </w:r>
    </w:p>
    <w:p w14:paraId="516CCC20">
      <w:pPr>
        <w:pStyle w:val="23"/>
        <w:bidi w:val="0"/>
      </w:pPr>
      <w:r>
        <w:rPr>
          <w:rFonts w:hint="eastAsia"/>
        </w:rPr>
        <w:t>表</w:t>
      </w:r>
      <w:r>
        <w:rPr>
          <w:rFonts w:hint="eastAsia"/>
          <w:lang w:val="en-US" w:eastAsia="zh-CN"/>
        </w:rPr>
        <w:t>6.2-1</w:t>
      </w:r>
      <w:r>
        <w:t xml:space="preserve">   </w:t>
      </w:r>
      <w:r>
        <w:rPr>
          <w:rFonts w:hint="eastAsia"/>
        </w:rPr>
        <w:t>排污单位基本信息</w:t>
      </w:r>
      <w:r>
        <w:t>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
        <w:gridCol w:w="1275"/>
        <w:gridCol w:w="1514"/>
        <w:gridCol w:w="832"/>
        <w:gridCol w:w="1024"/>
        <w:gridCol w:w="752"/>
        <w:gridCol w:w="2584"/>
      </w:tblGrid>
      <w:tr w14:paraId="0455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Align w:val="center"/>
          </w:tcPr>
          <w:p w14:paraId="55DFC356">
            <w:pPr>
              <w:pStyle w:val="31"/>
            </w:pPr>
            <w:r>
              <w:rPr>
                <w:rFonts w:hint="eastAsia"/>
              </w:rPr>
              <w:t>危险废物</w:t>
            </w:r>
          </w:p>
        </w:tc>
      </w:tr>
      <w:tr w14:paraId="51A5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6401A592">
            <w:pPr>
              <w:pStyle w:val="31"/>
            </w:pPr>
            <w:r>
              <w:rPr>
                <w:rFonts w:hint="eastAsia"/>
              </w:rPr>
              <w:t>序号</w:t>
            </w:r>
          </w:p>
        </w:tc>
        <w:tc>
          <w:tcPr>
            <w:tcW w:w="748" w:type="pct"/>
            <w:vAlign w:val="center"/>
          </w:tcPr>
          <w:p w14:paraId="2E39CFFF">
            <w:pPr>
              <w:pStyle w:val="31"/>
            </w:pPr>
            <w:r>
              <w:rPr>
                <w:rFonts w:hint="eastAsia"/>
              </w:rPr>
              <w:t>名称</w:t>
            </w:r>
          </w:p>
        </w:tc>
        <w:tc>
          <w:tcPr>
            <w:tcW w:w="888" w:type="pct"/>
            <w:vAlign w:val="center"/>
          </w:tcPr>
          <w:p w14:paraId="7AED2A12">
            <w:pPr>
              <w:pStyle w:val="31"/>
            </w:pPr>
            <w:r>
              <w:rPr>
                <w:rFonts w:hint="eastAsia"/>
              </w:rPr>
              <w:t>代码</w:t>
            </w:r>
          </w:p>
        </w:tc>
        <w:tc>
          <w:tcPr>
            <w:tcW w:w="488" w:type="pct"/>
            <w:vAlign w:val="center"/>
          </w:tcPr>
          <w:p w14:paraId="7773FCD5">
            <w:pPr>
              <w:pStyle w:val="31"/>
            </w:pPr>
            <w:r>
              <w:rPr>
                <w:rFonts w:hint="eastAsia"/>
              </w:rPr>
              <w:t>危险特性</w:t>
            </w:r>
          </w:p>
        </w:tc>
        <w:tc>
          <w:tcPr>
            <w:tcW w:w="601" w:type="pct"/>
            <w:vAlign w:val="center"/>
          </w:tcPr>
          <w:p w14:paraId="37B760CE">
            <w:pPr>
              <w:pStyle w:val="31"/>
            </w:pPr>
            <w:r>
              <w:rPr>
                <w:rFonts w:hint="eastAsia"/>
              </w:rPr>
              <w:t>物理性状</w:t>
            </w:r>
          </w:p>
        </w:tc>
        <w:tc>
          <w:tcPr>
            <w:tcW w:w="441" w:type="pct"/>
            <w:vAlign w:val="center"/>
          </w:tcPr>
          <w:p w14:paraId="11098832">
            <w:pPr>
              <w:pStyle w:val="31"/>
            </w:pPr>
            <w:r>
              <w:rPr>
                <w:rFonts w:hint="eastAsia"/>
              </w:rPr>
              <w:t>产生环节</w:t>
            </w:r>
          </w:p>
        </w:tc>
        <w:tc>
          <w:tcPr>
            <w:tcW w:w="1516" w:type="pct"/>
            <w:vAlign w:val="center"/>
          </w:tcPr>
          <w:p w14:paraId="35BA92F9">
            <w:pPr>
              <w:pStyle w:val="31"/>
            </w:pPr>
            <w:r>
              <w:rPr>
                <w:rFonts w:hint="eastAsia"/>
              </w:rPr>
              <w:t>去向</w:t>
            </w:r>
          </w:p>
        </w:tc>
      </w:tr>
      <w:tr w14:paraId="1716A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47A6725F">
            <w:pPr>
              <w:pStyle w:val="31"/>
            </w:pPr>
            <w:r>
              <w:rPr>
                <w:rFonts w:hint="eastAsia"/>
              </w:rPr>
              <w:t>1</w:t>
            </w:r>
          </w:p>
        </w:tc>
        <w:tc>
          <w:tcPr>
            <w:tcW w:w="748" w:type="pct"/>
            <w:vAlign w:val="center"/>
          </w:tcPr>
          <w:p w14:paraId="577E79C2">
            <w:pPr>
              <w:pStyle w:val="31"/>
            </w:pPr>
            <w:r>
              <w:t>废油</w:t>
            </w:r>
          </w:p>
        </w:tc>
        <w:tc>
          <w:tcPr>
            <w:tcW w:w="888" w:type="pct"/>
            <w:vAlign w:val="center"/>
          </w:tcPr>
          <w:p w14:paraId="2A11D9C0">
            <w:pPr>
              <w:pStyle w:val="31"/>
            </w:pPr>
            <w:r>
              <w:t>900-199-08</w:t>
            </w:r>
          </w:p>
        </w:tc>
        <w:tc>
          <w:tcPr>
            <w:tcW w:w="488" w:type="pct"/>
            <w:vAlign w:val="center"/>
          </w:tcPr>
          <w:p w14:paraId="09DB5F2A">
            <w:pPr>
              <w:pStyle w:val="31"/>
            </w:pPr>
            <w:r>
              <w:t>T,I</w:t>
            </w:r>
          </w:p>
        </w:tc>
        <w:tc>
          <w:tcPr>
            <w:tcW w:w="601" w:type="pct"/>
            <w:vAlign w:val="center"/>
          </w:tcPr>
          <w:p w14:paraId="3FDE7B84">
            <w:pPr>
              <w:pStyle w:val="31"/>
            </w:pPr>
            <w:r>
              <w:rPr>
                <w:rFonts w:hint="eastAsia"/>
              </w:rPr>
              <w:t>固体废物，</w:t>
            </w:r>
            <w:r>
              <w:t>S</w:t>
            </w:r>
          </w:p>
        </w:tc>
        <w:tc>
          <w:tcPr>
            <w:tcW w:w="441" w:type="pct"/>
            <w:vAlign w:val="center"/>
          </w:tcPr>
          <w:p w14:paraId="553545B4">
            <w:pPr>
              <w:pStyle w:val="31"/>
            </w:pPr>
            <w:r>
              <w:rPr>
                <w:rFonts w:hint="eastAsia"/>
              </w:rPr>
              <w:t>工作船台</w:t>
            </w:r>
          </w:p>
        </w:tc>
        <w:tc>
          <w:tcPr>
            <w:tcW w:w="1516" w:type="pct"/>
            <w:vAlign w:val="center"/>
          </w:tcPr>
          <w:p w14:paraId="77BFE08E">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0D2B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74CE7345">
            <w:pPr>
              <w:pStyle w:val="31"/>
            </w:pPr>
            <w:r>
              <w:rPr>
                <w:rFonts w:hint="eastAsia"/>
              </w:rPr>
              <w:t>2</w:t>
            </w:r>
          </w:p>
        </w:tc>
        <w:tc>
          <w:tcPr>
            <w:tcW w:w="748" w:type="pct"/>
            <w:vAlign w:val="center"/>
          </w:tcPr>
          <w:p w14:paraId="2F29029F">
            <w:pPr>
              <w:pStyle w:val="31"/>
            </w:pPr>
            <w:r>
              <w:t>油泥</w:t>
            </w:r>
          </w:p>
        </w:tc>
        <w:tc>
          <w:tcPr>
            <w:tcW w:w="888" w:type="pct"/>
            <w:vAlign w:val="center"/>
          </w:tcPr>
          <w:p w14:paraId="53565E9C">
            <w:pPr>
              <w:pStyle w:val="31"/>
            </w:pPr>
            <w:r>
              <w:t>900-199-08</w:t>
            </w:r>
          </w:p>
        </w:tc>
        <w:tc>
          <w:tcPr>
            <w:tcW w:w="488" w:type="pct"/>
            <w:vAlign w:val="center"/>
          </w:tcPr>
          <w:p w14:paraId="33786023">
            <w:pPr>
              <w:pStyle w:val="31"/>
            </w:pPr>
            <w:r>
              <w:t>T,I</w:t>
            </w:r>
          </w:p>
        </w:tc>
        <w:tc>
          <w:tcPr>
            <w:tcW w:w="601" w:type="pct"/>
            <w:vAlign w:val="center"/>
          </w:tcPr>
          <w:p w14:paraId="2C0CF3E9">
            <w:pPr>
              <w:pStyle w:val="31"/>
            </w:pPr>
            <w:r>
              <w:rPr>
                <w:rFonts w:hint="eastAsia"/>
              </w:rPr>
              <w:t>固体废物，</w:t>
            </w:r>
            <w:r>
              <w:t>S</w:t>
            </w:r>
          </w:p>
        </w:tc>
        <w:tc>
          <w:tcPr>
            <w:tcW w:w="441" w:type="pct"/>
            <w:vAlign w:val="center"/>
          </w:tcPr>
          <w:p w14:paraId="07F5F948">
            <w:pPr>
              <w:pStyle w:val="31"/>
            </w:pPr>
            <w:r>
              <w:rPr>
                <w:rFonts w:hint="eastAsia"/>
              </w:rPr>
              <w:t>工作船台</w:t>
            </w:r>
          </w:p>
        </w:tc>
        <w:tc>
          <w:tcPr>
            <w:tcW w:w="1516" w:type="pct"/>
            <w:vAlign w:val="center"/>
          </w:tcPr>
          <w:p w14:paraId="0268E526">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130C6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5CB833C0">
            <w:pPr>
              <w:pStyle w:val="31"/>
            </w:pPr>
            <w:r>
              <w:rPr>
                <w:rFonts w:hint="eastAsia"/>
              </w:rPr>
              <w:t>3</w:t>
            </w:r>
          </w:p>
        </w:tc>
        <w:tc>
          <w:tcPr>
            <w:tcW w:w="748" w:type="pct"/>
            <w:vAlign w:val="center"/>
          </w:tcPr>
          <w:p w14:paraId="21A63B43">
            <w:pPr>
              <w:pStyle w:val="31"/>
              <w:rPr>
                <w:kern w:val="0"/>
              </w:rPr>
            </w:pPr>
            <w:r>
              <w:t>废水处理废油、污泥</w:t>
            </w:r>
          </w:p>
        </w:tc>
        <w:tc>
          <w:tcPr>
            <w:tcW w:w="888" w:type="pct"/>
            <w:vAlign w:val="center"/>
          </w:tcPr>
          <w:p w14:paraId="013C40D3">
            <w:pPr>
              <w:pStyle w:val="31"/>
              <w:rPr>
                <w:kern w:val="0"/>
              </w:rPr>
            </w:pPr>
            <w:r>
              <w:t>900-210-08</w:t>
            </w:r>
          </w:p>
        </w:tc>
        <w:tc>
          <w:tcPr>
            <w:tcW w:w="488" w:type="pct"/>
            <w:vAlign w:val="center"/>
          </w:tcPr>
          <w:p w14:paraId="7F8F9D10">
            <w:pPr>
              <w:pStyle w:val="31"/>
            </w:pPr>
            <w:r>
              <w:t>T,I</w:t>
            </w:r>
          </w:p>
        </w:tc>
        <w:tc>
          <w:tcPr>
            <w:tcW w:w="601" w:type="pct"/>
            <w:vAlign w:val="center"/>
          </w:tcPr>
          <w:p w14:paraId="43897AC8">
            <w:pPr>
              <w:pStyle w:val="31"/>
            </w:pPr>
            <w:r>
              <w:rPr>
                <w:rFonts w:hint="eastAsia"/>
              </w:rPr>
              <w:t>固体废物，</w:t>
            </w:r>
            <w:r>
              <w:t>S</w:t>
            </w:r>
          </w:p>
        </w:tc>
        <w:tc>
          <w:tcPr>
            <w:tcW w:w="441" w:type="pct"/>
            <w:vAlign w:val="center"/>
          </w:tcPr>
          <w:p w14:paraId="0C38155D">
            <w:pPr>
              <w:pStyle w:val="31"/>
            </w:pPr>
            <w:r>
              <w:rPr>
                <w:rFonts w:hint="eastAsia"/>
              </w:rPr>
              <w:t>废水处理</w:t>
            </w:r>
          </w:p>
        </w:tc>
        <w:tc>
          <w:tcPr>
            <w:tcW w:w="1516" w:type="pct"/>
            <w:vAlign w:val="center"/>
          </w:tcPr>
          <w:p w14:paraId="5E9847EE">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30329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5E3EE11F">
            <w:pPr>
              <w:pStyle w:val="31"/>
            </w:pPr>
            <w:r>
              <w:rPr>
                <w:rFonts w:hint="eastAsia"/>
              </w:rPr>
              <w:t>4</w:t>
            </w:r>
          </w:p>
        </w:tc>
        <w:tc>
          <w:tcPr>
            <w:tcW w:w="748" w:type="pct"/>
            <w:vAlign w:val="center"/>
          </w:tcPr>
          <w:p w14:paraId="2D4F42D9">
            <w:pPr>
              <w:pStyle w:val="31"/>
              <w:rPr>
                <w:kern w:val="0"/>
              </w:rPr>
            </w:pPr>
            <w:r>
              <w:t>废空调制冷剂</w:t>
            </w:r>
          </w:p>
        </w:tc>
        <w:tc>
          <w:tcPr>
            <w:tcW w:w="888" w:type="pct"/>
            <w:vAlign w:val="center"/>
          </w:tcPr>
          <w:p w14:paraId="54C4377A">
            <w:pPr>
              <w:pStyle w:val="31"/>
              <w:rPr>
                <w:kern w:val="0"/>
              </w:rPr>
            </w:pPr>
            <w:r>
              <w:t>900-999-49</w:t>
            </w:r>
          </w:p>
        </w:tc>
        <w:tc>
          <w:tcPr>
            <w:tcW w:w="488" w:type="pct"/>
            <w:vAlign w:val="center"/>
          </w:tcPr>
          <w:p w14:paraId="06912974">
            <w:pPr>
              <w:pStyle w:val="31"/>
            </w:pPr>
            <w:r>
              <w:t>T/C//R</w:t>
            </w:r>
          </w:p>
        </w:tc>
        <w:tc>
          <w:tcPr>
            <w:tcW w:w="601" w:type="pct"/>
            <w:vAlign w:val="center"/>
          </w:tcPr>
          <w:p w14:paraId="09EFEA5C">
            <w:pPr>
              <w:pStyle w:val="31"/>
            </w:pPr>
            <w:r>
              <w:rPr>
                <w:rFonts w:hint="eastAsia"/>
              </w:rPr>
              <w:t>固体废物，</w:t>
            </w:r>
            <w:r>
              <w:t>S</w:t>
            </w:r>
          </w:p>
        </w:tc>
        <w:tc>
          <w:tcPr>
            <w:tcW w:w="441" w:type="pct"/>
            <w:vAlign w:val="center"/>
          </w:tcPr>
          <w:p w14:paraId="53FE8D22">
            <w:pPr>
              <w:pStyle w:val="31"/>
            </w:pPr>
            <w:r>
              <w:rPr>
                <w:rFonts w:hint="eastAsia"/>
              </w:rPr>
              <w:t>工作船台</w:t>
            </w:r>
          </w:p>
        </w:tc>
        <w:tc>
          <w:tcPr>
            <w:tcW w:w="1516" w:type="pct"/>
            <w:vAlign w:val="center"/>
          </w:tcPr>
          <w:p w14:paraId="677936A7">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06968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332E1E83">
            <w:pPr>
              <w:pStyle w:val="31"/>
            </w:pPr>
            <w:r>
              <w:rPr>
                <w:rFonts w:hint="eastAsia"/>
              </w:rPr>
              <w:t>5</w:t>
            </w:r>
          </w:p>
        </w:tc>
        <w:tc>
          <w:tcPr>
            <w:tcW w:w="748" w:type="pct"/>
            <w:vAlign w:val="center"/>
          </w:tcPr>
          <w:p w14:paraId="0B5558F7">
            <w:pPr>
              <w:pStyle w:val="31"/>
              <w:rPr>
                <w:kern w:val="0"/>
              </w:rPr>
            </w:pPr>
            <w:r>
              <w:t>废电路板及电子元器件</w:t>
            </w:r>
          </w:p>
        </w:tc>
        <w:tc>
          <w:tcPr>
            <w:tcW w:w="888" w:type="pct"/>
            <w:vAlign w:val="center"/>
          </w:tcPr>
          <w:p w14:paraId="6442B93F">
            <w:pPr>
              <w:pStyle w:val="31"/>
              <w:rPr>
                <w:kern w:val="0"/>
              </w:rPr>
            </w:pPr>
            <w:r>
              <w:t>900-045-49</w:t>
            </w:r>
          </w:p>
        </w:tc>
        <w:tc>
          <w:tcPr>
            <w:tcW w:w="488" w:type="pct"/>
            <w:vAlign w:val="center"/>
          </w:tcPr>
          <w:p w14:paraId="6EC98498">
            <w:pPr>
              <w:pStyle w:val="31"/>
            </w:pPr>
            <w:r>
              <w:t>T</w:t>
            </w:r>
          </w:p>
        </w:tc>
        <w:tc>
          <w:tcPr>
            <w:tcW w:w="601" w:type="pct"/>
            <w:vAlign w:val="center"/>
          </w:tcPr>
          <w:p w14:paraId="43F0ABD6">
            <w:pPr>
              <w:pStyle w:val="31"/>
            </w:pPr>
            <w:r>
              <w:rPr>
                <w:rFonts w:hint="eastAsia"/>
              </w:rPr>
              <w:t>固体废物，</w:t>
            </w:r>
            <w:r>
              <w:t>S</w:t>
            </w:r>
          </w:p>
        </w:tc>
        <w:tc>
          <w:tcPr>
            <w:tcW w:w="441" w:type="pct"/>
            <w:vAlign w:val="center"/>
          </w:tcPr>
          <w:p w14:paraId="02FD0AE3">
            <w:pPr>
              <w:pStyle w:val="31"/>
            </w:pPr>
            <w:r>
              <w:rPr>
                <w:rFonts w:hint="eastAsia"/>
              </w:rPr>
              <w:t>工作船台</w:t>
            </w:r>
          </w:p>
        </w:tc>
        <w:tc>
          <w:tcPr>
            <w:tcW w:w="1516" w:type="pct"/>
            <w:vAlign w:val="center"/>
          </w:tcPr>
          <w:p w14:paraId="40974749">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24EDC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30E2AEE2">
            <w:pPr>
              <w:pStyle w:val="31"/>
            </w:pPr>
            <w:r>
              <w:rPr>
                <w:rFonts w:hint="eastAsia"/>
              </w:rPr>
              <w:t>6</w:t>
            </w:r>
          </w:p>
        </w:tc>
        <w:tc>
          <w:tcPr>
            <w:tcW w:w="748" w:type="pct"/>
            <w:vAlign w:val="center"/>
          </w:tcPr>
          <w:p w14:paraId="035BD5E2">
            <w:pPr>
              <w:pStyle w:val="31"/>
              <w:rPr>
                <w:kern w:val="0"/>
              </w:rPr>
            </w:pPr>
            <w:r>
              <w:t>漆渣</w:t>
            </w:r>
          </w:p>
        </w:tc>
        <w:tc>
          <w:tcPr>
            <w:tcW w:w="888" w:type="pct"/>
            <w:vAlign w:val="center"/>
          </w:tcPr>
          <w:p w14:paraId="7528F5C2">
            <w:pPr>
              <w:pStyle w:val="31"/>
              <w:rPr>
                <w:kern w:val="0"/>
              </w:rPr>
            </w:pPr>
            <w:r>
              <w:t>900-041-49</w:t>
            </w:r>
          </w:p>
        </w:tc>
        <w:tc>
          <w:tcPr>
            <w:tcW w:w="488" w:type="pct"/>
            <w:vAlign w:val="center"/>
          </w:tcPr>
          <w:p w14:paraId="3F6913F1">
            <w:pPr>
              <w:pStyle w:val="31"/>
            </w:pPr>
            <w:r>
              <w:t>T/In</w:t>
            </w:r>
          </w:p>
        </w:tc>
        <w:tc>
          <w:tcPr>
            <w:tcW w:w="601" w:type="pct"/>
            <w:vAlign w:val="center"/>
          </w:tcPr>
          <w:p w14:paraId="3D2EDB8B">
            <w:pPr>
              <w:pStyle w:val="31"/>
            </w:pPr>
            <w:r>
              <w:rPr>
                <w:rFonts w:hint="eastAsia"/>
              </w:rPr>
              <w:t>固体废物，</w:t>
            </w:r>
            <w:r>
              <w:t>S</w:t>
            </w:r>
          </w:p>
        </w:tc>
        <w:tc>
          <w:tcPr>
            <w:tcW w:w="441" w:type="pct"/>
            <w:vAlign w:val="center"/>
          </w:tcPr>
          <w:p w14:paraId="49A938EA">
            <w:pPr>
              <w:pStyle w:val="31"/>
            </w:pPr>
            <w:r>
              <w:rPr>
                <w:rFonts w:hint="eastAsia"/>
              </w:rPr>
              <w:t>工作船台</w:t>
            </w:r>
          </w:p>
        </w:tc>
        <w:tc>
          <w:tcPr>
            <w:tcW w:w="1516" w:type="pct"/>
            <w:vAlign w:val="center"/>
          </w:tcPr>
          <w:p w14:paraId="7BF9458A">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6EF5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57F342B4">
            <w:pPr>
              <w:pStyle w:val="31"/>
            </w:pPr>
            <w:r>
              <w:rPr>
                <w:rFonts w:hint="eastAsia"/>
              </w:rPr>
              <w:t>7</w:t>
            </w:r>
          </w:p>
        </w:tc>
        <w:tc>
          <w:tcPr>
            <w:tcW w:w="748" w:type="pct"/>
            <w:vAlign w:val="center"/>
          </w:tcPr>
          <w:p w14:paraId="2A52D626">
            <w:pPr>
              <w:pStyle w:val="31"/>
              <w:rPr>
                <w:kern w:val="0"/>
              </w:rPr>
            </w:pPr>
            <w:r>
              <w:t>废石棉</w:t>
            </w:r>
          </w:p>
        </w:tc>
        <w:tc>
          <w:tcPr>
            <w:tcW w:w="888" w:type="pct"/>
            <w:vAlign w:val="center"/>
          </w:tcPr>
          <w:p w14:paraId="46EE32B7">
            <w:pPr>
              <w:pStyle w:val="31"/>
              <w:rPr>
                <w:kern w:val="0"/>
              </w:rPr>
            </w:pPr>
            <w:r>
              <w:t>900-252-12</w:t>
            </w:r>
          </w:p>
        </w:tc>
        <w:tc>
          <w:tcPr>
            <w:tcW w:w="488" w:type="pct"/>
            <w:vAlign w:val="center"/>
          </w:tcPr>
          <w:p w14:paraId="3B1C7830">
            <w:pPr>
              <w:pStyle w:val="31"/>
            </w:pPr>
            <w:r>
              <w:t>T,I</w:t>
            </w:r>
          </w:p>
        </w:tc>
        <w:tc>
          <w:tcPr>
            <w:tcW w:w="601" w:type="pct"/>
            <w:vAlign w:val="center"/>
          </w:tcPr>
          <w:p w14:paraId="4E3B9DE2">
            <w:pPr>
              <w:pStyle w:val="31"/>
            </w:pPr>
            <w:r>
              <w:rPr>
                <w:rFonts w:hint="eastAsia"/>
              </w:rPr>
              <w:t>固体废物，</w:t>
            </w:r>
            <w:r>
              <w:t>S</w:t>
            </w:r>
          </w:p>
        </w:tc>
        <w:tc>
          <w:tcPr>
            <w:tcW w:w="441" w:type="pct"/>
            <w:vAlign w:val="center"/>
          </w:tcPr>
          <w:p w14:paraId="6024B5C6">
            <w:pPr>
              <w:pStyle w:val="31"/>
            </w:pPr>
            <w:r>
              <w:rPr>
                <w:rFonts w:hint="eastAsia"/>
              </w:rPr>
              <w:t>工作船台</w:t>
            </w:r>
          </w:p>
        </w:tc>
        <w:tc>
          <w:tcPr>
            <w:tcW w:w="1516" w:type="pct"/>
            <w:vAlign w:val="center"/>
          </w:tcPr>
          <w:p w14:paraId="7B5E627D">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637C9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72A76E54">
            <w:pPr>
              <w:pStyle w:val="31"/>
            </w:pPr>
            <w:r>
              <w:rPr>
                <w:rFonts w:hint="eastAsia"/>
              </w:rPr>
              <w:t>8</w:t>
            </w:r>
          </w:p>
        </w:tc>
        <w:tc>
          <w:tcPr>
            <w:tcW w:w="748" w:type="pct"/>
            <w:vAlign w:val="center"/>
          </w:tcPr>
          <w:p w14:paraId="1C40926A">
            <w:pPr>
              <w:pStyle w:val="31"/>
              <w:rPr>
                <w:kern w:val="0"/>
              </w:rPr>
            </w:pPr>
            <w:r>
              <w:t>废铅蓄电池</w:t>
            </w:r>
          </w:p>
        </w:tc>
        <w:tc>
          <w:tcPr>
            <w:tcW w:w="888" w:type="pct"/>
            <w:vAlign w:val="center"/>
          </w:tcPr>
          <w:p w14:paraId="743DB6C2">
            <w:pPr>
              <w:pStyle w:val="31"/>
              <w:rPr>
                <w:kern w:val="0"/>
              </w:rPr>
            </w:pPr>
            <w:r>
              <w:t>373-002-36</w:t>
            </w:r>
          </w:p>
        </w:tc>
        <w:tc>
          <w:tcPr>
            <w:tcW w:w="488" w:type="pct"/>
            <w:vAlign w:val="center"/>
          </w:tcPr>
          <w:p w14:paraId="7E9930E6">
            <w:pPr>
              <w:pStyle w:val="31"/>
            </w:pPr>
            <w:r>
              <w:t>T</w:t>
            </w:r>
          </w:p>
        </w:tc>
        <w:tc>
          <w:tcPr>
            <w:tcW w:w="601" w:type="pct"/>
            <w:vAlign w:val="center"/>
          </w:tcPr>
          <w:p w14:paraId="55F5F4A5">
            <w:pPr>
              <w:pStyle w:val="31"/>
            </w:pPr>
            <w:r>
              <w:rPr>
                <w:rFonts w:hint="eastAsia"/>
              </w:rPr>
              <w:t>固体废物，</w:t>
            </w:r>
            <w:r>
              <w:t>S</w:t>
            </w:r>
          </w:p>
        </w:tc>
        <w:tc>
          <w:tcPr>
            <w:tcW w:w="441" w:type="pct"/>
            <w:vAlign w:val="center"/>
          </w:tcPr>
          <w:p w14:paraId="57B738FA">
            <w:pPr>
              <w:pStyle w:val="31"/>
            </w:pPr>
            <w:r>
              <w:rPr>
                <w:rFonts w:hint="eastAsia"/>
              </w:rPr>
              <w:t>工作船台</w:t>
            </w:r>
          </w:p>
        </w:tc>
        <w:tc>
          <w:tcPr>
            <w:tcW w:w="1516" w:type="pct"/>
            <w:vAlign w:val="center"/>
          </w:tcPr>
          <w:p w14:paraId="2B11C343">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4B0A2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4A77489C">
            <w:pPr>
              <w:pStyle w:val="31"/>
            </w:pPr>
            <w:r>
              <w:rPr>
                <w:rFonts w:hint="eastAsia"/>
              </w:rPr>
              <w:t>9</w:t>
            </w:r>
          </w:p>
        </w:tc>
        <w:tc>
          <w:tcPr>
            <w:tcW w:w="748" w:type="pct"/>
            <w:vAlign w:val="center"/>
          </w:tcPr>
          <w:p w14:paraId="5D296907">
            <w:pPr>
              <w:pStyle w:val="31"/>
              <w:rPr>
                <w:kern w:val="0"/>
              </w:rPr>
            </w:pPr>
            <w:r>
              <w:t>废含汞灯管</w:t>
            </w:r>
          </w:p>
        </w:tc>
        <w:tc>
          <w:tcPr>
            <w:tcW w:w="888" w:type="pct"/>
            <w:vAlign w:val="center"/>
          </w:tcPr>
          <w:p w14:paraId="18AF2203">
            <w:pPr>
              <w:pStyle w:val="31"/>
              <w:rPr>
                <w:kern w:val="0"/>
              </w:rPr>
            </w:pPr>
            <w:r>
              <w:t>900-045-49</w:t>
            </w:r>
          </w:p>
        </w:tc>
        <w:tc>
          <w:tcPr>
            <w:tcW w:w="488" w:type="pct"/>
            <w:vAlign w:val="center"/>
          </w:tcPr>
          <w:p w14:paraId="11B89938">
            <w:pPr>
              <w:pStyle w:val="31"/>
            </w:pPr>
            <w:r>
              <w:t>T/C</w:t>
            </w:r>
          </w:p>
        </w:tc>
        <w:tc>
          <w:tcPr>
            <w:tcW w:w="601" w:type="pct"/>
            <w:vAlign w:val="center"/>
          </w:tcPr>
          <w:p w14:paraId="71DAC1CC">
            <w:pPr>
              <w:pStyle w:val="31"/>
            </w:pPr>
            <w:r>
              <w:rPr>
                <w:rFonts w:hint="eastAsia"/>
              </w:rPr>
              <w:t>固体废物，</w:t>
            </w:r>
            <w:r>
              <w:t>S</w:t>
            </w:r>
          </w:p>
        </w:tc>
        <w:tc>
          <w:tcPr>
            <w:tcW w:w="441" w:type="pct"/>
            <w:vAlign w:val="center"/>
          </w:tcPr>
          <w:p w14:paraId="7049A1BF">
            <w:pPr>
              <w:pStyle w:val="31"/>
            </w:pPr>
            <w:r>
              <w:rPr>
                <w:rFonts w:hint="eastAsia"/>
              </w:rPr>
              <w:t>工作船台</w:t>
            </w:r>
          </w:p>
        </w:tc>
        <w:tc>
          <w:tcPr>
            <w:tcW w:w="1516" w:type="pct"/>
            <w:vAlign w:val="center"/>
          </w:tcPr>
          <w:p w14:paraId="53CF194B">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17E1B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5C12AB3C">
            <w:pPr>
              <w:pStyle w:val="31"/>
            </w:pPr>
            <w:r>
              <w:rPr>
                <w:rFonts w:hint="eastAsia"/>
              </w:rPr>
              <w:t>10</w:t>
            </w:r>
          </w:p>
        </w:tc>
        <w:tc>
          <w:tcPr>
            <w:tcW w:w="748" w:type="pct"/>
            <w:vAlign w:val="center"/>
          </w:tcPr>
          <w:p w14:paraId="533FF536">
            <w:pPr>
              <w:pStyle w:val="31"/>
              <w:rPr>
                <w:kern w:val="0"/>
              </w:rPr>
            </w:pPr>
            <w:r>
              <w:t>含油废抹布</w:t>
            </w:r>
          </w:p>
        </w:tc>
        <w:tc>
          <w:tcPr>
            <w:tcW w:w="888" w:type="pct"/>
          </w:tcPr>
          <w:p w14:paraId="57AEFF58">
            <w:pPr>
              <w:pStyle w:val="31"/>
              <w:rPr>
                <w:kern w:val="0"/>
              </w:rPr>
            </w:pPr>
            <w:r>
              <w:t>900-023-29</w:t>
            </w:r>
          </w:p>
        </w:tc>
        <w:tc>
          <w:tcPr>
            <w:tcW w:w="488" w:type="pct"/>
          </w:tcPr>
          <w:p w14:paraId="6F86ADEE">
            <w:pPr>
              <w:pStyle w:val="31"/>
            </w:pPr>
            <w:r>
              <w:t>T</w:t>
            </w:r>
          </w:p>
        </w:tc>
        <w:tc>
          <w:tcPr>
            <w:tcW w:w="601" w:type="pct"/>
            <w:vAlign w:val="center"/>
          </w:tcPr>
          <w:p w14:paraId="1CCB70EF">
            <w:pPr>
              <w:pStyle w:val="31"/>
            </w:pPr>
            <w:r>
              <w:rPr>
                <w:rFonts w:hint="eastAsia"/>
              </w:rPr>
              <w:t>固体废物，</w:t>
            </w:r>
            <w:r>
              <w:t>S</w:t>
            </w:r>
          </w:p>
        </w:tc>
        <w:tc>
          <w:tcPr>
            <w:tcW w:w="441" w:type="pct"/>
            <w:vAlign w:val="center"/>
          </w:tcPr>
          <w:p w14:paraId="43B842D6">
            <w:pPr>
              <w:pStyle w:val="31"/>
            </w:pPr>
            <w:r>
              <w:rPr>
                <w:rFonts w:hint="eastAsia"/>
              </w:rPr>
              <w:t>工作船台</w:t>
            </w:r>
          </w:p>
        </w:tc>
        <w:tc>
          <w:tcPr>
            <w:tcW w:w="1516" w:type="pct"/>
            <w:vAlign w:val="center"/>
          </w:tcPr>
          <w:p w14:paraId="0EE8E68F">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r w14:paraId="63484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7"/>
            <w:vAlign w:val="center"/>
          </w:tcPr>
          <w:p w14:paraId="1F7EEC9F">
            <w:pPr>
              <w:pStyle w:val="31"/>
            </w:pPr>
            <w:r>
              <w:rPr>
                <w:rFonts w:hint="eastAsia"/>
              </w:rPr>
              <w:t>一般工业固体废物</w:t>
            </w:r>
          </w:p>
        </w:tc>
      </w:tr>
      <w:tr w14:paraId="6DFD7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67620028">
            <w:pPr>
              <w:pStyle w:val="31"/>
            </w:pPr>
            <w:r>
              <w:rPr>
                <w:rFonts w:hint="eastAsia"/>
              </w:rPr>
              <w:t>序号</w:t>
            </w:r>
          </w:p>
        </w:tc>
        <w:tc>
          <w:tcPr>
            <w:tcW w:w="748" w:type="pct"/>
            <w:vAlign w:val="center"/>
          </w:tcPr>
          <w:p w14:paraId="35ACEA0E">
            <w:pPr>
              <w:pStyle w:val="31"/>
            </w:pPr>
            <w:r>
              <w:rPr>
                <w:rFonts w:hint="eastAsia"/>
              </w:rPr>
              <w:t>名称</w:t>
            </w:r>
          </w:p>
        </w:tc>
        <w:tc>
          <w:tcPr>
            <w:tcW w:w="888" w:type="pct"/>
            <w:vAlign w:val="center"/>
          </w:tcPr>
          <w:p w14:paraId="459BE7AA">
            <w:pPr>
              <w:pStyle w:val="31"/>
            </w:pPr>
            <w:r>
              <w:rPr>
                <w:rFonts w:hint="eastAsia"/>
              </w:rPr>
              <w:t>代码</w:t>
            </w:r>
          </w:p>
        </w:tc>
        <w:tc>
          <w:tcPr>
            <w:tcW w:w="488" w:type="pct"/>
            <w:vAlign w:val="center"/>
          </w:tcPr>
          <w:p w14:paraId="091330AA">
            <w:pPr>
              <w:pStyle w:val="31"/>
            </w:pPr>
            <w:r>
              <w:rPr>
                <w:rFonts w:hint="eastAsia"/>
              </w:rPr>
              <w:t>危险特性</w:t>
            </w:r>
          </w:p>
        </w:tc>
        <w:tc>
          <w:tcPr>
            <w:tcW w:w="601" w:type="pct"/>
            <w:vAlign w:val="center"/>
          </w:tcPr>
          <w:p w14:paraId="403E9D4F">
            <w:pPr>
              <w:pStyle w:val="31"/>
            </w:pPr>
            <w:r>
              <w:rPr>
                <w:rFonts w:hint="eastAsia"/>
              </w:rPr>
              <w:t>物理性状</w:t>
            </w:r>
          </w:p>
        </w:tc>
        <w:tc>
          <w:tcPr>
            <w:tcW w:w="441" w:type="pct"/>
            <w:vAlign w:val="center"/>
          </w:tcPr>
          <w:p w14:paraId="3D25B857">
            <w:pPr>
              <w:pStyle w:val="31"/>
            </w:pPr>
            <w:r>
              <w:rPr>
                <w:rFonts w:hint="eastAsia"/>
              </w:rPr>
              <w:t>产生环节</w:t>
            </w:r>
          </w:p>
        </w:tc>
        <w:tc>
          <w:tcPr>
            <w:tcW w:w="1516" w:type="pct"/>
            <w:vAlign w:val="center"/>
          </w:tcPr>
          <w:p w14:paraId="6B1DB6DF">
            <w:pPr>
              <w:pStyle w:val="31"/>
            </w:pPr>
            <w:r>
              <w:rPr>
                <w:rFonts w:hint="eastAsia"/>
              </w:rPr>
              <w:t>去向</w:t>
            </w:r>
          </w:p>
        </w:tc>
      </w:tr>
      <w:tr w14:paraId="6319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8" w:type="pct"/>
            <w:vAlign w:val="center"/>
          </w:tcPr>
          <w:p w14:paraId="30D6A821">
            <w:pPr>
              <w:pStyle w:val="31"/>
            </w:pPr>
            <w:r>
              <w:rPr>
                <w:rFonts w:hint="eastAsia"/>
              </w:rPr>
              <w:t>1</w:t>
            </w:r>
          </w:p>
        </w:tc>
        <w:tc>
          <w:tcPr>
            <w:tcW w:w="748" w:type="pct"/>
            <w:vAlign w:val="center"/>
          </w:tcPr>
          <w:p w14:paraId="35FCB868">
            <w:pPr>
              <w:pStyle w:val="31"/>
              <w:rPr>
                <w:kern w:val="0"/>
              </w:rPr>
            </w:pPr>
            <w:r>
              <w:rPr>
                <w:rFonts w:hint="eastAsia"/>
              </w:rPr>
              <w:t>其他不可利用部分</w:t>
            </w:r>
          </w:p>
        </w:tc>
        <w:tc>
          <w:tcPr>
            <w:tcW w:w="888" w:type="pct"/>
            <w:vAlign w:val="center"/>
          </w:tcPr>
          <w:p w14:paraId="3B3B2D05">
            <w:pPr>
              <w:pStyle w:val="31"/>
            </w:pPr>
            <w:r>
              <w:rPr>
                <w:rFonts w:hint="eastAsia"/>
                <w:kern w:val="0"/>
              </w:rPr>
              <w:t>373-001-99</w:t>
            </w:r>
          </w:p>
        </w:tc>
        <w:tc>
          <w:tcPr>
            <w:tcW w:w="488" w:type="pct"/>
            <w:vAlign w:val="center"/>
          </w:tcPr>
          <w:p w14:paraId="683AFE58">
            <w:pPr>
              <w:pStyle w:val="31"/>
            </w:pPr>
            <w:r>
              <w:rPr>
                <w:rFonts w:hint="eastAsia"/>
              </w:rPr>
              <w:t>/</w:t>
            </w:r>
          </w:p>
        </w:tc>
        <w:tc>
          <w:tcPr>
            <w:tcW w:w="601" w:type="pct"/>
            <w:vAlign w:val="center"/>
          </w:tcPr>
          <w:p w14:paraId="3A3C5487">
            <w:pPr>
              <w:pStyle w:val="31"/>
            </w:pPr>
            <w:r>
              <w:rPr>
                <w:rFonts w:hint="eastAsia"/>
              </w:rPr>
              <w:t>固体废物，</w:t>
            </w:r>
            <w:r>
              <w:t>S</w:t>
            </w:r>
          </w:p>
        </w:tc>
        <w:tc>
          <w:tcPr>
            <w:tcW w:w="441" w:type="pct"/>
            <w:vAlign w:val="center"/>
          </w:tcPr>
          <w:p w14:paraId="3783A1B9">
            <w:pPr>
              <w:pStyle w:val="31"/>
            </w:pPr>
            <w:r>
              <w:rPr>
                <w:rFonts w:hint="eastAsia"/>
              </w:rPr>
              <w:t>工作船台</w:t>
            </w:r>
          </w:p>
        </w:tc>
        <w:tc>
          <w:tcPr>
            <w:tcW w:w="1516" w:type="pct"/>
            <w:vAlign w:val="center"/>
          </w:tcPr>
          <w:p w14:paraId="4FE01883">
            <w:pPr>
              <w:pStyle w:val="31"/>
            </w:pPr>
            <w:r>
              <w:rPr/>
              <w:sym w:font="Wingdings 2" w:char="F052"/>
            </w:r>
            <w:r>
              <w:rPr>
                <w:rFonts w:hint="eastAsia"/>
              </w:rPr>
              <w:t>自行贮存</w:t>
            </w:r>
            <w:r>
              <w:rPr/>
              <w:sym w:font="Wingdings 2" w:char="F0A3"/>
            </w:r>
            <w:r>
              <w:rPr>
                <w:rFonts w:hint="eastAsia"/>
              </w:rPr>
              <w:t>自行利用/处置</w:t>
            </w:r>
            <w:r>
              <w:rPr/>
              <w:sym w:font="Wingdings 2" w:char="F052"/>
            </w:r>
            <w:r>
              <w:rPr>
                <w:rFonts w:hint="eastAsia"/>
              </w:rPr>
              <w:t>委托贮存/利用/处置</w:t>
            </w:r>
          </w:p>
        </w:tc>
      </w:tr>
    </w:tbl>
    <w:p w14:paraId="50F7BBDC">
      <w:pPr>
        <w:pStyle w:val="23"/>
      </w:pPr>
    </w:p>
    <w:p w14:paraId="6CA69D0A">
      <w:pPr>
        <w:pStyle w:val="23"/>
        <w:bidi w:val="0"/>
      </w:pPr>
      <w:r>
        <w:rPr>
          <w:rFonts w:hint="eastAsia"/>
        </w:rPr>
        <w:t>表</w:t>
      </w:r>
      <w:r>
        <w:t>6.2-</w:t>
      </w:r>
      <w:r>
        <w:rPr>
          <w:rFonts w:hint="eastAsia"/>
          <w:lang w:val="en-US" w:eastAsia="zh-CN"/>
        </w:rPr>
        <w:t>2</w:t>
      </w:r>
      <w:r>
        <w:t xml:space="preserve"> </w:t>
      </w:r>
      <w:r>
        <w:rPr>
          <w:rFonts w:hint="eastAsia"/>
        </w:rPr>
        <w:t xml:space="preserve"> 企业自行贮存设施信息表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9"/>
        <w:gridCol w:w="2035"/>
        <w:gridCol w:w="2233"/>
        <w:gridCol w:w="1715"/>
      </w:tblGrid>
      <w:tr w14:paraId="099AF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vAlign w:val="center"/>
          </w:tcPr>
          <w:p w14:paraId="4EE38610">
            <w:pPr>
              <w:pStyle w:val="31"/>
            </w:pPr>
            <w:r>
              <w:rPr>
                <w:rFonts w:hint="eastAsia"/>
              </w:rPr>
              <w:t>自行贮存设施基本信息（危险废物）</w:t>
            </w:r>
          </w:p>
        </w:tc>
      </w:tr>
      <w:tr w14:paraId="25340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18036CB0">
            <w:pPr>
              <w:pStyle w:val="31"/>
            </w:pPr>
            <w:r>
              <w:rPr>
                <w:rFonts w:hint="eastAsia"/>
              </w:rPr>
              <w:t>名称</w:t>
            </w:r>
          </w:p>
        </w:tc>
        <w:tc>
          <w:tcPr>
            <w:tcW w:w="1194" w:type="pct"/>
            <w:vAlign w:val="center"/>
          </w:tcPr>
          <w:p w14:paraId="566D540F">
            <w:pPr>
              <w:pStyle w:val="31"/>
            </w:pPr>
            <w:r>
              <w:rPr>
                <w:rFonts w:hint="eastAsia"/>
              </w:rPr>
              <w:t>危险废物贮存区</w:t>
            </w:r>
          </w:p>
        </w:tc>
        <w:tc>
          <w:tcPr>
            <w:tcW w:w="1310" w:type="pct"/>
            <w:vAlign w:val="center"/>
          </w:tcPr>
          <w:p w14:paraId="3B3E9F29">
            <w:pPr>
              <w:pStyle w:val="31"/>
            </w:pPr>
            <w:r>
              <w:rPr>
                <w:rFonts w:hint="eastAsia"/>
              </w:rPr>
              <w:t>编号</w:t>
            </w:r>
          </w:p>
        </w:tc>
        <w:tc>
          <w:tcPr>
            <w:tcW w:w="1006" w:type="pct"/>
            <w:vAlign w:val="center"/>
          </w:tcPr>
          <w:p w14:paraId="6C6CCE52">
            <w:pPr>
              <w:pStyle w:val="31"/>
            </w:pPr>
            <w:r>
              <w:rPr>
                <w:rFonts w:hint="eastAsia"/>
              </w:rPr>
              <w:t>D</w:t>
            </w:r>
            <w:r>
              <w:t>S00</w:t>
            </w:r>
            <w:r>
              <w:rPr>
                <w:rFonts w:hint="eastAsia"/>
              </w:rPr>
              <w:t>2</w:t>
            </w:r>
          </w:p>
        </w:tc>
      </w:tr>
      <w:tr w14:paraId="1BBB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57B9F343">
            <w:pPr>
              <w:pStyle w:val="31"/>
            </w:pPr>
            <w:r>
              <w:rPr>
                <w:rFonts w:hint="eastAsia"/>
              </w:rPr>
              <w:t>类型</w:t>
            </w:r>
          </w:p>
        </w:tc>
        <w:tc>
          <w:tcPr>
            <w:tcW w:w="1194" w:type="pct"/>
            <w:vAlign w:val="center"/>
          </w:tcPr>
          <w:p w14:paraId="13B64615">
            <w:pPr>
              <w:pStyle w:val="31"/>
            </w:pPr>
            <w:r>
              <w:rPr/>
              <w:sym w:font="Wingdings 2" w:char="F052"/>
            </w:r>
            <w:r>
              <w:rPr>
                <w:rFonts w:hint="eastAsia"/>
              </w:rPr>
              <w:t>自行贮存设施</w:t>
            </w:r>
          </w:p>
          <w:p w14:paraId="52AB46F4">
            <w:pPr>
              <w:pStyle w:val="31"/>
            </w:pPr>
            <w:r>
              <w:rPr>
                <w:rFonts w:hint="eastAsia"/>
              </w:rPr>
              <w:sym w:font="Wingdings 2" w:char="F0A3"/>
            </w:r>
            <w:r>
              <w:rPr>
                <w:rFonts w:hint="eastAsia"/>
              </w:rPr>
              <w:t>自行利用/处置设施</w:t>
            </w:r>
          </w:p>
        </w:tc>
        <w:tc>
          <w:tcPr>
            <w:tcW w:w="1310" w:type="pct"/>
            <w:vAlign w:val="center"/>
          </w:tcPr>
          <w:p w14:paraId="0FCDE8BE">
            <w:pPr>
              <w:pStyle w:val="31"/>
            </w:pPr>
            <w:r>
              <w:rPr>
                <w:rFonts w:hint="eastAsia"/>
              </w:rPr>
              <w:t>位置</w:t>
            </w:r>
          </w:p>
        </w:tc>
        <w:tc>
          <w:tcPr>
            <w:tcW w:w="1006" w:type="pct"/>
            <w:vAlign w:val="center"/>
          </w:tcPr>
          <w:p w14:paraId="69667C4A">
            <w:pPr>
              <w:pStyle w:val="31"/>
            </w:pPr>
            <w:r>
              <w:rPr>
                <w:rFonts w:hint="eastAsia"/>
              </w:rPr>
              <w:t>工作船台（集装箱）</w:t>
            </w:r>
          </w:p>
        </w:tc>
      </w:tr>
      <w:tr w14:paraId="3C6A7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73638A00">
            <w:pPr>
              <w:pStyle w:val="31"/>
            </w:pPr>
            <w:r>
              <w:rPr>
                <w:rFonts w:hint="eastAsia"/>
              </w:rPr>
              <w:t>是否符合相关标准要求</w:t>
            </w:r>
          </w:p>
        </w:tc>
        <w:tc>
          <w:tcPr>
            <w:tcW w:w="1194" w:type="pct"/>
            <w:vAlign w:val="center"/>
          </w:tcPr>
          <w:p w14:paraId="4CB21730">
            <w:pPr>
              <w:pStyle w:val="31"/>
            </w:pPr>
            <w:r>
              <w:rPr/>
              <w:sym w:font="Wingdings 2" w:char="F052"/>
            </w:r>
            <w:r>
              <w:rPr>
                <w:rFonts w:hint="eastAsia"/>
              </w:rPr>
              <w:t xml:space="preserve">是 </w:t>
            </w:r>
            <w:r>
              <w:t xml:space="preserve"> </w:t>
            </w:r>
            <w:r>
              <w:rPr/>
              <w:sym w:font="Wingdings 2" w:char="F0A3"/>
            </w:r>
            <w:r>
              <w:rPr>
                <w:rFonts w:hint="eastAsia"/>
              </w:rPr>
              <w:t>否</w:t>
            </w:r>
          </w:p>
        </w:tc>
        <w:tc>
          <w:tcPr>
            <w:tcW w:w="1310" w:type="pct"/>
            <w:vAlign w:val="center"/>
          </w:tcPr>
          <w:p w14:paraId="67306992">
            <w:pPr>
              <w:pStyle w:val="31"/>
            </w:pPr>
            <w:r>
              <w:rPr>
                <w:rFonts w:hint="eastAsia"/>
              </w:rPr>
              <w:t>自行利用/处置方式</w:t>
            </w:r>
          </w:p>
        </w:tc>
        <w:tc>
          <w:tcPr>
            <w:tcW w:w="1006" w:type="pct"/>
            <w:vAlign w:val="center"/>
          </w:tcPr>
          <w:p w14:paraId="474EFDC6">
            <w:pPr>
              <w:pStyle w:val="31"/>
            </w:pPr>
            <w:r>
              <w:rPr>
                <w:rFonts w:hint="eastAsia"/>
              </w:rPr>
              <w:t>/</w:t>
            </w:r>
          </w:p>
        </w:tc>
      </w:tr>
      <w:tr w14:paraId="29AA3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5BA97BE8">
            <w:pPr>
              <w:pStyle w:val="31"/>
            </w:pPr>
            <w:r>
              <w:rPr>
                <w:rFonts w:hint="eastAsia"/>
              </w:rPr>
              <w:t>自行贮存能力</w:t>
            </w:r>
          </w:p>
        </w:tc>
        <w:tc>
          <w:tcPr>
            <w:tcW w:w="1194" w:type="pct"/>
            <w:vAlign w:val="center"/>
          </w:tcPr>
          <w:p w14:paraId="100363E7">
            <w:pPr>
              <w:pStyle w:val="31"/>
            </w:pPr>
            <w:r>
              <w:rPr>
                <w:rFonts w:hint="eastAsia"/>
                <w:lang w:val="en-US" w:eastAsia="zh-CN"/>
              </w:rPr>
              <w:t>40</w:t>
            </w:r>
            <w:r>
              <w:rPr>
                <w:rFonts w:hint="eastAsia"/>
              </w:rPr>
              <w:t>t</w:t>
            </w:r>
          </w:p>
        </w:tc>
        <w:tc>
          <w:tcPr>
            <w:tcW w:w="1310" w:type="pct"/>
            <w:vAlign w:val="center"/>
          </w:tcPr>
          <w:p w14:paraId="6D1C489E">
            <w:pPr>
              <w:pStyle w:val="31"/>
            </w:pPr>
            <w:r>
              <w:rPr>
                <w:rFonts w:hint="eastAsia"/>
              </w:rPr>
              <w:t>面积</w:t>
            </w:r>
          </w:p>
        </w:tc>
        <w:tc>
          <w:tcPr>
            <w:tcW w:w="1006" w:type="pct"/>
            <w:vAlign w:val="center"/>
          </w:tcPr>
          <w:p w14:paraId="711ABBF9">
            <w:pPr>
              <w:pStyle w:val="31"/>
            </w:pPr>
            <w:r>
              <w:rPr>
                <w:rFonts w:hint="eastAsia"/>
                <w:lang w:val="en-US" w:eastAsia="zh-CN"/>
              </w:rPr>
              <w:t>20</w:t>
            </w:r>
            <w:r>
              <w:rPr>
                <w:rFonts w:hint="eastAsia"/>
              </w:rPr>
              <w:t>m</w:t>
            </w:r>
            <w:r>
              <w:rPr>
                <w:vertAlign w:val="superscript"/>
              </w:rPr>
              <w:t>2</w:t>
            </w:r>
          </w:p>
        </w:tc>
      </w:tr>
      <w:tr w14:paraId="4ED7D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vAlign w:val="center"/>
          </w:tcPr>
          <w:p w14:paraId="01705E21">
            <w:pPr>
              <w:pStyle w:val="31"/>
            </w:pPr>
            <w:r>
              <w:rPr>
                <w:rFonts w:hint="eastAsia"/>
              </w:rPr>
              <w:t>自行贮存设施基本信息（一般工业固体废物）</w:t>
            </w:r>
          </w:p>
        </w:tc>
      </w:tr>
      <w:tr w14:paraId="4F546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4A20A952">
            <w:pPr>
              <w:pStyle w:val="31"/>
            </w:pPr>
            <w:r>
              <w:rPr>
                <w:rFonts w:hint="eastAsia"/>
              </w:rPr>
              <w:t>名称</w:t>
            </w:r>
          </w:p>
        </w:tc>
        <w:tc>
          <w:tcPr>
            <w:tcW w:w="1194" w:type="pct"/>
            <w:vAlign w:val="center"/>
          </w:tcPr>
          <w:p w14:paraId="620C9D9B">
            <w:pPr>
              <w:pStyle w:val="31"/>
            </w:pPr>
            <w:r>
              <w:rPr>
                <w:rFonts w:hint="eastAsia"/>
              </w:rPr>
              <w:t>一般固废暂存区</w:t>
            </w:r>
          </w:p>
        </w:tc>
        <w:tc>
          <w:tcPr>
            <w:tcW w:w="1310" w:type="pct"/>
            <w:vAlign w:val="center"/>
          </w:tcPr>
          <w:p w14:paraId="190735F4">
            <w:pPr>
              <w:pStyle w:val="31"/>
            </w:pPr>
            <w:r>
              <w:rPr>
                <w:rFonts w:hint="eastAsia"/>
              </w:rPr>
              <w:t>编号</w:t>
            </w:r>
          </w:p>
        </w:tc>
        <w:tc>
          <w:tcPr>
            <w:tcW w:w="1006" w:type="pct"/>
            <w:vAlign w:val="center"/>
          </w:tcPr>
          <w:p w14:paraId="44AD81AB">
            <w:pPr>
              <w:pStyle w:val="31"/>
            </w:pPr>
            <w:r>
              <w:rPr>
                <w:rFonts w:hint="eastAsia"/>
              </w:rPr>
              <w:t>D</w:t>
            </w:r>
            <w:r>
              <w:t>S00</w:t>
            </w:r>
            <w:r>
              <w:rPr>
                <w:rFonts w:hint="eastAsia"/>
              </w:rPr>
              <w:t>1</w:t>
            </w:r>
          </w:p>
        </w:tc>
      </w:tr>
      <w:tr w14:paraId="6F07E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74143075">
            <w:pPr>
              <w:pStyle w:val="31"/>
            </w:pPr>
            <w:r>
              <w:rPr>
                <w:rFonts w:hint="eastAsia"/>
              </w:rPr>
              <w:t>类型</w:t>
            </w:r>
          </w:p>
        </w:tc>
        <w:tc>
          <w:tcPr>
            <w:tcW w:w="1194" w:type="pct"/>
            <w:vAlign w:val="center"/>
          </w:tcPr>
          <w:p w14:paraId="4593DBDC">
            <w:pPr>
              <w:pStyle w:val="31"/>
            </w:pPr>
            <w:r>
              <w:rPr/>
              <w:sym w:font="Wingdings 2" w:char="F052"/>
            </w:r>
            <w:r>
              <w:rPr>
                <w:rFonts w:hint="eastAsia"/>
              </w:rPr>
              <w:t>自行贮存设施</w:t>
            </w:r>
          </w:p>
          <w:p w14:paraId="54665B5D">
            <w:pPr>
              <w:pStyle w:val="31"/>
            </w:pPr>
            <w:r>
              <w:rPr>
                <w:rFonts w:hint="eastAsia"/>
              </w:rPr>
              <w:sym w:font="Wingdings 2" w:char="F0A3"/>
            </w:r>
            <w:r>
              <w:rPr>
                <w:rFonts w:hint="eastAsia"/>
              </w:rPr>
              <w:t>自行利用/处置设施</w:t>
            </w:r>
          </w:p>
        </w:tc>
        <w:tc>
          <w:tcPr>
            <w:tcW w:w="1310" w:type="pct"/>
            <w:vAlign w:val="center"/>
          </w:tcPr>
          <w:p w14:paraId="75CBF3D2">
            <w:pPr>
              <w:pStyle w:val="31"/>
            </w:pPr>
            <w:r>
              <w:rPr>
                <w:rFonts w:hint="eastAsia"/>
              </w:rPr>
              <w:t>位置</w:t>
            </w:r>
          </w:p>
        </w:tc>
        <w:tc>
          <w:tcPr>
            <w:tcW w:w="1006" w:type="pct"/>
            <w:vAlign w:val="center"/>
          </w:tcPr>
          <w:p w14:paraId="2C55B4DA">
            <w:pPr>
              <w:pStyle w:val="31"/>
            </w:pPr>
            <w:r>
              <w:rPr>
                <w:rFonts w:hint="eastAsia"/>
              </w:rPr>
              <w:t>工作船台（集装箱）</w:t>
            </w:r>
          </w:p>
        </w:tc>
      </w:tr>
      <w:tr w14:paraId="1322C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490" w:type="pct"/>
            <w:vAlign w:val="center"/>
          </w:tcPr>
          <w:p w14:paraId="1D7E1034">
            <w:pPr>
              <w:pStyle w:val="31"/>
            </w:pPr>
            <w:r>
              <w:rPr>
                <w:rFonts w:hint="eastAsia"/>
              </w:rPr>
              <w:t>是否符合相关标准要求</w:t>
            </w:r>
          </w:p>
        </w:tc>
        <w:tc>
          <w:tcPr>
            <w:tcW w:w="1194" w:type="pct"/>
            <w:vAlign w:val="center"/>
          </w:tcPr>
          <w:p w14:paraId="0840562A">
            <w:pPr>
              <w:pStyle w:val="31"/>
            </w:pPr>
            <w:r>
              <w:rPr/>
              <w:sym w:font="Wingdings 2" w:char="F052"/>
            </w:r>
            <w:r>
              <w:rPr>
                <w:rFonts w:hint="eastAsia"/>
              </w:rPr>
              <w:t xml:space="preserve">是 </w:t>
            </w:r>
            <w:r>
              <w:t xml:space="preserve"> </w:t>
            </w:r>
            <w:r>
              <w:rPr/>
              <w:sym w:font="Wingdings 2" w:char="F0A3"/>
            </w:r>
            <w:r>
              <w:rPr>
                <w:rFonts w:hint="eastAsia"/>
              </w:rPr>
              <w:t>否</w:t>
            </w:r>
          </w:p>
        </w:tc>
        <w:tc>
          <w:tcPr>
            <w:tcW w:w="1310" w:type="pct"/>
            <w:vAlign w:val="center"/>
          </w:tcPr>
          <w:p w14:paraId="2736305F">
            <w:pPr>
              <w:pStyle w:val="31"/>
            </w:pPr>
            <w:r>
              <w:rPr>
                <w:rFonts w:hint="eastAsia"/>
              </w:rPr>
              <w:t>自行利用/处置方式</w:t>
            </w:r>
          </w:p>
        </w:tc>
        <w:tc>
          <w:tcPr>
            <w:tcW w:w="1006" w:type="pct"/>
            <w:vAlign w:val="center"/>
          </w:tcPr>
          <w:p w14:paraId="64EA7F4E">
            <w:pPr>
              <w:pStyle w:val="31"/>
            </w:pPr>
            <w:r>
              <w:rPr>
                <w:rFonts w:hint="eastAsia"/>
              </w:rPr>
              <w:t>/</w:t>
            </w:r>
          </w:p>
        </w:tc>
      </w:tr>
      <w:tr w14:paraId="6706B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pct"/>
            <w:vAlign w:val="center"/>
          </w:tcPr>
          <w:p w14:paraId="387399D1">
            <w:pPr>
              <w:pStyle w:val="31"/>
            </w:pPr>
            <w:r>
              <w:rPr>
                <w:rFonts w:hint="eastAsia"/>
              </w:rPr>
              <w:t>自行贮存能力</w:t>
            </w:r>
          </w:p>
        </w:tc>
        <w:tc>
          <w:tcPr>
            <w:tcW w:w="1194" w:type="pct"/>
            <w:vAlign w:val="center"/>
          </w:tcPr>
          <w:p w14:paraId="45E0B84C">
            <w:pPr>
              <w:pStyle w:val="31"/>
            </w:pPr>
            <w:r>
              <w:rPr>
                <w:rFonts w:hint="eastAsia"/>
                <w:lang w:val="en-US" w:eastAsia="zh-CN"/>
              </w:rPr>
              <w:t>10</w:t>
            </w:r>
            <w:r>
              <w:rPr>
                <w:rFonts w:hint="eastAsia"/>
              </w:rPr>
              <w:t>t</w:t>
            </w:r>
          </w:p>
        </w:tc>
        <w:tc>
          <w:tcPr>
            <w:tcW w:w="1310" w:type="pct"/>
            <w:vAlign w:val="center"/>
          </w:tcPr>
          <w:p w14:paraId="590B1F7D">
            <w:pPr>
              <w:pStyle w:val="31"/>
            </w:pPr>
            <w:r>
              <w:rPr>
                <w:rFonts w:hint="eastAsia"/>
              </w:rPr>
              <w:t>面积</w:t>
            </w:r>
          </w:p>
        </w:tc>
        <w:tc>
          <w:tcPr>
            <w:tcW w:w="1006" w:type="pct"/>
            <w:vAlign w:val="center"/>
          </w:tcPr>
          <w:p w14:paraId="1AC3DD1F">
            <w:pPr>
              <w:pStyle w:val="31"/>
              <w:rPr>
                <w:vertAlign w:val="superscript"/>
              </w:rPr>
            </w:pPr>
            <w:r>
              <w:rPr>
                <w:rFonts w:hint="eastAsia"/>
                <w:lang w:val="en-US" w:eastAsia="zh-CN"/>
              </w:rPr>
              <w:t>10</w:t>
            </w:r>
            <w:r>
              <w:rPr>
                <w:rFonts w:hint="eastAsia"/>
              </w:rPr>
              <w:t>m</w:t>
            </w:r>
            <w:r>
              <w:rPr>
                <w:vertAlign w:val="superscript"/>
              </w:rPr>
              <w:t>2</w:t>
            </w:r>
          </w:p>
        </w:tc>
      </w:tr>
    </w:tbl>
    <w:p w14:paraId="68B64B34">
      <w:pPr>
        <w:pStyle w:val="21"/>
        <w:ind w:firstLine="480"/>
      </w:pPr>
      <w:r>
        <w:t>本</w:t>
      </w:r>
      <w:r>
        <w:rPr>
          <w:rFonts w:hint="eastAsia"/>
        </w:rPr>
        <w:t>次扩建</w:t>
      </w:r>
      <w:r>
        <w:t>项目所产生危险固体废物经以上处理措施处理后，对周围环境影响不大。</w:t>
      </w:r>
    </w:p>
    <w:p w14:paraId="6FFD75BD">
      <w:pPr>
        <w:pStyle w:val="33"/>
      </w:pPr>
      <w:bookmarkStart w:id="179" w:name="_Toc20604"/>
      <w:r>
        <w:rPr>
          <w:rFonts w:hint="eastAsia"/>
        </w:rPr>
        <w:t>6.2.5地下水及土壤污染防治措施及其可行性论证</w:t>
      </w:r>
      <w:bookmarkEnd w:id="179"/>
    </w:p>
    <w:p w14:paraId="42E2D8E5">
      <w:pPr>
        <w:pStyle w:val="21"/>
        <w:ind w:firstLine="480"/>
      </w:pPr>
      <w:r>
        <w:rPr>
          <w:rFonts w:hint="eastAsia"/>
        </w:rPr>
        <w:t>1、切实可行的防治措施</w:t>
      </w:r>
    </w:p>
    <w:p w14:paraId="13A7983E">
      <w:pPr>
        <w:pStyle w:val="39"/>
        <w:ind w:firstLine="480"/>
        <w:rPr>
          <w:rFonts w:cs="Times New Roman"/>
        </w:rPr>
      </w:pPr>
      <w:r>
        <w:rPr>
          <w:rFonts w:hint="eastAsia"/>
        </w:rPr>
        <w:t>地下水环境保护措施与对策应符合《中华人民共和国水污染防治法》和《中华人民共和国环境影响评价法》的相关规定，按照“源头控制、分区防控、污染监控、应急响应”的原则确定，</w:t>
      </w:r>
      <w:r>
        <w:t>根据建设项目特点、调查评价区和场地环境水文地质条件，在建设项目可行性研究提出的污染防控对策的基础上，根据环境影响预测与评价结果，提出需要增加或完善的地下水环境保护措施和对策。</w:t>
      </w:r>
    </w:p>
    <w:p w14:paraId="1F884E34">
      <w:pPr>
        <w:pStyle w:val="23"/>
      </w:pPr>
      <w:r>
        <w:rPr>
          <w:rFonts w:hint="eastAsia"/>
        </w:rPr>
        <w:t>表6.2-3</w:t>
      </w:r>
      <w:r>
        <w:t xml:space="preserve">  </w:t>
      </w:r>
      <w:r>
        <w:rPr>
          <w:rFonts w:hint="eastAsia"/>
        </w:rPr>
        <w:t>扩建项目地下水污染防治措施及实施效果分析表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687"/>
        <w:gridCol w:w="2184"/>
        <w:gridCol w:w="2513"/>
        <w:gridCol w:w="1947"/>
        <w:gridCol w:w="718"/>
      </w:tblGrid>
      <w:tr w14:paraId="2D8D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8" w:type="pct"/>
            <w:vAlign w:val="center"/>
          </w:tcPr>
          <w:p w14:paraId="4B2CE5E6">
            <w:pPr>
              <w:pStyle w:val="31"/>
              <w:rPr>
                <w:rFonts w:cs="Times New Roman"/>
                <w:kern w:val="0"/>
              </w:rPr>
            </w:pPr>
            <w:r>
              <w:rPr>
                <w:rFonts w:hint="eastAsia" w:cs="Times New Roman"/>
                <w:kern w:val="0"/>
              </w:rPr>
              <w:t>序号</w:t>
            </w:r>
          </w:p>
        </w:tc>
        <w:tc>
          <w:tcPr>
            <w:tcW w:w="403" w:type="pct"/>
            <w:vAlign w:val="center"/>
          </w:tcPr>
          <w:p w14:paraId="147C8D90">
            <w:pPr>
              <w:pStyle w:val="31"/>
              <w:rPr>
                <w:rFonts w:cs="Times New Roman"/>
                <w:kern w:val="0"/>
              </w:rPr>
            </w:pPr>
            <w:r>
              <w:rPr>
                <w:rFonts w:hint="eastAsia" w:cs="Times New Roman"/>
                <w:kern w:val="0"/>
              </w:rPr>
              <w:t>防控措施</w:t>
            </w:r>
          </w:p>
        </w:tc>
        <w:tc>
          <w:tcPr>
            <w:tcW w:w="1281" w:type="pct"/>
            <w:vAlign w:val="center"/>
          </w:tcPr>
          <w:p w14:paraId="094F7B19">
            <w:pPr>
              <w:pStyle w:val="31"/>
              <w:rPr>
                <w:rFonts w:cs="Times New Roman"/>
                <w:kern w:val="0"/>
              </w:rPr>
            </w:pPr>
            <w:r>
              <w:rPr>
                <w:rFonts w:hint="eastAsia" w:cs="Times New Roman"/>
                <w:kern w:val="0"/>
              </w:rPr>
              <w:t>具体内容</w:t>
            </w:r>
          </w:p>
        </w:tc>
        <w:tc>
          <w:tcPr>
            <w:tcW w:w="1474" w:type="pct"/>
            <w:vAlign w:val="center"/>
          </w:tcPr>
          <w:p w14:paraId="493220E2">
            <w:pPr>
              <w:pStyle w:val="31"/>
              <w:rPr>
                <w:rFonts w:cs="Times New Roman"/>
                <w:kern w:val="0"/>
              </w:rPr>
            </w:pPr>
            <w:r>
              <w:rPr>
                <w:rFonts w:hint="eastAsia" w:cs="Times New Roman"/>
                <w:kern w:val="0"/>
              </w:rPr>
              <w:t>防控效果</w:t>
            </w:r>
          </w:p>
        </w:tc>
        <w:tc>
          <w:tcPr>
            <w:tcW w:w="1142" w:type="pct"/>
            <w:vAlign w:val="center"/>
          </w:tcPr>
          <w:p w14:paraId="23245DC9">
            <w:pPr>
              <w:pStyle w:val="31"/>
              <w:rPr>
                <w:rFonts w:cs="Times New Roman"/>
                <w:kern w:val="0"/>
              </w:rPr>
            </w:pPr>
            <w:r>
              <w:rPr>
                <w:rFonts w:hint="eastAsia" w:cs="Times New Roman"/>
                <w:kern w:val="0"/>
              </w:rPr>
              <w:t>可行性分析</w:t>
            </w:r>
          </w:p>
        </w:tc>
        <w:tc>
          <w:tcPr>
            <w:tcW w:w="421" w:type="pct"/>
            <w:vAlign w:val="center"/>
          </w:tcPr>
          <w:p w14:paraId="452EC023">
            <w:pPr>
              <w:pStyle w:val="31"/>
              <w:rPr>
                <w:rFonts w:cs="Times New Roman"/>
                <w:kern w:val="0"/>
              </w:rPr>
            </w:pPr>
            <w:r>
              <w:rPr>
                <w:rFonts w:hint="eastAsia" w:cs="Times New Roman"/>
                <w:kern w:val="0"/>
              </w:rPr>
              <w:t>投资估算</w:t>
            </w:r>
          </w:p>
        </w:tc>
      </w:tr>
      <w:tr w14:paraId="3D27A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8" w:type="pct"/>
            <w:vAlign w:val="center"/>
          </w:tcPr>
          <w:p w14:paraId="337AAB20">
            <w:pPr>
              <w:pStyle w:val="31"/>
              <w:rPr>
                <w:rFonts w:cs="Times New Roman"/>
                <w:kern w:val="0"/>
              </w:rPr>
            </w:pPr>
            <w:r>
              <w:rPr>
                <w:rFonts w:hint="eastAsia" w:cs="Times New Roman"/>
                <w:kern w:val="0"/>
              </w:rPr>
              <w:t>1</w:t>
            </w:r>
          </w:p>
        </w:tc>
        <w:tc>
          <w:tcPr>
            <w:tcW w:w="403" w:type="pct"/>
            <w:vAlign w:val="center"/>
          </w:tcPr>
          <w:p w14:paraId="0403B03D">
            <w:pPr>
              <w:pStyle w:val="31"/>
              <w:rPr>
                <w:rFonts w:cs="Times New Roman"/>
                <w:kern w:val="0"/>
              </w:rPr>
            </w:pPr>
            <w:r>
              <w:rPr>
                <w:rFonts w:hint="eastAsia" w:cs="Times New Roman"/>
                <w:kern w:val="0"/>
              </w:rPr>
              <w:t>源头控制</w:t>
            </w:r>
          </w:p>
        </w:tc>
        <w:tc>
          <w:tcPr>
            <w:tcW w:w="1281" w:type="pct"/>
            <w:vAlign w:val="center"/>
          </w:tcPr>
          <w:p w14:paraId="1C8CBDD3">
            <w:pPr>
              <w:pStyle w:val="31"/>
              <w:rPr>
                <w:rFonts w:cs="Times New Roman"/>
                <w:kern w:val="0"/>
              </w:rPr>
            </w:pPr>
            <w:r>
              <w:rPr>
                <w:rFonts w:hint="eastAsia" w:cs="Times New Roman"/>
                <w:kern w:val="0"/>
              </w:rPr>
              <w:t>严格按照国家现行相关规范运营，严禁非正常跑、冒、滴、漏，设备管理定期检修，聘请专业保洁每日清理地面</w:t>
            </w:r>
          </w:p>
        </w:tc>
        <w:tc>
          <w:tcPr>
            <w:tcW w:w="1474" w:type="pct"/>
            <w:vAlign w:val="center"/>
          </w:tcPr>
          <w:p w14:paraId="5E5AFAD4">
            <w:pPr>
              <w:pStyle w:val="31"/>
              <w:rPr>
                <w:rFonts w:cs="Times New Roman"/>
                <w:kern w:val="0"/>
              </w:rPr>
            </w:pPr>
            <w:r>
              <w:rPr>
                <w:rFonts w:hint="eastAsia" w:cs="Times New Roman"/>
                <w:kern w:val="0"/>
              </w:rPr>
              <w:t>避免拆卸过程造成废料、风险物质残留地面，对场地及周边环境造成的影响可控</w:t>
            </w:r>
          </w:p>
        </w:tc>
        <w:tc>
          <w:tcPr>
            <w:tcW w:w="1142" w:type="pct"/>
            <w:vAlign w:val="center"/>
          </w:tcPr>
          <w:p w14:paraId="6355732D">
            <w:pPr>
              <w:pStyle w:val="31"/>
              <w:rPr>
                <w:rFonts w:cs="Times New Roman"/>
                <w:kern w:val="0"/>
              </w:rPr>
            </w:pPr>
            <w:r>
              <w:rPr>
                <w:rFonts w:hint="eastAsia" w:cs="Times New Roman"/>
                <w:kern w:val="0"/>
              </w:rPr>
              <w:t>仅人员工资和日常监管制度落实，措施在经济、技术方面有效可行</w:t>
            </w:r>
          </w:p>
        </w:tc>
        <w:tc>
          <w:tcPr>
            <w:tcW w:w="421" w:type="pct"/>
            <w:vAlign w:val="center"/>
          </w:tcPr>
          <w:p w14:paraId="60306F38">
            <w:pPr>
              <w:pStyle w:val="31"/>
              <w:rPr>
                <w:rFonts w:cs="Times New Roman"/>
                <w:kern w:val="0"/>
              </w:rPr>
            </w:pPr>
            <w:r>
              <w:rPr>
                <w:rFonts w:cs="Times New Roman"/>
                <w:kern w:val="0"/>
              </w:rPr>
              <w:t>4</w:t>
            </w:r>
            <w:r>
              <w:rPr>
                <w:rFonts w:hint="eastAsia" w:cs="Times New Roman"/>
                <w:kern w:val="0"/>
              </w:rPr>
              <w:t>w</w:t>
            </w:r>
          </w:p>
        </w:tc>
      </w:tr>
      <w:tr w14:paraId="056B8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8" w:type="pct"/>
            <w:vAlign w:val="center"/>
          </w:tcPr>
          <w:p w14:paraId="35C23E2A">
            <w:pPr>
              <w:pStyle w:val="31"/>
              <w:rPr>
                <w:rFonts w:cs="Times New Roman"/>
                <w:kern w:val="0"/>
              </w:rPr>
            </w:pPr>
            <w:r>
              <w:rPr>
                <w:rFonts w:hint="eastAsia" w:cs="Times New Roman"/>
                <w:kern w:val="0"/>
              </w:rPr>
              <w:t>2</w:t>
            </w:r>
          </w:p>
        </w:tc>
        <w:tc>
          <w:tcPr>
            <w:tcW w:w="403" w:type="pct"/>
            <w:vAlign w:val="center"/>
          </w:tcPr>
          <w:p w14:paraId="77D7A2ED">
            <w:pPr>
              <w:pStyle w:val="31"/>
              <w:rPr>
                <w:rFonts w:cs="Times New Roman"/>
                <w:kern w:val="0"/>
              </w:rPr>
            </w:pPr>
            <w:r>
              <w:rPr>
                <w:rFonts w:hint="eastAsia" w:cs="Times New Roman"/>
                <w:kern w:val="0"/>
              </w:rPr>
              <w:t>分区防控</w:t>
            </w:r>
          </w:p>
        </w:tc>
        <w:tc>
          <w:tcPr>
            <w:tcW w:w="1281" w:type="pct"/>
            <w:vAlign w:val="center"/>
          </w:tcPr>
          <w:p w14:paraId="26925DDA">
            <w:pPr>
              <w:pStyle w:val="31"/>
              <w:rPr>
                <w:rFonts w:cs="Times New Roman"/>
                <w:kern w:val="0"/>
              </w:rPr>
            </w:pPr>
            <w:r>
              <w:rPr>
                <w:rFonts w:hint="eastAsia" w:cs="Times New Roman"/>
                <w:kern w:val="0"/>
              </w:rPr>
              <w:t>将工作船台、应急池和隔油沉淀池作为一般防渗区，工作船台配有环形导流沟，厂界内其他区域作为简单防渗区即可</w:t>
            </w:r>
          </w:p>
        </w:tc>
        <w:tc>
          <w:tcPr>
            <w:tcW w:w="1474" w:type="pct"/>
            <w:vAlign w:val="center"/>
          </w:tcPr>
          <w:p w14:paraId="5827427F">
            <w:pPr>
              <w:pStyle w:val="31"/>
              <w:rPr>
                <w:rFonts w:cs="Times New Roman"/>
                <w:kern w:val="0"/>
              </w:rPr>
            </w:pPr>
            <w:r>
              <w:rPr>
                <w:rFonts w:hint="eastAsia" w:cs="Times New Roman"/>
                <w:kern w:val="0"/>
              </w:rPr>
              <w:t>首先通过一般防渗区设置，避免工作船台内产生的废料及风险物质直接对土壤、地下水环境造成污染；应急池、隔油沉淀池，可有效收集初期雨水和突发环境事件产生废水，可有效防止污染水环境</w:t>
            </w:r>
          </w:p>
        </w:tc>
        <w:tc>
          <w:tcPr>
            <w:tcW w:w="1142" w:type="pct"/>
            <w:vAlign w:val="center"/>
          </w:tcPr>
          <w:p w14:paraId="752ED4DB">
            <w:pPr>
              <w:pStyle w:val="31"/>
              <w:rPr>
                <w:rFonts w:cs="Times New Roman"/>
                <w:kern w:val="0"/>
              </w:rPr>
            </w:pPr>
            <w:r>
              <w:rPr>
                <w:rFonts w:hint="eastAsia" w:cs="Times New Roman"/>
                <w:kern w:val="0"/>
              </w:rPr>
              <w:t>厂区内横向导流沟由于船体上台会造成损坏，采用废旧轮胎在牵引路线上进行保护，确保导流沟连通有效收集防止废水外排，经济技术均可行</w:t>
            </w:r>
          </w:p>
        </w:tc>
        <w:tc>
          <w:tcPr>
            <w:tcW w:w="421" w:type="pct"/>
            <w:vAlign w:val="center"/>
          </w:tcPr>
          <w:p w14:paraId="20A8C3C8">
            <w:pPr>
              <w:pStyle w:val="31"/>
              <w:rPr>
                <w:rFonts w:cs="Times New Roman"/>
                <w:kern w:val="0"/>
              </w:rPr>
            </w:pPr>
            <w:r>
              <w:rPr>
                <w:rFonts w:hint="eastAsia" w:cs="Times New Roman"/>
                <w:kern w:val="0"/>
              </w:rPr>
              <w:t>6w</w:t>
            </w:r>
          </w:p>
        </w:tc>
      </w:tr>
      <w:tr w14:paraId="4E58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8" w:type="pct"/>
            <w:vAlign w:val="center"/>
          </w:tcPr>
          <w:p w14:paraId="09B1F418">
            <w:pPr>
              <w:pStyle w:val="31"/>
              <w:rPr>
                <w:rFonts w:cs="Times New Roman"/>
                <w:kern w:val="0"/>
              </w:rPr>
            </w:pPr>
            <w:r>
              <w:rPr>
                <w:rFonts w:hint="eastAsia" w:cs="Times New Roman"/>
                <w:kern w:val="0"/>
              </w:rPr>
              <w:t>3</w:t>
            </w:r>
          </w:p>
        </w:tc>
        <w:tc>
          <w:tcPr>
            <w:tcW w:w="403" w:type="pct"/>
            <w:vAlign w:val="center"/>
          </w:tcPr>
          <w:p w14:paraId="0AEDF9A4">
            <w:pPr>
              <w:pStyle w:val="31"/>
              <w:rPr>
                <w:rFonts w:cs="Times New Roman"/>
                <w:kern w:val="0"/>
              </w:rPr>
            </w:pPr>
            <w:r>
              <w:rPr>
                <w:rFonts w:hint="eastAsia" w:cs="Times New Roman"/>
                <w:kern w:val="0"/>
              </w:rPr>
              <w:t>污染监控</w:t>
            </w:r>
          </w:p>
        </w:tc>
        <w:tc>
          <w:tcPr>
            <w:tcW w:w="1281" w:type="pct"/>
            <w:vAlign w:val="center"/>
          </w:tcPr>
          <w:p w14:paraId="668EAF8A">
            <w:pPr>
              <w:pStyle w:val="31"/>
              <w:rPr>
                <w:rFonts w:cs="Times New Roman"/>
                <w:kern w:val="0"/>
              </w:rPr>
            </w:pPr>
            <w:r>
              <w:rPr>
                <w:rFonts w:hint="eastAsia" w:cs="Times New Roman"/>
                <w:kern w:val="0"/>
              </w:rPr>
              <w:t>在办公区设置1口地下水监测井，做好日常维护及监测</w:t>
            </w:r>
          </w:p>
        </w:tc>
        <w:tc>
          <w:tcPr>
            <w:tcW w:w="1474" w:type="pct"/>
            <w:vAlign w:val="center"/>
          </w:tcPr>
          <w:p w14:paraId="0AF12C5C">
            <w:pPr>
              <w:pStyle w:val="31"/>
              <w:rPr>
                <w:rFonts w:cs="Times New Roman"/>
                <w:kern w:val="0"/>
              </w:rPr>
            </w:pPr>
            <w:r>
              <w:rPr>
                <w:rFonts w:hint="eastAsia" w:cs="Times New Roman"/>
                <w:kern w:val="0"/>
              </w:rPr>
              <w:t>根据</w:t>
            </w:r>
            <w:r>
              <w:rPr>
                <w:rFonts w:cs="Times New Roman"/>
                <w:kern w:val="0"/>
              </w:rPr>
              <w:t>HJ 610-2016</w:t>
            </w:r>
            <w:r>
              <w:rPr>
                <w:rFonts w:hint="eastAsia" w:cs="Times New Roman"/>
                <w:kern w:val="0"/>
              </w:rPr>
              <w:t>三级评价不少于1个监测点，在场地下游布置，厂区总出水口建设监测井符合上述要求</w:t>
            </w:r>
          </w:p>
        </w:tc>
        <w:tc>
          <w:tcPr>
            <w:tcW w:w="1142" w:type="pct"/>
            <w:vAlign w:val="center"/>
          </w:tcPr>
          <w:p w14:paraId="613F7620">
            <w:pPr>
              <w:pStyle w:val="31"/>
              <w:rPr>
                <w:rFonts w:cs="Times New Roman"/>
                <w:kern w:val="0"/>
              </w:rPr>
            </w:pPr>
            <w:r>
              <w:rPr>
                <w:rFonts w:hint="eastAsia" w:cs="Times New Roman"/>
                <w:kern w:val="0"/>
              </w:rPr>
              <w:t>符合国家相关规定</w:t>
            </w:r>
          </w:p>
        </w:tc>
        <w:tc>
          <w:tcPr>
            <w:tcW w:w="421" w:type="pct"/>
            <w:vAlign w:val="center"/>
          </w:tcPr>
          <w:p w14:paraId="5AA38603">
            <w:pPr>
              <w:pStyle w:val="31"/>
              <w:rPr>
                <w:rFonts w:cs="Times New Roman"/>
                <w:kern w:val="0"/>
              </w:rPr>
            </w:pPr>
            <w:r>
              <w:rPr>
                <w:rFonts w:hint="eastAsia" w:cs="Times New Roman"/>
                <w:kern w:val="0"/>
              </w:rPr>
              <w:t>2w</w:t>
            </w:r>
          </w:p>
        </w:tc>
      </w:tr>
      <w:tr w14:paraId="3F825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8" w:type="pct"/>
            <w:vAlign w:val="center"/>
          </w:tcPr>
          <w:p w14:paraId="4668B097">
            <w:pPr>
              <w:pStyle w:val="31"/>
              <w:rPr>
                <w:rFonts w:cs="Times New Roman"/>
                <w:kern w:val="0"/>
              </w:rPr>
            </w:pPr>
            <w:r>
              <w:rPr>
                <w:rFonts w:hint="eastAsia" w:cs="Times New Roman"/>
                <w:kern w:val="0"/>
              </w:rPr>
              <w:t>4</w:t>
            </w:r>
          </w:p>
        </w:tc>
        <w:tc>
          <w:tcPr>
            <w:tcW w:w="403" w:type="pct"/>
            <w:vAlign w:val="center"/>
          </w:tcPr>
          <w:p w14:paraId="394B6BD2">
            <w:pPr>
              <w:pStyle w:val="31"/>
              <w:rPr>
                <w:rFonts w:cs="Times New Roman"/>
                <w:kern w:val="0"/>
              </w:rPr>
            </w:pPr>
            <w:r>
              <w:rPr>
                <w:rFonts w:hint="eastAsia" w:cs="Times New Roman"/>
                <w:kern w:val="0"/>
              </w:rPr>
              <w:t>应急响应</w:t>
            </w:r>
          </w:p>
        </w:tc>
        <w:tc>
          <w:tcPr>
            <w:tcW w:w="1281" w:type="pct"/>
            <w:vAlign w:val="center"/>
          </w:tcPr>
          <w:p w14:paraId="1D741E66">
            <w:pPr>
              <w:pStyle w:val="31"/>
              <w:rPr>
                <w:rFonts w:cs="Times New Roman"/>
                <w:kern w:val="0"/>
              </w:rPr>
            </w:pPr>
            <w:r>
              <w:rPr>
                <w:rFonts w:hint="eastAsia" w:cs="Times New Roman"/>
                <w:kern w:val="0"/>
              </w:rPr>
              <w:t>本次扩建项目位于厂区北侧，设有应急池，配套环形导流沟、切换阀和隔油沉淀池，可有效控制突发情形下的污染物外泄，项目运行前及时修订应急预案并备案</w:t>
            </w:r>
          </w:p>
        </w:tc>
        <w:tc>
          <w:tcPr>
            <w:tcW w:w="1474" w:type="pct"/>
            <w:vAlign w:val="center"/>
          </w:tcPr>
          <w:p w14:paraId="0ABEF0FF">
            <w:pPr>
              <w:pStyle w:val="31"/>
              <w:rPr>
                <w:rFonts w:cs="Times New Roman"/>
                <w:kern w:val="0"/>
              </w:rPr>
            </w:pPr>
            <w:r>
              <w:rPr>
                <w:rFonts w:hint="eastAsia" w:cs="Times New Roman"/>
                <w:kern w:val="0"/>
              </w:rPr>
              <w:t>作为突发环境事件风险防控措施的最主要的一部分</w:t>
            </w:r>
          </w:p>
        </w:tc>
        <w:tc>
          <w:tcPr>
            <w:tcW w:w="1142" w:type="pct"/>
            <w:vAlign w:val="center"/>
          </w:tcPr>
          <w:p w14:paraId="5A30141E">
            <w:pPr>
              <w:pStyle w:val="31"/>
              <w:rPr>
                <w:rFonts w:cs="Times New Roman"/>
                <w:kern w:val="0"/>
              </w:rPr>
            </w:pPr>
            <w:r>
              <w:rPr>
                <w:rFonts w:hint="eastAsia" w:cs="Times New Roman"/>
                <w:kern w:val="0"/>
              </w:rPr>
              <w:t>及时修订突发环境事件应急预案，本次评价所提出措施符合相关要求</w:t>
            </w:r>
          </w:p>
        </w:tc>
        <w:tc>
          <w:tcPr>
            <w:tcW w:w="421" w:type="pct"/>
            <w:vAlign w:val="center"/>
          </w:tcPr>
          <w:p w14:paraId="0180A68F">
            <w:pPr>
              <w:pStyle w:val="31"/>
              <w:rPr>
                <w:rFonts w:cs="Times New Roman"/>
                <w:kern w:val="0"/>
              </w:rPr>
            </w:pPr>
            <w:r>
              <w:rPr>
                <w:rFonts w:hint="eastAsia" w:cs="Times New Roman"/>
                <w:kern w:val="0"/>
              </w:rPr>
              <w:t>1</w:t>
            </w:r>
            <w:r>
              <w:rPr>
                <w:rFonts w:cs="Times New Roman"/>
                <w:kern w:val="0"/>
              </w:rPr>
              <w:t>.5</w:t>
            </w:r>
            <w:r>
              <w:rPr>
                <w:rFonts w:hint="eastAsia" w:cs="Times New Roman"/>
                <w:kern w:val="0"/>
              </w:rPr>
              <w:t>w</w:t>
            </w:r>
          </w:p>
        </w:tc>
      </w:tr>
    </w:tbl>
    <w:p w14:paraId="079255F3">
      <w:pPr>
        <w:pStyle w:val="21"/>
        <w:ind w:firstLine="480"/>
        <w:rPr>
          <w:rFonts w:cs="宋体"/>
          <w:bCs/>
          <w:kern w:val="0"/>
        </w:rPr>
      </w:pPr>
      <w:r>
        <w:rPr>
          <w:rFonts w:hint="eastAsia"/>
        </w:rPr>
        <w:t>根据上述，明确本次扩建项目分区情况和防控相关要求：</w:t>
      </w:r>
    </w:p>
    <w:p w14:paraId="13F80952">
      <w:pPr>
        <w:pStyle w:val="23"/>
        <w:rPr>
          <w:rFonts w:cs="宋体"/>
          <w:bCs/>
          <w:kern w:val="0"/>
          <w:szCs w:val="21"/>
        </w:rPr>
      </w:pPr>
      <w:r>
        <w:rPr>
          <w:rFonts w:hint="eastAsia"/>
        </w:rPr>
        <w:t>表6.2-4</w:t>
      </w:r>
      <w:r>
        <w:t xml:space="preserve"> </w:t>
      </w:r>
      <w:r>
        <w:rPr>
          <w:rFonts w:hint="eastAsia"/>
        </w:rPr>
        <w:t xml:space="preserve"> 项目分区措施一览表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934"/>
        <w:gridCol w:w="1381"/>
        <w:gridCol w:w="5740"/>
      </w:tblGrid>
      <w:tr w14:paraId="01896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4" w:type="pct"/>
            <w:vAlign w:val="center"/>
          </w:tcPr>
          <w:p w14:paraId="2D8A518D">
            <w:pPr>
              <w:pStyle w:val="31"/>
            </w:pPr>
            <w:r>
              <w:rPr>
                <w:rFonts w:hint="eastAsia"/>
              </w:rPr>
              <w:t>序号</w:t>
            </w:r>
          </w:p>
        </w:tc>
        <w:tc>
          <w:tcPr>
            <w:tcW w:w="548" w:type="pct"/>
            <w:vAlign w:val="center"/>
          </w:tcPr>
          <w:p w14:paraId="2E6761FE">
            <w:pPr>
              <w:pStyle w:val="31"/>
            </w:pPr>
            <w:r>
              <w:rPr>
                <w:rFonts w:hint="eastAsia"/>
              </w:rPr>
              <w:t>分区类别</w:t>
            </w:r>
          </w:p>
        </w:tc>
        <w:tc>
          <w:tcPr>
            <w:tcW w:w="810" w:type="pct"/>
            <w:vAlign w:val="center"/>
          </w:tcPr>
          <w:p w14:paraId="4F2729F6">
            <w:pPr>
              <w:pStyle w:val="31"/>
            </w:pPr>
            <w:r>
              <w:rPr>
                <w:rFonts w:hint="eastAsia"/>
              </w:rPr>
              <w:t>范围</w:t>
            </w:r>
          </w:p>
        </w:tc>
        <w:tc>
          <w:tcPr>
            <w:tcW w:w="3368" w:type="pct"/>
            <w:vAlign w:val="center"/>
          </w:tcPr>
          <w:p w14:paraId="2C81904B">
            <w:pPr>
              <w:pStyle w:val="31"/>
            </w:pPr>
            <w:r>
              <w:rPr>
                <w:rFonts w:hint="eastAsia"/>
              </w:rPr>
              <w:t>防渗标准</w:t>
            </w:r>
          </w:p>
        </w:tc>
      </w:tr>
      <w:tr w14:paraId="6444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4" w:type="pct"/>
            <w:vAlign w:val="center"/>
          </w:tcPr>
          <w:p w14:paraId="0EBA8EE0">
            <w:pPr>
              <w:pStyle w:val="31"/>
            </w:pPr>
            <w:r>
              <w:t>1</w:t>
            </w:r>
          </w:p>
        </w:tc>
        <w:tc>
          <w:tcPr>
            <w:tcW w:w="548" w:type="pct"/>
            <w:vAlign w:val="center"/>
          </w:tcPr>
          <w:p w14:paraId="2607E066">
            <w:pPr>
              <w:pStyle w:val="31"/>
            </w:pPr>
            <w:r>
              <w:rPr>
                <w:rFonts w:hint="eastAsia"/>
              </w:rPr>
              <w:t>一般防渗区</w:t>
            </w:r>
          </w:p>
        </w:tc>
        <w:tc>
          <w:tcPr>
            <w:tcW w:w="810" w:type="pct"/>
            <w:vAlign w:val="center"/>
          </w:tcPr>
          <w:p w14:paraId="173870CD">
            <w:pPr>
              <w:pStyle w:val="31"/>
            </w:pPr>
            <w:r>
              <w:rPr>
                <w:rFonts w:hint="eastAsia"/>
              </w:rPr>
              <w:t>工作船台、应急池、隔油沉淀池</w:t>
            </w:r>
          </w:p>
        </w:tc>
        <w:tc>
          <w:tcPr>
            <w:tcW w:w="3368" w:type="pct"/>
            <w:vAlign w:val="center"/>
          </w:tcPr>
          <w:p w14:paraId="6B4C2C18">
            <w:pPr>
              <w:pStyle w:val="31"/>
            </w:pPr>
            <w:r>
              <w:rPr>
                <w:rFonts w:hint="eastAsia"/>
              </w:rPr>
              <w:t>等效黏土防渗层Mb≥1.5m，渗透系数k≤1.0×10</w:t>
            </w:r>
            <w:r>
              <w:rPr>
                <w:rFonts w:hint="eastAsia"/>
                <w:vertAlign w:val="superscript"/>
              </w:rPr>
              <w:t>-7</w:t>
            </w:r>
            <w:r>
              <w:rPr>
                <w:rFonts w:hint="eastAsia"/>
              </w:rPr>
              <w:t>cm/s，或参照GB18598执行；</w:t>
            </w:r>
          </w:p>
        </w:tc>
      </w:tr>
      <w:tr w14:paraId="457E5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4" w:type="pct"/>
            <w:vAlign w:val="center"/>
          </w:tcPr>
          <w:p w14:paraId="32CC0925">
            <w:pPr>
              <w:pStyle w:val="31"/>
            </w:pPr>
            <w:r>
              <w:t>2</w:t>
            </w:r>
          </w:p>
        </w:tc>
        <w:tc>
          <w:tcPr>
            <w:tcW w:w="548" w:type="pct"/>
            <w:vAlign w:val="center"/>
          </w:tcPr>
          <w:p w14:paraId="588792FA">
            <w:pPr>
              <w:pStyle w:val="31"/>
            </w:pPr>
            <w:r>
              <w:rPr>
                <w:rFonts w:hint="eastAsia"/>
              </w:rPr>
              <w:t>简单防渗区</w:t>
            </w:r>
          </w:p>
        </w:tc>
        <w:tc>
          <w:tcPr>
            <w:tcW w:w="810" w:type="pct"/>
            <w:vAlign w:val="center"/>
          </w:tcPr>
          <w:p w14:paraId="641E660C">
            <w:pPr>
              <w:pStyle w:val="31"/>
            </w:pPr>
            <w:r>
              <w:rPr>
                <w:rFonts w:hint="eastAsia"/>
              </w:rPr>
              <w:t>厂界内其他区域</w:t>
            </w:r>
          </w:p>
        </w:tc>
        <w:tc>
          <w:tcPr>
            <w:tcW w:w="3368" w:type="pct"/>
            <w:vAlign w:val="center"/>
          </w:tcPr>
          <w:p w14:paraId="7D3DC368">
            <w:pPr>
              <w:pStyle w:val="31"/>
            </w:pPr>
            <w:r>
              <w:rPr>
                <w:rFonts w:hint="eastAsia"/>
              </w:rPr>
              <w:t>一般地面硬化，现有项目已满足</w:t>
            </w:r>
          </w:p>
        </w:tc>
      </w:tr>
    </w:tbl>
    <w:p w14:paraId="1C33A7CD">
      <w:pPr>
        <w:pStyle w:val="39"/>
        <w:ind w:firstLine="480"/>
        <w:rPr>
          <w:rFonts w:cs="Times New Roman"/>
        </w:rPr>
      </w:pPr>
      <w:r>
        <w:rPr>
          <w:rFonts w:hint="eastAsia" w:cs="宋体"/>
          <w:bCs/>
          <w:kern w:val="0"/>
        </w:rPr>
        <w:t>本次扩建项目采取源头控制、分区防控等措施前提下，可有效避免或防控污染物下渗污染地下水，项目运营期间不会对场地地下水环境产生明显的影响。</w:t>
      </w:r>
    </w:p>
    <w:p w14:paraId="04B911A2">
      <w:pPr>
        <w:pStyle w:val="21"/>
        <w:ind w:firstLine="480"/>
        <w:rPr>
          <w:u w:val="single"/>
        </w:rPr>
      </w:pPr>
      <w:r>
        <w:rPr>
          <w:rStyle w:val="22"/>
          <w:rFonts w:hint="eastAsia"/>
        </w:rPr>
        <w:t>2、</w:t>
      </w:r>
      <w:r>
        <w:rPr>
          <w:rFonts w:hint="eastAsia"/>
        </w:rPr>
        <w:t>跟踪监测计划</w:t>
      </w:r>
    </w:p>
    <w:p w14:paraId="4AE62322">
      <w:pPr>
        <w:pStyle w:val="39"/>
        <w:ind w:firstLine="480"/>
      </w:pPr>
      <w:r>
        <w:rPr>
          <w:rFonts w:hint="eastAsia"/>
        </w:rPr>
        <w:t>根据项目实际建设情况明确地下水水质监测基本要求，本次扩建项目需配备1处地下水监测井位于办公区原水井，具体布设情况见下表。</w:t>
      </w:r>
    </w:p>
    <w:p w14:paraId="79DE9A6D">
      <w:pPr>
        <w:pStyle w:val="23"/>
      </w:pPr>
      <w:r>
        <w:t>表</w:t>
      </w:r>
      <w:r>
        <w:rPr>
          <w:rFonts w:hint="eastAsia"/>
        </w:rPr>
        <w:t>6.2</w:t>
      </w:r>
      <w:r>
        <w:t>-</w:t>
      </w:r>
      <w:r>
        <w:rPr>
          <w:rFonts w:hint="eastAsia"/>
        </w:rPr>
        <w:t>5</w:t>
      </w:r>
      <w:r>
        <w:t xml:space="preserve">  </w:t>
      </w:r>
      <w:r>
        <w:rPr>
          <w:rFonts w:hint="eastAsia"/>
        </w:rPr>
        <w:t>项目跟踪监测点信息表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442"/>
        <w:gridCol w:w="1333"/>
        <w:gridCol w:w="692"/>
        <w:gridCol w:w="1603"/>
        <w:gridCol w:w="1364"/>
        <w:gridCol w:w="672"/>
        <w:gridCol w:w="668"/>
      </w:tblGrid>
      <w:tr w14:paraId="36DBB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39" w:type="pct"/>
            <w:vMerge w:val="restart"/>
            <w:vAlign w:val="center"/>
          </w:tcPr>
          <w:p w14:paraId="6BD747F3">
            <w:pPr>
              <w:pStyle w:val="31"/>
              <w:rPr>
                <w:rFonts w:cs="Times New Roman"/>
                <w:kern w:val="0"/>
              </w:rPr>
            </w:pPr>
            <w:r>
              <w:rPr>
                <w:rFonts w:hint="eastAsia" w:cs="Times New Roman"/>
                <w:kern w:val="0"/>
              </w:rPr>
              <w:t>名称</w:t>
            </w:r>
          </w:p>
        </w:tc>
        <w:tc>
          <w:tcPr>
            <w:tcW w:w="1628" w:type="pct"/>
            <w:gridSpan w:val="2"/>
            <w:vAlign w:val="center"/>
          </w:tcPr>
          <w:p w14:paraId="3CF014F6">
            <w:pPr>
              <w:pStyle w:val="31"/>
              <w:rPr>
                <w:rFonts w:cs="Times New Roman"/>
                <w:kern w:val="0"/>
              </w:rPr>
            </w:pPr>
            <w:r>
              <w:rPr>
                <w:rFonts w:hint="eastAsia" w:cs="Times New Roman"/>
                <w:kern w:val="0"/>
              </w:rPr>
              <w:t>坐标</w:t>
            </w:r>
          </w:p>
        </w:tc>
        <w:tc>
          <w:tcPr>
            <w:tcW w:w="406" w:type="pct"/>
            <w:vMerge w:val="restart"/>
            <w:vAlign w:val="center"/>
          </w:tcPr>
          <w:p w14:paraId="6160F98E">
            <w:pPr>
              <w:pStyle w:val="31"/>
              <w:rPr>
                <w:rFonts w:cs="Times New Roman"/>
                <w:kern w:val="0"/>
              </w:rPr>
            </w:pPr>
            <w:r>
              <w:rPr>
                <w:rFonts w:hint="eastAsia" w:cs="Times New Roman"/>
                <w:kern w:val="0"/>
              </w:rPr>
              <w:t>井深</w:t>
            </w:r>
          </w:p>
        </w:tc>
        <w:tc>
          <w:tcPr>
            <w:tcW w:w="940" w:type="pct"/>
            <w:vMerge w:val="restart"/>
            <w:vAlign w:val="center"/>
          </w:tcPr>
          <w:p w14:paraId="6052B4C5">
            <w:pPr>
              <w:pStyle w:val="31"/>
              <w:rPr>
                <w:rFonts w:cs="Times New Roman"/>
                <w:kern w:val="0"/>
              </w:rPr>
            </w:pPr>
            <w:r>
              <w:rPr>
                <w:rFonts w:hint="eastAsia" w:cs="Times New Roman"/>
                <w:kern w:val="0"/>
              </w:rPr>
              <w:t>井结构</w:t>
            </w:r>
          </w:p>
        </w:tc>
        <w:tc>
          <w:tcPr>
            <w:tcW w:w="800" w:type="pct"/>
            <w:vMerge w:val="restart"/>
            <w:vAlign w:val="center"/>
          </w:tcPr>
          <w:p w14:paraId="5FEDD0E4">
            <w:pPr>
              <w:pStyle w:val="31"/>
              <w:rPr>
                <w:rFonts w:cs="Times New Roman"/>
                <w:kern w:val="0"/>
              </w:rPr>
            </w:pPr>
            <w:r>
              <w:rPr>
                <w:rFonts w:hint="eastAsia" w:cs="Times New Roman"/>
                <w:kern w:val="0"/>
              </w:rPr>
              <w:t>监测层位</w:t>
            </w:r>
          </w:p>
        </w:tc>
        <w:tc>
          <w:tcPr>
            <w:tcW w:w="394" w:type="pct"/>
            <w:vMerge w:val="restart"/>
            <w:vAlign w:val="center"/>
          </w:tcPr>
          <w:p w14:paraId="4173A72D">
            <w:pPr>
              <w:pStyle w:val="31"/>
              <w:rPr>
                <w:rFonts w:cs="Times New Roman"/>
                <w:kern w:val="0"/>
              </w:rPr>
            </w:pPr>
            <w:r>
              <w:rPr>
                <w:rFonts w:hint="eastAsia" w:cs="Times New Roman"/>
                <w:kern w:val="0"/>
              </w:rPr>
              <w:t>监测因子</w:t>
            </w:r>
          </w:p>
        </w:tc>
        <w:tc>
          <w:tcPr>
            <w:tcW w:w="392" w:type="pct"/>
            <w:vMerge w:val="restart"/>
            <w:vAlign w:val="center"/>
          </w:tcPr>
          <w:p w14:paraId="0CE135DA">
            <w:pPr>
              <w:pStyle w:val="31"/>
              <w:rPr>
                <w:rFonts w:cs="Times New Roman"/>
                <w:kern w:val="0"/>
              </w:rPr>
            </w:pPr>
            <w:r>
              <w:rPr>
                <w:rFonts w:hint="eastAsia" w:cs="Times New Roman"/>
                <w:kern w:val="0"/>
              </w:rPr>
              <w:t>监测频率</w:t>
            </w:r>
          </w:p>
        </w:tc>
      </w:tr>
      <w:tr w14:paraId="6A9A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39" w:type="pct"/>
            <w:vMerge w:val="continue"/>
            <w:vAlign w:val="center"/>
          </w:tcPr>
          <w:p w14:paraId="25271D06">
            <w:pPr>
              <w:pStyle w:val="31"/>
              <w:rPr>
                <w:rFonts w:cs="Times New Roman"/>
                <w:kern w:val="0"/>
              </w:rPr>
            </w:pPr>
          </w:p>
        </w:tc>
        <w:tc>
          <w:tcPr>
            <w:tcW w:w="846" w:type="pct"/>
            <w:vAlign w:val="center"/>
          </w:tcPr>
          <w:p w14:paraId="68914771">
            <w:pPr>
              <w:pStyle w:val="31"/>
              <w:rPr>
                <w:rFonts w:cs="Times New Roman"/>
                <w:kern w:val="0"/>
              </w:rPr>
            </w:pPr>
            <w:r>
              <w:rPr>
                <w:rFonts w:hint="eastAsia" w:cs="Times New Roman"/>
                <w:kern w:val="0"/>
              </w:rPr>
              <w:t>经度</w:t>
            </w:r>
          </w:p>
        </w:tc>
        <w:tc>
          <w:tcPr>
            <w:tcW w:w="782" w:type="pct"/>
            <w:vAlign w:val="center"/>
          </w:tcPr>
          <w:p w14:paraId="286EB935">
            <w:pPr>
              <w:pStyle w:val="31"/>
              <w:rPr>
                <w:rFonts w:cs="Times New Roman"/>
                <w:kern w:val="0"/>
              </w:rPr>
            </w:pPr>
            <w:r>
              <w:rPr>
                <w:rFonts w:hint="eastAsia" w:cs="Times New Roman"/>
                <w:kern w:val="0"/>
              </w:rPr>
              <w:t>纬度</w:t>
            </w:r>
          </w:p>
        </w:tc>
        <w:tc>
          <w:tcPr>
            <w:tcW w:w="406" w:type="pct"/>
            <w:vMerge w:val="continue"/>
            <w:vAlign w:val="center"/>
          </w:tcPr>
          <w:p w14:paraId="3AC3E319">
            <w:pPr>
              <w:pStyle w:val="31"/>
              <w:rPr>
                <w:rFonts w:cs="Times New Roman"/>
                <w:kern w:val="0"/>
              </w:rPr>
            </w:pPr>
          </w:p>
        </w:tc>
        <w:tc>
          <w:tcPr>
            <w:tcW w:w="940" w:type="pct"/>
            <w:vMerge w:val="continue"/>
            <w:vAlign w:val="center"/>
          </w:tcPr>
          <w:p w14:paraId="07EBFC72">
            <w:pPr>
              <w:pStyle w:val="31"/>
              <w:rPr>
                <w:rFonts w:cs="Times New Roman"/>
                <w:kern w:val="0"/>
              </w:rPr>
            </w:pPr>
          </w:p>
        </w:tc>
        <w:tc>
          <w:tcPr>
            <w:tcW w:w="800" w:type="pct"/>
            <w:vMerge w:val="continue"/>
            <w:vAlign w:val="center"/>
          </w:tcPr>
          <w:p w14:paraId="03404409">
            <w:pPr>
              <w:pStyle w:val="31"/>
              <w:rPr>
                <w:rFonts w:cs="Times New Roman"/>
                <w:kern w:val="0"/>
              </w:rPr>
            </w:pPr>
          </w:p>
        </w:tc>
        <w:tc>
          <w:tcPr>
            <w:tcW w:w="394" w:type="pct"/>
            <w:vMerge w:val="continue"/>
            <w:vAlign w:val="center"/>
          </w:tcPr>
          <w:p w14:paraId="537EBD99">
            <w:pPr>
              <w:pStyle w:val="31"/>
              <w:rPr>
                <w:rFonts w:cs="Times New Roman"/>
                <w:kern w:val="0"/>
              </w:rPr>
            </w:pPr>
          </w:p>
        </w:tc>
        <w:tc>
          <w:tcPr>
            <w:tcW w:w="392" w:type="pct"/>
            <w:vMerge w:val="continue"/>
            <w:vAlign w:val="center"/>
          </w:tcPr>
          <w:p w14:paraId="403C767E">
            <w:pPr>
              <w:pStyle w:val="31"/>
              <w:rPr>
                <w:rFonts w:cs="Times New Roman"/>
                <w:kern w:val="0"/>
              </w:rPr>
            </w:pPr>
          </w:p>
        </w:tc>
      </w:tr>
      <w:tr w14:paraId="70194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39" w:type="pct"/>
            <w:vMerge w:val="restart"/>
            <w:vAlign w:val="center"/>
          </w:tcPr>
          <w:p w14:paraId="4896871C">
            <w:pPr>
              <w:pStyle w:val="31"/>
              <w:rPr>
                <w:rFonts w:cs="Times New Roman"/>
                <w:kern w:val="0"/>
              </w:rPr>
            </w:pPr>
            <w:r>
              <w:rPr>
                <w:rFonts w:hint="eastAsia" w:cs="Times New Roman"/>
                <w:kern w:val="0"/>
              </w:rPr>
              <w:t>企业监测井</w:t>
            </w:r>
          </w:p>
        </w:tc>
        <w:tc>
          <w:tcPr>
            <w:tcW w:w="846" w:type="pct"/>
            <w:vMerge w:val="restart"/>
            <w:vAlign w:val="center"/>
          </w:tcPr>
          <w:p w14:paraId="51CA2A91">
            <w:pPr>
              <w:pStyle w:val="31"/>
              <w:rPr>
                <w:rFonts w:cs="Times New Roman"/>
                <w:kern w:val="0"/>
              </w:rPr>
            </w:pPr>
            <w:r>
              <w:rPr>
                <w:rFonts w:cs="Times New Roman"/>
                <w:kern w:val="0"/>
              </w:rPr>
              <w:t>112.8085681°</w:t>
            </w:r>
          </w:p>
        </w:tc>
        <w:tc>
          <w:tcPr>
            <w:tcW w:w="782" w:type="pct"/>
            <w:vMerge w:val="restart"/>
            <w:vAlign w:val="center"/>
          </w:tcPr>
          <w:p w14:paraId="53CFDE02">
            <w:pPr>
              <w:pStyle w:val="31"/>
              <w:rPr>
                <w:rFonts w:cs="Times New Roman"/>
                <w:kern w:val="0"/>
              </w:rPr>
            </w:pPr>
            <w:r>
              <w:rPr>
                <w:rFonts w:cs="Times New Roman"/>
                <w:kern w:val="0"/>
              </w:rPr>
              <w:t>26.9982903°</w:t>
            </w:r>
          </w:p>
        </w:tc>
        <w:tc>
          <w:tcPr>
            <w:tcW w:w="406" w:type="pct"/>
            <w:vMerge w:val="restart"/>
            <w:vAlign w:val="center"/>
          </w:tcPr>
          <w:p w14:paraId="6884CAB1">
            <w:pPr>
              <w:pStyle w:val="31"/>
              <w:rPr>
                <w:rFonts w:cs="Times New Roman"/>
                <w:kern w:val="0"/>
              </w:rPr>
            </w:pPr>
            <w:r>
              <w:rPr>
                <w:rFonts w:hint="eastAsia" w:cs="Times New Roman"/>
                <w:kern w:val="0"/>
              </w:rPr>
              <w:t>2</w:t>
            </w:r>
            <w:r>
              <w:rPr>
                <w:rFonts w:cs="Times New Roman"/>
                <w:kern w:val="0"/>
              </w:rPr>
              <w:t>1</w:t>
            </w:r>
          </w:p>
        </w:tc>
        <w:tc>
          <w:tcPr>
            <w:tcW w:w="940" w:type="pct"/>
            <w:vMerge w:val="restart"/>
            <w:vAlign w:val="center"/>
          </w:tcPr>
          <w:p w14:paraId="4960CB95">
            <w:pPr>
              <w:pStyle w:val="31"/>
              <w:rPr>
                <w:rFonts w:cs="Times New Roman"/>
                <w:kern w:val="0"/>
              </w:rPr>
            </w:pPr>
            <w:r>
              <w:rPr>
                <w:rFonts w:hint="eastAsia" w:cs="Times New Roman"/>
                <w:kern w:val="0"/>
              </w:rPr>
              <w:t>井径5</w:t>
            </w:r>
            <w:r>
              <w:rPr>
                <w:rFonts w:cs="Times New Roman"/>
                <w:kern w:val="0"/>
              </w:rPr>
              <w:t>0</w:t>
            </w:r>
            <w:r>
              <w:rPr>
                <w:rFonts w:hint="eastAsia" w:cs="Times New Roman"/>
                <w:kern w:val="0"/>
              </w:rPr>
              <w:t>mm，不锈钢管，条缝过滤网</w:t>
            </w:r>
          </w:p>
        </w:tc>
        <w:tc>
          <w:tcPr>
            <w:tcW w:w="800" w:type="pct"/>
            <w:vAlign w:val="center"/>
          </w:tcPr>
          <w:p w14:paraId="216EE075">
            <w:pPr>
              <w:pStyle w:val="31"/>
              <w:rPr>
                <w:rFonts w:cs="Times New Roman"/>
                <w:kern w:val="0"/>
              </w:rPr>
            </w:pPr>
            <w:r>
              <w:rPr>
                <w:rFonts w:hint="eastAsia" w:cs="Times New Roman"/>
                <w:kern w:val="0"/>
              </w:rPr>
              <w:t>水面（肉眼观察法）</w:t>
            </w:r>
          </w:p>
        </w:tc>
        <w:tc>
          <w:tcPr>
            <w:tcW w:w="394" w:type="pct"/>
            <w:vAlign w:val="center"/>
          </w:tcPr>
          <w:p w14:paraId="35A5AD5D">
            <w:pPr>
              <w:pStyle w:val="31"/>
              <w:rPr>
                <w:rFonts w:cs="Times New Roman"/>
                <w:kern w:val="0"/>
              </w:rPr>
            </w:pPr>
            <w:r>
              <w:rPr>
                <w:rFonts w:hint="eastAsia" w:cs="Times New Roman"/>
                <w:kern w:val="0"/>
              </w:rPr>
              <w:t>浮油</w:t>
            </w:r>
          </w:p>
        </w:tc>
        <w:tc>
          <w:tcPr>
            <w:tcW w:w="392" w:type="pct"/>
            <w:vAlign w:val="center"/>
          </w:tcPr>
          <w:p w14:paraId="2FF89FDA">
            <w:pPr>
              <w:pStyle w:val="31"/>
              <w:rPr>
                <w:rFonts w:cs="Times New Roman"/>
                <w:kern w:val="0"/>
              </w:rPr>
            </w:pPr>
            <w:r>
              <w:rPr>
                <w:rFonts w:hint="eastAsia" w:cs="Times New Roman"/>
                <w:kern w:val="0"/>
              </w:rPr>
              <w:t>1次/月</w:t>
            </w:r>
          </w:p>
        </w:tc>
      </w:tr>
      <w:tr w14:paraId="45142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39" w:type="pct"/>
            <w:vMerge w:val="continue"/>
            <w:vAlign w:val="center"/>
          </w:tcPr>
          <w:p w14:paraId="154F0E8C">
            <w:pPr>
              <w:pStyle w:val="31"/>
              <w:rPr>
                <w:rFonts w:cs="Times New Roman"/>
                <w:kern w:val="0"/>
              </w:rPr>
            </w:pPr>
          </w:p>
        </w:tc>
        <w:tc>
          <w:tcPr>
            <w:tcW w:w="846" w:type="pct"/>
            <w:vMerge w:val="continue"/>
            <w:vAlign w:val="center"/>
          </w:tcPr>
          <w:p w14:paraId="14EDD13A">
            <w:pPr>
              <w:pStyle w:val="31"/>
              <w:rPr>
                <w:rFonts w:cs="Times New Roman"/>
                <w:kern w:val="0"/>
              </w:rPr>
            </w:pPr>
          </w:p>
        </w:tc>
        <w:tc>
          <w:tcPr>
            <w:tcW w:w="782" w:type="pct"/>
            <w:vMerge w:val="continue"/>
            <w:vAlign w:val="center"/>
          </w:tcPr>
          <w:p w14:paraId="028052AD">
            <w:pPr>
              <w:pStyle w:val="31"/>
              <w:rPr>
                <w:rFonts w:cs="Times New Roman"/>
                <w:kern w:val="0"/>
              </w:rPr>
            </w:pPr>
          </w:p>
        </w:tc>
        <w:tc>
          <w:tcPr>
            <w:tcW w:w="406" w:type="pct"/>
            <w:vMerge w:val="continue"/>
            <w:vAlign w:val="center"/>
          </w:tcPr>
          <w:p w14:paraId="0FF05798">
            <w:pPr>
              <w:pStyle w:val="31"/>
              <w:rPr>
                <w:rFonts w:cs="Times New Roman"/>
                <w:kern w:val="0"/>
              </w:rPr>
            </w:pPr>
          </w:p>
        </w:tc>
        <w:tc>
          <w:tcPr>
            <w:tcW w:w="940" w:type="pct"/>
            <w:vMerge w:val="continue"/>
            <w:vAlign w:val="center"/>
          </w:tcPr>
          <w:p w14:paraId="125D2429">
            <w:pPr>
              <w:pStyle w:val="31"/>
              <w:rPr>
                <w:rFonts w:cs="Times New Roman"/>
                <w:kern w:val="0"/>
              </w:rPr>
            </w:pPr>
          </w:p>
        </w:tc>
        <w:tc>
          <w:tcPr>
            <w:tcW w:w="800" w:type="pct"/>
            <w:vAlign w:val="center"/>
          </w:tcPr>
          <w:p w14:paraId="1A40FD62">
            <w:pPr>
              <w:pStyle w:val="31"/>
              <w:rPr>
                <w:rFonts w:cs="Times New Roman"/>
                <w:kern w:val="0"/>
              </w:rPr>
            </w:pPr>
            <w:r>
              <w:rPr>
                <w:rFonts w:hint="eastAsia" w:cs="Times New Roman"/>
                <w:kern w:val="0"/>
              </w:rPr>
              <w:t>水位下1m</w:t>
            </w:r>
          </w:p>
        </w:tc>
        <w:tc>
          <w:tcPr>
            <w:tcW w:w="394" w:type="pct"/>
            <w:vAlign w:val="center"/>
          </w:tcPr>
          <w:p w14:paraId="4A454CD4">
            <w:pPr>
              <w:pStyle w:val="31"/>
              <w:rPr>
                <w:rFonts w:cs="Times New Roman"/>
                <w:kern w:val="0"/>
              </w:rPr>
            </w:pPr>
            <w:r>
              <w:rPr>
                <w:rFonts w:hint="eastAsia" w:cs="Times New Roman"/>
                <w:kern w:val="0"/>
              </w:rPr>
              <w:t>溶解氧</w:t>
            </w:r>
          </w:p>
        </w:tc>
        <w:tc>
          <w:tcPr>
            <w:tcW w:w="392" w:type="pct"/>
            <w:vAlign w:val="center"/>
          </w:tcPr>
          <w:p w14:paraId="5FA12BA5">
            <w:pPr>
              <w:pStyle w:val="31"/>
              <w:rPr>
                <w:rFonts w:cs="Times New Roman"/>
                <w:kern w:val="0"/>
              </w:rPr>
            </w:pPr>
            <w:r>
              <w:rPr>
                <w:rFonts w:hint="eastAsia" w:cs="Times New Roman"/>
                <w:kern w:val="0"/>
              </w:rPr>
              <w:t>1次/年</w:t>
            </w:r>
          </w:p>
        </w:tc>
      </w:tr>
    </w:tbl>
    <w:p w14:paraId="326E7A05">
      <w:pPr>
        <w:pStyle w:val="21"/>
        <w:ind w:firstLine="480"/>
      </w:pPr>
      <w:r>
        <w:rPr>
          <w:rFonts w:hint="eastAsia"/>
        </w:rPr>
        <w:t>建设单位需定期委托有资质监测单位完成相关跟踪监测。</w:t>
      </w:r>
    </w:p>
    <w:p w14:paraId="534BE0B7">
      <w:pPr>
        <w:pStyle w:val="21"/>
        <w:ind w:firstLine="480"/>
      </w:pPr>
      <w:r>
        <w:rPr>
          <w:rFonts w:hint="eastAsia"/>
        </w:rPr>
        <w:t>3、</w:t>
      </w:r>
      <w:r>
        <w:t>地下</w:t>
      </w:r>
      <w:r>
        <w:rPr>
          <w:rFonts w:hint="eastAsia"/>
        </w:rPr>
        <w:t>水</w:t>
      </w:r>
      <w:r>
        <w:t>污染防控措施可行性分析</w:t>
      </w:r>
    </w:p>
    <w:p w14:paraId="20F8B096">
      <w:pPr>
        <w:pStyle w:val="39"/>
        <w:ind w:firstLine="480"/>
      </w:pPr>
      <w:r>
        <w:rPr>
          <w:rFonts w:hint="eastAsia"/>
        </w:rPr>
        <w:t>根据上述，对照《环境影响评价技术导则</w:t>
      </w:r>
      <w:r>
        <w:t xml:space="preserve"> 地下水环境》（HJ 610-2016）</w:t>
      </w:r>
      <w:r>
        <w:rPr>
          <w:rFonts w:hint="eastAsia"/>
        </w:rPr>
        <w:t>、《地下水监测井建设规范》（</w:t>
      </w:r>
      <w:r>
        <w:t>DZ/T 0270-2014</w:t>
      </w:r>
      <w:r>
        <w:rPr>
          <w:rFonts w:hint="eastAsia"/>
        </w:rPr>
        <w:t>），本次扩建项目所提出的地下水污染防治措施经济可行，明确的跟踪监测可有效落实。</w:t>
      </w:r>
    </w:p>
    <w:p w14:paraId="7F9B37BD">
      <w:pPr>
        <w:pStyle w:val="21"/>
        <w:ind w:firstLine="480"/>
      </w:pPr>
      <w:bookmarkStart w:id="180" w:name="_Toc161662746"/>
      <w:r>
        <w:rPr>
          <w:rFonts w:hint="eastAsia"/>
        </w:rPr>
        <w:t>4、土壤</w:t>
      </w:r>
      <w:r>
        <w:t>防治措施</w:t>
      </w:r>
      <w:r>
        <w:rPr>
          <w:rFonts w:hint="eastAsia"/>
        </w:rPr>
        <w:t>可行性分析</w:t>
      </w:r>
      <w:bookmarkEnd w:id="180"/>
    </w:p>
    <w:p w14:paraId="26E72031">
      <w:pPr>
        <w:pStyle w:val="21"/>
        <w:ind w:firstLine="480"/>
      </w:pPr>
      <w:r>
        <w:rPr>
          <w:rFonts w:hint="eastAsia" w:ascii="Times New Roman" w:hAnsi="Times New Roman"/>
        </w:rPr>
        <w:t>根据</w:t>
      </w:r>
      <w:r>
        <w:rPr>
          <w:rFonts w:ascii="Times New Roman" w:hAnsi="Times New Roman"/>
        </w:rPr>
        <w:t>地下</w:t>
      </w:r>
      <w:r>
        <w:rPr>
          <w:rFonts w:hint="eastAsia" w:ascii="Times New Roman" w:hAnsi="Times New Roman"/>
        </w:rPr>
        <w:t>水</w:t>
      </w:r>
      <w:r>
        <w:rPr>
          <w:rFonts w:ascii="Times New Roman" w:hAnsi="Times New Roman"/>
        </w:rPr>
        <w:t>污染防控措施及可行性分析</w:t>
      </w:r>
      <w:r>
        <w:rPr>
          <w:rFonts w:hint="eastAsia" w:ascii="Times New Roman" w:hAnsi="Times New Roman"/>
        </w:rPr>
        <w:t>，可知本次扩建项目利用现有项目厂区，工作船台地面均已硬化处理，按照地下水环境影响环境保护措施落实，不会对区域外土壤造成环境影响，从土壤环境影响的角度，项目建设可行。</w:t>
      </w:r>
    </w:p>
    <w:p w14:paraId="168CFDF0">
      <w:pPr>
        <w:pStyle w:val="28"/>
        <w:rPr>
          <w:rFonts w:hint="eastAsia"/>
        </w:rPr>
      </w:pPr>
      <w:bookmarkStart w:id="181" w:name="_Toc26198"/>
      <w:r>
        <w:rPr>
          <w:rFonts w:hint="eastAsia"/>
        </w:rPr>
        <w:t>6.3环保投资估算</w:t>
      </w:r>
      <w:bookmarkEnd w:id="181"/>
    </w:p>
    <w:p w14:paraId="74394B09">
      <w:pPr>
        <w:pStyle w:val="21"/>
        <w:ind w:firstLine="480"/>
      </w:pPr>
      <w:r>
        <w:rPr>
          <w:rFonts w:hint="eastAsia"/>
        </w:rPr>
        <w:t>本次扩建</w:t>
      </w:r>
      <w:r>
        <w:t>项目</w:t>
      </w:r>
      <w:r>
        <w:rPr>
          <w:rFonts w:hint="eastAsia"/>
          <w:lang w:val="en-US" w:eastAsia="zh-CN"/>
        </w:rPr>
        <w:t>总投资500万元，其中</w:t>
      </w:r>
      <w:r>
        <w:t>环保投资</w:t>
      </w:r>
      <w:r>
        <w:rPr>
          <w:rFonts w:hint="eastAsia"/>
          <w:lang w:val="en-US" w:eastAsia="zh-CN"/>
        </w:rPr>
        <w:t>101</w:t>
      </w:r>
      <w:r>
        <w:t>万元，</w:t>
      </w:r>
      <w:r>
        <w:rPr>
          <w:rFonts w:hint="eastAsia"/>
        </w:rPr>
        <w:t>占总投资额</w:t>
      </w:r>
      <w:r>
        <w:rPr>
          <w:rFonts w:hint="eastAsia"/>
          <w:lang w:val="en-US" w:eastAsia="zh-CN"/>
        </w:rPr>
        <w:t>20.2</w:t>
      </w:r>
      <w:r>
        <w:rPr>
          <w:rFonts w:hint="eastAsia"/>
        </w:rPr>
        <w:t>%</w:t>
      </w:r>
      <w:r>
        <w:t>，环保设施及投资估算见下表。</w:t>
      </w:r>
    </w:p>
    <w:p w14:paraId="0139346A">
      <w:pPr>
        <w:pStyle w:val="21"/>
        <w:ind w:firstLine="480"/>
      </w:pPr>
    </w:p>
    <w:p w14:paraId="55009313">
      <w:pPr>
        <w:pStyle w:val="23"/>
        <w:ind w:firstLine="480"/>
      </w:pPr>
      <w:r>
        <w:rPr>
          <w:rFonts w:hint="eastAsia"/>
        </w:rPr>
        <w:t xml:space="preserve">表6.3-1  </w:t>
      </w:r>
      <w:r>
        <w:t>环保设施投资估算一览表</w:t>
      </w:r>
    </w:p>
    <w:tbl>
      <w:tblPr>
        <w:tblStyle w:val="15"/>
        <w:tblpPr w:leftFromText="180" w:rightFromText="180" w:vertAnchor="text" w:horzAnchor="margin" w:tblpY="30"/>
        <w:tblOverlap w:val="never"/>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24"/>
        <w:gridCol w:w="3382"/>
        <w:gridCol w:w="1839"/>
        <w:gridCol w:w="979"/>
        <w:gridCol w:w="982"/>
        <w:gridCol w:w="716"/>
      </w:tblGrid>
      <w:tr w14:paraId="7E3624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Align w:val="center"/>
          </w:tcPr>
          <w:p w14:paraId="12173505">
            <w:pPr>
              <w:pStyle w:val="31"/>
            </w:pPr>
            <w:r>
              <w:t>环境要素</w:t>
            </w:r>
          </w:p>
        </w:tc>
        <w:tc>
          <w:tcPr>
            <w:tcW w:w="1984" w:type="pct"/>
            <w:vAlign w:val="center"/>
          </w:tcPr>
          <w:p w14:paraId="1F59B09F">
            <w:pPr>
              <w:pStyle w:val="31"/>
            </w:pPr>
            <w:r>
              <w:t>环保措施</w:t>
            </w:r>
          </w:p>
        </w:tc>
        <w:tc>
          <w:tcPr>
            <w:tcW w:w="1078" w:type="pct"/>
            <w:vAlign w:val="center"/>
          </w:tcPr>
          <w:p w14:paraId="4ED99941">
            <w:pPr>
              <w:pStyle w:val="31"/>
            </w:pPr>
            <w:r>
              <w:t>预期效果</w:t>
            </w:r>
          </w:p>
        </w:tc>
        <w:tc>
          <w:tcPr>
            <w:tcW w:w="574" w:type="pct"/>
            <w:vAlign w:val="center"/>
          </w:tcPr>
          <w:p w14:paraId="0CD9361F">
            <w:pPr>
              <w:pStyle w:val="31"/>
            </w:pPr>
            <w:r>
              <w:rPr>
                <w:rFonts w:hint="eastAsia"/>
              </w:rPr>
              <w:t>现有项目已</w:t>
            </w:r>
            <w:r>
              <w:t>投资（万元）</w:t>
            </w:r>
          </w:p>
        </w:tc>
        <w:tc>
          <w:tcPr>
            <w:tcW w:w="576" w:type="pct"/>
            <w:vAlign w:val="center"/>
          </w:tcPr>
          <w:p w14:paraId="03FDFF22">
            <w:pPr>
              <w:pStyle w:val="31"/>
            </w:pPr>
            <w:r>
              <w:rPr>
                <w:rFonts w:hint="eastAsia"/>
              </w:rPr>
              <w:t>扩建项目拟投资</w:t>
            </w:r>
            <w:r>
              <w:t>（万元）</w:t>
            </w:r>
          </w:p>
        </w:tc>
        <w:tc>
          <w:tcPr>
            <w:tcW w:w="420" w:type="pct"/>
            <w:vAlign w:val="center"/>
          </w:tcPr>
          <w:p w14:paraId="423173D9">
            <w:pPr>
              <w:pStyle w:val="31"/>
            </w:pPr>
            <w:r>
              <w:rPr>
                <w:rFonts w:hint="eastAsia"/>
              </w:rPr>
              <w:t>备注</w:t>
            </w:r>
          </w:p>
        </w:tc>
      </w:tr>
      <w:tr w14:paraId="3BD627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7E10CBFF">
            <w:pPr>
              <w:pStyle w:val="31"/>
            </w:pPr>
            <w:r>
              <w:t>废气</w:t>
            </w:r>
          </w:p>
        </w:tc>
        <w:tc>
          <w:tcPr>
            <w:tcW w:w="1984" w:type="pct"/>
            <w:vAlign w:val="center"/>
          </w:tcPr>
          <w:p w14:paraId="656F0353">
            <w:pPr>
              <w:pStyle w:val="31"/>
            </w:pPr>
            <w:r>
              <w:rPr>
                <w:rFonts w:hint="eastAsia"/>
              </w:rPr>
              <w:t>氧割、焊接废气：简易密闭罩、地垫收尘</w:t>
            </w:r>
          </w:p>
        </w:tc>
        <w:tc>
          <w:tcPr>
            <w:tcW w:w="1078" w:type="pct"/>
            <w:vMerge w:val="restart"/>
            <w:vAlign w:val="center"/>
          </w:tcPr>
          <w:p w14:paraId="6EDF7392">
            <w:pPr>
              <w:pStyle w:val="31"/>
            </w:pPr>
            <w:r>
              <w:t>GB16297-1996</w:t>
            </w:r>
            <w:r>
              <w:rPr>
                <w:rFonts w:hint="eastAsia"/>
              </w:rPr>
              <w:t>中</w:t>
            </w:r>
            <w:r>
              <w:t>表2的新污染源大气排放限值要求</w:t>
            </w:r>
          </w:p>
        </w:tc>
        <w:tc>
          <w:tcPr>
            <w:tcW w:w="574" w:type="pct"/>
            <w:vAlign w:val="center"/>
          </w:tcPr>
          <w:p w14:paraId="0D61A1E0">
            <w:pPr>
              <w:pStyle w:val="31"/>
            </w:pPr>
            <w:r>
              <w:rPr>
                <w:rFonts w:hint="eastAsia"/>
              </w:rPr>
              <w:t>1.0</w:t>
            </w:r>
          </w:p>
        </w:tc>
        <w:tc>
          <w:tcPr>
            <w:tcW w:w="576" w:type="pct"/>
            <w:vAlign w:val="center"/>
          </w:tcPr>
          <w:p w14:paraId="758BCF56">
            <w:pPr>
              <w:pStyle w:val="31"/>
            </w:pPr>
            <w:r>
              <w:rPr>
                <w:rFonts w:hint="eastAsia"/>
              </w:rPr>
              <w:t>/</w:t>
            </w:r>
          </w:p>
        </w:tc>
        <w:tc>
          <w:tcPr>
            <w:tcW w:w="420" w:type="pct"/>
            <w:vAlign w:val="center"/>
          </w:tcPr>
          <w:p w14:paraId="0F9E0297">
            <w:pPr>
              <w:pStyle w:val="31"/>
            </w:pPr>
          </w:p>
        </w:tc>
      </w:tr>
      <w:tr w14:paraId="1CFE8B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21B67919">
            <w:pPr>
              <w:pStyle w:val="31"/>
            </w:pPr>
          </w:p>
        </w:tc>
        <w:tc>
          <w:tcPr>
            <w:tcW w:w="1984" w:type="pct"/>
            <w:vAlign w:val="center"/>
          </w:tcPr>
          <w:p w14:paraId="705089DF">
            <w:pPr>
              <w:pStyle w:val="31"/>
            </w:pPr>
            <w:r>
              <w:rPr>
                <w:rFonts w:hint="eastAsia"/>
              </w:rPr>
              <w:t>喷砂打磨工序废气：设置简易可移动式遮蔽罩，打磨时遮蔽打磨区域</w:t>
            </w:r>
          </w:p>
        </w:tc>
        <w:tc>
          <w:tcPr>
            <w:tcW w:w="1078" w:type="pct"/>
            <w:vMerge w:val="continue"/>
            <w:vAlign w:val="center"/>
          </w:tcPr>
          <w:p w14:paraId="5CC62F63">
            <w:pPr>
              <w:pStyle w:val="31"/>
            </w:pPr>
          </w:p>
        </w:tc>
        <w:tc>
          <w:tcPr>
            <w:tcW w:w="574" w:type="pct"/>
            <w:vAlign w:val="center"/>
          </w:tcPr>
          <w:p w14:paraId="3A14E113">
            <w:pPr>
              <w:pStyle w:val="31"/>
            </w:pPr>
            <w:r>
              <w:rPr>
                <w:rFonts w:hint="eastAsia"/>
              </w:rPr>
              <w:t>0.8</w:t>
            </w:r>
          </w:p>
        </w:tc>
        <w:tc>
          <w:tcPr>
            <w:tcW w:w="576" w:type="pct"/>
            <w:vAlign w:val="center"/>
          </w:tcPr>
          <w:p w14:paraId="4E0B7642">
            <w:pPr>
              <w:pStyle w:val="31"/>
            </w:pPr>
            <w:r>
              <w:rPr>
                <w:rFonts w:hint="eastAsia"/>
              </w:rPr>
              <w:t>/</w:t>
            </w:r>
          </w:p>
        </w:tc>
        <w:tc>
          <w:tcPr>
            <w:tcW w:w="420" w:type="pct"/>
            <w:vAlign w:val="center"/>
          </w:tcPr>
          <w:p w14:paraId="28C4B272">
            <w:pPr>
              <w:pStyle w:val="31"/>
            </w:pPr>
          </w:p>
        </w:tc>
      </w:tr>
      <w:tr w14:paraId="3AAAE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6C3C1BF3">
            <w:pPr>
              <w:pStyle w:val="31"/>
            </w:pPr>
          </w:p>
        </w:tc>
        <w:tc>
          <w:tcPr>
            <w:tcW w:w="1984" w:type="pct"/>
            <w:vAlign w:val="center"/>
          </w:tcPr>
          <w:p w14:paraId="59092BEB">
            <w:pPr>
              <w:pStyle w:val="31"/>
            </w:pPr>
            <w:r>
              <w:rPr>
                <w:rFonts w:hint="eastAsia"/>
              </w:rPr>
              <w:t>移动式工业烟尘处理器*5台</w:t>
            </w:r>
          </w:p>
        </w:tc>
        <w:tc>
          <w:tcPr>
            <w:tcW w:w="1078" w:type="pct"/>
            <w:vMerge w:val="continue"/>
            <w:vAlign w:val="center"/>
          </w:tcPr>
          <w:p w14:paraId="4FE6ACEA">
            <w:pPr>
              <w:pStyle w:val="31"/>
            </w:pPr>
          </w:p>
        </w:tc>
        <w:tc>
          <w:tcPr>
            <w:tcW w:w="574" w:type="pct"/>
            <w:vAlign w:val="center"/>
          </w:tcPr>
          <w:p w14:paraId="5F845EFA">
            <w:pPr>
              <w:pStyle w:val="31"/>
            </w:pPr>
            <w:r>
              <w:t>/</w:t>
            </w:r>
          </w:p>
        </w:tc>
        <w:tc>
          <w:tcPr>
            <w:tcW w:w="576" w:type="pct"/>
            <w:vAlign w:val="center"/>
          </w:tcPr>
          <w:p w14:paraId="743C9215">
            <w:pPr>
              <w:pStyle w:val="31"/>
            </w:pPr>
            <w:r>
              <w:rPr>
                <w:rFonts w:hint="eastAsia"/>
              </w:rPr>
              <w:t>3.2</w:t>
            </w:r>
          </w:p>
        </w:tc>
        <w:tc>
          <w:tcPr>
            <w:tcW w:w="420" w:type="pct"/>
            <w:vAlign w:val="center"/>
          </w:tcPr>
          <w:p w14:paraId="52BD13BB">
            <w:pPr>
              <w:pStyle w:val="31"/>
            </w:pPr>
          </w:p>
        </w:tc>
      </w:tr>
      <w:tr w14:paraId="68EE92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42BB1208">
            <w:pPr>
              <w:pStyle w:val="31"/>
            </w:pPr>
          </w:p>
        </w:tc>
        <w:tc>
          <w:tcPr>
            <w:tcW w:w="1984" w:type="pct"/>
            <w:vAlign w:val="center"/>
          </w:tcPr>
          <w:p w14:paraId="44C92A32">
            <w:pPr>
              <w:pStyle w:val="31"/>
              <w:rPr>
                <w:rFonts w:hint="default" w:eastAsia="宋体"/>
                <w:lang w:val="en-US" w:eastAsia="zh-CN"/>
              </w:rPr>
            </w:pPr>
            <w:r>
              <w:rPr>
                <w:rFonts w:hint="eastAsia"/>
                <w:lang w:val="en-US" w:eastAsia="zh-CN"/>
              </w:rPr>
              <w:t>移动式有机废气收集装置+二级活性炭处理装置</w:t>
            </w:r>
          </w:p>
        </w:tc>
        <w:tc>
          <w:tcPr>
            <w:tcW w:w="1078" w:type="pct"/>
            <w:vMerge w:val="continue"/>
            <w:vAlign w:val="center"/>
          </w:tcPr>
          <w:p w14:paraId="0B17CB55">
            <w:pPr>
              <w:pStyle w:val="31"/>
            </w:pPr>
          </w:p>
        </w:tc>
        <w:tc>
          <w:tcPr>
            <w:tcW w:w="574" w:type="pct"/>
            <w:vAlign w:val="center"/>
          </w:tcPr>
          <w:p w14:paraId="7516DD8D">
            <w:pPr>
              <w:pStyle w:val="31"/>
              <w:rPr>
                <w:rFonts w:hint="eastAsia" w:eastAsia="宋体"/>
                <w:lang w:val="en-US" w:eastAsia="zh-CN"/>
              </w:rPr>
            </w:pPr>
            <w:r>
              <w:rPr>
                <w:rFonts w:hint="eastAsia"/>
                <w:lang w:val="en-US" w:eastAsia="zh-CN"/>
              </w:rPr>
              <w:t>/</w:t>
            </w:r>
          </w:p>
        </w:tc>
        <w:tc>
          <w:tcPr>
            <w:tcW w:w="576" w:type="pct"/>
            <w:vAlign w:val="center"/>
          </w:tcPr>
          <w:p w14:paraId="15857D4E">
            <w:pPr>
              <w:pStyle w:val="31"/>
              <w:rPr>
                <w:rFonts w:hint="eastAsia" w:eastAsia="宋体"/>
                <w:lang w:val="en-US" w:eastAsia="zh-CN"/>
              </w:rPr>
            </w:pPr>
            <w:r>
              <w:rPr>
                <w:rFonts w:hint="eastAsia"/>
                <w:lang w:val="en-US" w:eastAsia="zh-CN"/>
              </w:rPr>
              <w:t>5</w:t>
            </w:r>
          </w:p>
        </w:tc>
        <w:tc>
          <w:tcPr>
            <w:tcW w:w="420" w:type="pct"/>
            <w:vAlign w:val="center"/>
          </w:tcPr>
          <w:p w14:paraId="3DC37E93">
            <w:pPr>
              <w:pStyle w:val="31"/>
            </w:pPr>
          </w:p>
        </w:tc>
      </w:tr>
      <w:tr w14:paraId="4C3E0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620A6AF2">
            <w:pPr>
              <w:pStyle w:val="31"/>
            </w:pPr>
          </w:p>
        </w:tc>
        <w:tc>
          <w:tcPr>
            <w:tcW w:w="1984" w:type="pct"/>
            <w:vAlign w:val="center"/>
          </w:tcPr>
          <w:p w14:paraId="03A6FC42">
            <w:pPr>
              <w:pStyle w:val="31"/>
              <w:rPr>
                <w:rFonts w:hint="default"/>
                <w:lang w:val="en-US" w:eastAsia="zh-CN"/>
              </w:rPr>
            </w:pPr>
            <w:r>
              <w:rPr>
                <w:rFonts w:hint="eastAsia"/>
                <w:lang w:val="en-US" w:eastAsia="zh-CN"/>
              </w:rPr>
              <w:t>移动式粉尘废气收集装置+袋式除尘装置</w:t>
            </w:r>
          </w:p>
        </w:tc>
        <w:tc>
          <w:tcPr>
            <w:tcW w:w="1078" w:type="pct"/>
            <w:vMerge w:val="continue"/>
            <w:vAlign w:val="center"/>
          </w:tcPr>
          <w:p w14:paraId="74D6496F">
            <w:pPr>
              <w:pStyle w:val="31"/>
            </w:pPr>
          </w:p>
        </w:tc>
        <w:tc>
          <w:tcPr>
            <w:tcW w:w="574" w:type="pct"/>
            <w:vAlign w:val="center"/>
          </w:tcPr>
          <w:p w14:paraId="19407771">
            <w:pPr>
              <w:pStyle w:val="31"/>
              <w:rPr>
                <w:rFonts w:hint="default"/>
                <w:lang w:val="en-US" w:eastAsia="zh-CN"/>
              </w:rPr>
            </w:pPr>
            <w:r>
              <w:rPr>
                <w:rFonts w:hint="eastAsia"/>
                <w:lang w:val="en-US" w:eastAsia="zh-CN"/>
              </w:rPr>
              <w:t>/</w:t>
            </w:r>
          </w:p>
        </w:tc>
        <w:tc>
          <w:tcPr>
            <w:tcW w:w="576" w:type="pct"/>
            <w:vAlign w:val="center"/>
          </w:tcPr>
          <w:p w14:paraId="50E8DDC0">
            <w:pPr>
              <w:pStyle w:val="31"/>
              <w:rPr>
                <w:rFonts w:hint="default"/>
                <w:lang w:val="en-US" w:eastAsia="zh-CN"/>
              </w:rPr>
            </w:pPr>
            <w:r>
              <w:rPr>
                <w:rFonts w:hint="eastAsia"/>
                <w:lang w:val="en-US" w:eastAsia="zh-CN"/>
              </w:rPr>
              <w:t>8</w:t>
            </w:r>
          </w:p>
        </w:tc>
        <w:tc>
          <w:tcPr>
            <w:tcW w:w="420" w:type="pct"/>
            <w:vAlign w:val="center"/>
          </w:tcPr>
          <w:p w14:paraId="7342EF65">
            <w:pPr>
              <w:pStyle w:val="31"/>
            </w:pPr>
          </w:p>
        </w:tc>
      </w:tr>
      <w:tr w14:paraId="41A33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tcBorders>
              <w:top w:val="single" w:color="auto" w:sz="4" w:space="0"/>
            </w:tcBorders>
            <w:vAlign w:val="center"/>
          </w:tcPr>
          <w:p w14:paraId="48753F1D">
            <w:pPr>
              <w:pStyle w:val="31"/>
            </w:pPr>
            <w:r>
              <w:t>废水</w:t>
            </w:r>
          </w:p>
        </w:tc>
        <w:tc>
          <w:tcPr>
            <w:tcW w:w="1984" w:type="pct"/>
            <w:tcBorders>
              <w:top w:val="single" w:color="auto" w:sz="4" w:space="0"/>
            </w:tcBorders>
            <w:vAlign w:val="center"/>
          </w:tcPr>
          <w:p w14:paraId="550316B9">
            <w:pPr>
              <w:pStyle w:val="31"/>
            </w:pPr>
            <w:r>
              <w:rPr>
                <w:rFonts w:hint="eastAsia"/>
              </w:rPr>
              <w:t>雨污分流，环形导流沟+切换阀，</w:t>
            </w:r>
            <w:r>
              <w:rPr>
                <w:rFonts w:hint="eastAsia"/>
                <w:lang w:val="en-US" w:eastAsia="zh-CN"/>
              </w:rPr>
              <w:t>设置50m</w:t>
            </w:r>
            <w:r>
              <w:rPr>
                <w:rFonts w:hint="eastAsia"/>
                <w:vertAlign w:val="superscript"/>
                <w:lang w:val="en-US" w:eastAsia="zh-CN"/>
              </w:rPr>
              <w:t>3</w:t>
            </w:r>
            <w:r>
              <w:rPr>
                <w:rFonts w:hint="eastAsia"/>
                <w:vertAlign w:val="baseline"/>
                <w:lang w:val="en-US" w:eastAsia="zh-CN"/>
              </w:rPr>
              <w:t>初期雨水池，并设置自动水泵及液位监控设施，将收集的废水抽至岸边污水处理站处理</w:t>
            </w:r>
            <w:r>
              <w:rPr>
                <w:rFonts w:hint="eastAsia"/>
              </w:rPr>
              <w:t>，定期委托资质单位处置</w:t>
            </w:r>
          </w:p>
        </w:tc>
        <w:tc>
          <w:tcPr>
            <w:tcW w:w="1078" w:type="pct"/>
            <w:vMerge w:val="restart"/>
            <w:vAlign w:val="center"/>
          </w:tcPr>
          <w:p w14:paraId="728B9337">
            <w:pPr>
              <w:pStyle w:val="31"/>
              <w:rPr>
                <w:rFonts w:hint="eastAsia"/>
                <w:lang w:eastAsia="zh-CN"/>
              </w:rPr>
            </w:pPr>
            <w:r>
              <w:rPr>
                <w:rFonts w:hint="eastAsia"/>
                <w:lang w:eastAsia="zh-CN"/>
              </w:rPr>
              <w:t>《</w:t>
            </w:r>
            <w:r>
              <w:rPr>
                <w:rFonts w:hint="eastAsia"/>
                <w:lang w:val="en-US" w:eastAsia="zh-CN"/>
              </w:rPr>
              <w:t>污水综合排放标准</w:t>
            </w:r>
            <w:r>
              <w:rPr>
                <w:rFonts w:hint="eastAsia"/>
                <w:lang w:eastAsia="zh-CN"/>
              </w:rPr>
              <w:t>》（</w:t>
            </w:r>
            <w:r>
              <w:rPr>
                <w:rFonts w:hint="eastAsia"/>
                <w:lang w:val="en-US" w:eastAsia="zh-CN"/>
              </w:rPr>
              <w:t>GB8978-1996</w:t>
            </w:r>
            <w:r>
              <w:rPr>
                <w:rFonts w:hint="eastAsia"/>
                <w:lang w:eastAsia="zh-CN"/>
              </w:rPr>
              <w:t>）</w:t>
            </w:r>
          </w:p>
          <w:p w14:paraId="37F21594">
            <w:pPr>
              <w:pStyle w:val="31"/>
              <w:rPr>
                <w:rFonts w:hint="default"/>
                <w:lang w:val="en-US" w:eastAsia="zh-CN"/>
              </w:rPr>
            </w:pPr>
            <w:r>
              <w:rPr>
                <w:rFonts w:hint="eastAsia"/>
                <w:lang w:val="en-US" w:eastAsia="zh-CN"/>
              </w:rPr>
              <w:t>一级标准</w:t>
            </w:r>
          </w:p>
        </w:tc>
        <w:tc>
          <w:tcPr>
            <w:tcW w:w="574" w:type="pct"/>
            <w:vAlign w:val="center"/>
          </w:tcPr>
          <w:p w14:paraId="6F9BA747">
            <w:pPr>
              <w:pStyle w:val="31"/>
            </w:pPr>
            <w:r>
              <w:t>/</w:t>
            </w:r>
          </w:p>
        </w:tc>
        <w:tc>
          <w:tcPr>
            <w:tcW w:w="576" w:type="pct"/>
            <w:vAlign w:val="center"/>
          </w:tcPr>
          <w:p w14:paraId="416D4A33">
            <w:pPr>
              <w:pStyle w:val="31"/>
            </w:pPr>
            <w:r>
              <w:rPr>
                <w:rFonts w:hint="eastAsia"/>
              </w:rPr>
              <w:t>4</w:t>
            </w:r>
          </w:p>
        </w:tc>
        <w:tc>
          <w:tcPr>
            <w:tcW w:w="420" w:type="pct"/>
            <w:vAlign w:val="center"/>
          </w:tcPr>
          <w:p w14:paraId="18C466AA">
            <w:pPr>
              <w:pStyle w:val="31"/>
            </w:pPr>
            <w:r>
              <w:rPr>
                <w:rFonts w:hint="eastAsia"/>
              </w:rPr>
              <w:t>防渗措施纳入地下水</w:t>
            </w:r>
          </w:p>
        </w:tc>
      </w:tr>
      <w:tr w14:paraId="52161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21B12515">
            <w:pPr>
              <w:pStyle w:val="31"/>
            </w:pPr>
          </w:p>
        </w:tc>
        <w:tc>
          <w:tcPr>
            <w:tcW w:w="1984" w:type="pct"/>
            <w:tcBorders>
              <w:top w:val="single" w:color="auto" w:sz="4" w:space="0"/>
            </w:tcBorders>
            <w:vAlign w:val="center"/>
          </w:tcPr>
          <w:p w14:paraId="6695853C">
            <w:pPr>
              <w:pStyle w:val="31"/>
              <w:rPr>
                <w:rFonts w:hint="default" w:eastAsia="宋体"/>
                <w:vertAlign w:val="baseline"/>
                <w:lang w:val="en-US" w:eastAsia="zh-CN"/>
              </w:rPr>
            </w:pPr>
            <w:r>
              <w:rPr>
                <w:rFonts w:hint="eastAsia"/>
                <w:lang w:val="en-US" w:eastAsia="zh-CN"/>
              </w:rPr>
              <w:t>设置50m</w:t>
            </w:r>
            <w:r>
              <w:rPr>
                <w:rFonts w:hint="eastAsia"/>
                <w:vertAlign w:val="superscript"/>
                <w:lang w:val="en-US" w:eastAsia="zh-CN"/>
              </w:rPr>
              <w:t>3</w:t>
            </w:r>
            <w:r>
              <w:rPr>
                <w:rFonts w:hint="eastAsia"/>
                <w:vertAlign w:val="baseline"/>
                <w:lang w:val="en-US" w:eastAsia="zh-CN"/>
              </w:rPr>
              <w:t>/d的废水处理设施，采用“</w:t>
            </w:r>
            <w:r>
              <w:rPr>
                <w:rFonts w:hint="eastAsia"/>
                <w:lang w:val="en-US" w:eastAsia="zh-CN"/>
              </w:rPr>
              <w:t>调节池+气浮+隔油+AAO+混凝沉淀+斜板沉淀池+清水池</w:t>
            </w:r>
            <w:r>
              <w:rPr>
                <w:rFonts w:hint="eastAsia"/>
                <w:vertAlign w:val="baseline"/>
                <w:lang w:val="en-US" w:eastAsia="zh-CN"/>
              </w:rPr>
              <w:t>”工艺，废水处理达标后，优先回用于生产，剩余部分通过罐车运输至三樟镇污水处理厂处理</w:t>
            </w:r>
          </w:p>
        </w:tc>
        <w:tc>
          <w:tcPr>
            <w:tcW w:w="1078" w:type="pct"/>
            <w:vMerge w:val="continue"/>
            <w:vAlign w:val="center"/>
          </w:tcPr>
          <w:p w14:paraId="58C8F787">
            <w:pPr>
              <w:pStyle w:val="31"/>
              <w:rPr>
                <w:rFonts w:hint="eastAsia"/>
              </w:rPr>
            </w:pPr>
          </w:p>
        </w:tc>
        <w:tc>
          <w:tcPr>
            <w:tcW w:w="574" w:type="pct"/>
            <w:vAlign w:val="center"/>
          </w:tcPr>
          <w:p w14:paraId="71E952CC">
            <w:pPr>
              <w:pStyle w:val="31"/>
              <w:rPr>
                <w:rFonts w:hint="eastAsia" w:eastAsia="宋体"/>
                <w:lang w:val="en-US" w:eastAsia="zh-CN"/>
              </w:rPr>
            </w:pPr>
            <w:r>
              <w:rPr>
                <w:rFonts w:hint="eastAsia"/>
                <w:lang w:val="en-US" w:eastAsia="zh-CN"/>
              </w:rPr>
              <w:t>/</w:t>
            </w:r>
          </w:p>
        </w:tc>
        <w:tc>
          <w:tcPr>
            <w:tcW w:w="576" w:type="pct"/>
            <w:vAlign w:val="center"/>
          </w:tcPr>
          <w:p w14:paraId="619123E6">
            <w:pPr>
              <w:pStyle w:val="31"/>
              <w:rPr>
                <w:rFonts w:hint="default" w:eastAsia="宋体"/>
                <w:lang w:val="en-US" w:eastAsia="zh-CN"/>
              </w:rPr>
            </w:pPr>
            <w:r>
              <w:rPr>
                <w:rFonts w:hint="eastAsia"/>
                <w:lang w:val="en-US" w:eastAsia="zh-CN"/>
              </w:rPr>
              <w:t>60</w:t>
            </w:r>
          </w:p>
        </w:tc>
        <w:tc>
          <w:tcPr>
            <w:tcW w:w="420" w:type="pct"/>
            <w:vAlign w:val="center"/>
          </w:tcPr>
          <w:p w14:paraId="2433486C">
            <w:pPr>
              <w:pStyle w:val="31"/>
              <w:rPr>
                <w:rFonts w:hint="eastAsia" w:eastAsia="宋体"/>
                <w:lang w:val="en-US" w:eastAsia="zh-CN"/>
              </w:rPr>
            </w:pPr>
            <w:r>
              <w:rPr>
                <w:rFonts w:hint="eastAsia"/>
                <w:lang w:val="en-US" w:eastAsia="zh-CN"/>
              </w:rPr>
              <w:t>/</w:t>
            </w:r>
          </w:p>
        </w:tc>
      </w:tr>
      <w:tr w14:paraId="140416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329BC924">
            <w:pPr>
              <w:pStyle w:val="31"/>
            </w:pPr>
          </w:p>
        </w:tc>
        <w:tc>
          <w:tcPr>
            <w:tcW w:w="1984" w:type="pct"/>
            <w:tcBorders>
              <w:top w:val="single" w:color="auto" w:sz="4" w:space="0"/>
            </w:tcBorders>
            <w:vAlign w:val="center"/>
          </w:tcPr>
          <w:p w14:paraId="27D0DE78">
            <w:pPr>
              <w:pStyle w:val="31"/>
            </w:pPr>
            <w:r>
              <w:rPr>
                <w:rFonts w:hint="eastAsia"/>
              </w:rPr>
              <w:t>生活污水：经化粪池处理后用于周边农田灌溉</w:t>
            </w:r>
          </w:p>
        </w:tc>
        <w:tc>
          <w:tcPr>
            <w:tcW w:w="1078" w:type="pct"/>
            <w:vAlign w:val="center"/>
          </w:tcPr>
          <w:p w14:paraId="12F37870">
            <w:pPr>
              <w:pStyle w:val="31"/>
              <w:rPr>
                <w:rFonts w:hint="default" w:eastAsia="宋体"/>
                <w:lang w:val="en-US" w:eastAsia="zh-CN"/>
              </w:rPr>
            </w:pPr>
            <w:r>
              <w:rPr>
                <w:rFonts w:hint="eastAsia"/>
                <w:lang w:val="en-US" w:eastAsia="zh-CN"/>
              </w:rPr>
              <w:t>用于农田施肥，禁止直接排放</w:t>
            </w:r>
          </w:p>
        </w:tc>
        <w:tc>
          <w:tcPr>
            <w:tcW w:w="574" w:type="pct"/>
            <w:vAlign w:val="center"/>
          </w:tcPr>
          <w:p w14:paraId="2160282C">
            <w:pPr>
              <w:pStyle w:val="31"/>
            </w:pPr>
            <w:r>
              <w:t>0.3</w:t>
            </w:r>
          </w:p>
        </w:tc>
        <w:tc>
          <w:tcPr>
            <w:tcW w:w="576" w:type="pct"/>
            <w:vAlign w:val="center"/>
          </w:tcPr>
          <w:p w14:paraId="00F1DE67">
            <w:pPr>
              <w:pStyle w:val="31"/>
            </w:pPr>
            <w:r>
              <w:rPr>
                <w:rFonts w:hint="eastAsia"/>
              </w:rPr>
              <w:t>0.1</w:t>
            </w:r>
          </w:p>
        </w:tc>
        <w:tc>
          <w:tcPr>
            <w:tcW w:w="420" w:type="pct"/>
            <w:vAlign w:val="center"/>
          </w:tcPr>
          <w:p w14:paraId="59EDD4A8">
            <w:pPr>
              <w:pStyle w:val="31"/>
            </w:pPr>
            <w:r>
              <w:rPr>
                <w:rFonts w:hint="eastAsia"/>
              </w:rPr>
              <w:t>委托农户定期清掏</w:t>
            </w:r>
          </w:p>
        </w:tc>
      </w:tr>
      <w:tr w14:paraId="3E55C9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7BE255F8">
            <w:pPr>
              <w:pStyle w:val="31"/>
            </w:pPr>
            <w:r>
              <w:t>噪声</w:t>
            </w:r>
          </w:p>
        </w:tc>
        <w:tc>
          <w:tcPr>
            <w:tcW w:w="1984" w:type="pct"/>
            <w:vAlign w:val="center"/>
          </w:tcPr>
          <w:p w14:paraId="35090C1F">
            <w:pPr>
              <w:pStyle w:val="31"/>
            </w:pPr>
            <w:r>
              <w:rPr>
                <w:rFonts w:hint="eastAsia"/>
              </w:rPr>
              <w:t>选用低噪声设备、设减振基础或车间墙体隔音</w:t>
            </w:r>
          </w:p>
        </w:tc>
        <w:tc>
          <w:tcPr>
            <w:tcW w:w="1078" w:type="pct"/>
            <w:vMerge w:val="restart"/>
            <w:vAlign w:val="center"/>
          </w:tcPr>
          <w:p w14:paraId="3722D302">
            <w:pPr>
              <w:pStyle w:val="31"/>
            </w:pPr>
            <w:r>
              <w:t>GB12348-2008</w:t>
            </w:r>
            <w:r>
              <w:rPr>
                <w:rFonts w:hint="eastAsia"/>
              </w:rPr>
              <w:t>中</w:t>
            </w:r>
            <w:r>
              <w:rPr>
                <w:rFonts w:hint="eastAsia"/>
                <w:lang w:val="en-US" w:eastAsia="zh-CN"/>
              </w:rPr>
              <w:t>2</w:t>
            </w:r>
            <w:r>
              <w:t>类限值</w:t>
            </w:r>
          </w:p>
        </w:tc>
        <w:tc>
          <w:tcPr>
            <w:tcW w:w="574" w:type="pct"/>
            <w:vAlign w:val="center"/>
          </w:tcPr>
          <w:p w14:paraId="4E05D415">
            <w:pPr>
              <w:pStyle w:val="31"/>
            </w:pPr>
            <w:r>
              <w:t>0.5</w:t>
            </w:r>
          </w:p>
        </w:tc>
        <w:tc>
          <w:tcPr>
            <w:tcW w:w="576" w:type="pct"/>
            <w:vAlign w:val="center"/>
          </w:tcPr>
          <w:p w14:paraId="50A61A18">
            <w:pPr>
              <w:pStyle w:val="31"/>
            </w:pPr>
            <w:r>
              <w:rPr>
                <w:rFonts w:hint="eastAsia"/>
              </w:rPr>
              <w:t>/</w:t>
            </w:r>
          </w:p>
        </w:tc>
        <w:tc>
          <w:tcPr>
            <w:tcW w:w="420" w:type="pct"/>
            <w:vAlign w:val="center"/>
          </w:tcPr>
          <w:p w14:paraId="0F43FD36">
            <w:pPr>
              <w:pStyle w:val="31"/>
            </w:pPr>
          </w:p>
        </w:tc>
      </w:tr>
      <w:tr w14:paraId="2FED7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7C0FAA2D">
            <w:pPr>
              <w:pStyle w:val="31"/>
            </w:pPr>
          </w:p>
        </w:tc>
        <w:tc>
          <w:tcPr>
            <w:tcW w:w="1984" w:type="pct"/>
            <w:vAlign w:val="center"/>
          </w:tcPr>
          <w:p w14:paraId="00007D1C">
            <w:pPr>
              <w:pStyle w:val="31"/>
            </w:pPr>
            <w:r>
              <w:rPr>
                <w:rFonts w:hint="eastAsia"/>
              </w:rPr>
              <w:t>加弹性垫、重新布局</w:t>
            </w:r>
          </w:p>
        </w:tc>
        <w:tc>
          <w:tcPr>
            <w:tcW w:w="1078" w:type="pct"/>
            <w:vMerge w:val="continue"/>
            <w:vAlign w:val="center"/>
          </w:tcPr>
          <w:p w14:paraId="2DCC38EB">
            <w:pPr>
              <w:pStyle w:val="31"/>
            </w:pPr>
          </w:p>
        </w:tc>
        <w:tc>
          <w:tcPr>
            <w:tcW w:w="574" w:type="pct"/>
            <w:vAlign w:val="center"/>
          </w:tcPr>
          <w:p w14:paraId="0EB06D7C">
            <w:pPr>
              <w:pStyle w:val="31"/>
            </w:pPr>
            <w:r>
              <w:t>/</w:t>
            </w:r>
          </w:p>
        </w:tc>
        <w:tc>
          <w:tcPr>
            <w:tcW w:w="576" w:type="pct"/>
            <w:vAlign w:val="center"/>
          </w:tcPr>
          <w:p w14:paraId="2164F4B5">
            <w:pPr>
              <w:pStyle w:val="31"/>
            </w:pPr>
            <w:r>
              <w:rPr>
                <w:rFonts w:hint="eastAsia"/>
              </w:rPr>
              <w:t>1.7</w:t>
            </w:r>
          </w:p>
        </w:tc>
        <w:tc>
          <w:tcPr>
            <w:tcW w:w="420" w:type="pct"/>
            <w:vAlign w:val="center"/>
          </w:tcPr>
          <w:p w14:paraId="390C823F">
            <w:pPr>
              <w:pStyle w:val="31"/>
            </w:pPr>
          </w:p>
        </w:tc>
      </w:tr>
      <w:tr w14:paraId="69567C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43188720">
            <w:pPr>
              <w:pStyle w:val="31"/>
            </w:pPr>
            <w:r>
              <w:t>固废</w:t>
            </w:r>
          </w:p>
        </w:tc>
        <w:tc>
          <w:tcPr>
            <w:tcW w:w="1984" w:type="pct"/>
            <w:vAlign w:val="center"/>
          </w:tcPr>
          <w:p w14:paraId="1F04B590">
            <w:pPr>
              <w:pStyle w:val="31"/>
            </w:pPr>
            <w:r>
              <w:t>设置垃圾桶</w:t>
            </w:r>
          </w:p>
        </w:tc>
        <w:tc>
          <w:tcPr>
            <w:tcW w:w="1078" w:type="pct"/>
            <w:vAlign w:val="center"/>
          </w:tcPr>
          <w:p w14:paraId="12B60E1C">
            <w:pPr>
              <w:pStyle w:val="31"/>
            </w:pPr>
            <w:r>
              <w:rPr>
                <w:rFonts w:hint="eastAsia"/>
              </w:rPr>
              <w:t>有效收集</w:t>
            </w:r>
          </w:p>
        </w:tc>
        <w:tc>
          <w:tcPr>
            <w:tcW w:w="574" w:type="pct"/>
            <w:vAlign w:val="center"/>
          </w:tcPr>
          <w:p w14:paraId="6D4815DF">
            <w:pPr>
              <w:pStyle w:val="31"/>
            </w:pPr>
            <w:r>
              <w:t>/</w:t>
            </w:r>
          </w:p>
        </w:tc>
        <w:tc>
          <w:tcPr>
            <w:tcW w:w="576" w:type="pct"/>
            <w:vAlign w:val="center"/>
          </w:tcPr>
          <w:p w14:paraId="017BF3B7">
            <w:pPr>
              <w:pStyle w:val="31"/>
            </w:pPr>
            <w:r>
              <w:rPr>
                <w:rFonts w:hint="eastAsia"/>
              </w:rPr>
              <w:t>0.1</w:t>
            </w:r>
          </w:p>
        </w:tc>
        <w:tc>
          <w:tcPr>
            <w:tcW w:w="420" w:type="pct"/>
            <w:vAlign w:val="center"/>
          </w:tcPr>
          <w:p w14:paraId="0B4175F2">
            <w:pPr>
              <w:pStyle w:val="31"/>
            </w:pPr>
          </w:p>
        </w:tc>
      </w:tr>
      <w:tr w14:paraId="20F02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35FF09DF">
            <w:pPr>
              <w:pStyle w:val="31"/>
            </w:pPr>
          </w:p>
        </w:tc>
        <w:tc>
          <w:tcPr>
            <w:tcW w:w="1984" w:type="pct"/>
            <w:vAlign w:val="center"/>
          </w:tcPr>
          <w:p w14:paraId="142A8B21">
            <w:pPr>
              <w:pStyle w:val="31"/>
            </w:pPr>
            <w:r>
              <w:rPr>
                <w:rFonts w:hint="eastAsia"/>
              </w:rPr>
              <w:t>一般固废暂存区：可移动式集装箱，标识标牌</w:t>
            </w:r>
          </w:p>
        </w:tc>
        <w:tc>
          <w:tcPr>
            <w:tcW w:w="1078" w:type="pct"/>
            <w:vAlign w:val="center"/>
          </w:tcPr>
          <w:p w14:paraId="3F281FAB">
            <w:pPr>
              <w:pStyle w:val="31"/>
            </w:pPr>
            <w:r>
              <w:rPr>
                <w:rFonts w:hint="eastAsia"/>
              </w:rPr>
              <w:t>委托利用</w:t>
            </w:r>
          </w:p>
        </w:tc>
        <w:tc>
          <w:tcPr>
            <w:tcW w:w="574" w:type="pct"/>
            <w:vAlign w:val="center"/>
          </w:tcPr>
          <w:p w14:paraId="0153C32F">
            <w:pPr>
              <w:pStyle w:val="31"/>
            </w:pPr>
            <w:r>
              <w:t>/</w:t>
            </w:r>
          </w:p>
        </w:tc>
        <w:tc>
          <w:tcPr>
            <w:tcW w:w="576" w:type="pct"/>
            <w:vAlign w:val="center"/>
          </w:tcPr>
          <w:p w14:paraId="0573904F">
            <w:pPr>
              <w:pStyle w:val="31"/>
            </w:pPr>
            <w:r>
              <w:rPr>
                <w:rFonts w:hint="eastAsia"/>
              </w:rPr>
              <w:t>4.3</w:t>
            </w:r>
          </w:p>
        </w:tc>
        <w:tc>
          <w:tcPr>
            <w:tcW w:w="420" w:type="pct"/>
            <w:vAlign w:val="center"/>
          </w:tcPr>
          <w:p w14:paraId="3D73DCF3">
            <w:pPr>
              <w:pStyle w:val="31"/>
            </w:pPr>
          </w:p>
        </w:tc>
      </w:tr>
      <w:tr w14:paraId="71BAD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38576F57">
            <w:pPr>
              <w:pStyle w:val="31"/>
            </w:pPr>
          </w:p>
        </w:tc>
        <w:tc>
          <w:tcPr>
            <w:tcW w:w="1984" w:type="pct"/>
            <w:vAlign w:val="center"/>
          </w:tcPr>
          <w:p w14:paraId="0D573B8B">
            <w:pPr>
              <w:pStyle w:val="31"/>
            </w:pPr>
            <w:r>
              <w:rPr>
                <w:rFonts w:hint="eastAsia"/>
              </w:rPr>
              <w:t>危险废物暂存区：可移动式集装箱，标识标牌，空桶、包装物及防渗托盘</w:t>
            </w:r>
          </w:p>
        </w:tc>
        <w:tc>
          <w:tcPr>
            <w:tcW w:w="1078" w:type="pct"/>
            <w:vAlign w:val="center"/>
          </w:tcPr>
          <w:p w14:paraId="6693FC4A">
            <w:pPr>
              <w:pStyle w:val="31"/>
            </w:pPr>
            <w:r>
              <w:rPr>
                <w:rFonts w:hint="eastAsia"/>
              </w:rPr>
              <w:t>委托利用/处置</w:t>
            </w:r>
          </w:p>
        </w:tc>
        <w:tc>
          <w:tcPr>
            <w:tcW w:w="574" w:type="pct"/>
            <w:vAlign w:val="center"/>
          </w:tcPr>
          <w:p w14:paraId="564296F2">
            <w:pPr>
              <w:pStyle w:val="31"/>
            </w:pPr>
            <w:r>
              <w:t>/</w:t>
            </w:r>
          </w:p>
        </w:tc>
        <w:tc>
          <w:tcPr>
            <w:tcW w:w="576" w:type="pct"/>
            <w:vAlign w:val="center"/>
          </w:tcPr>
          <w:p w14:paraId="53A5A99D">
            <w:pPr>
              <w:pStyle w:val="31"/>
            </w:pPr>
            <w:r>
              <w:rPr>
                <w:rFonts w:hint="eastAsia"/>
              </w:rPr>
              <w:t>2.5</w:t>
            </w:r>
          </w:p>
        </w:tc>
        <w:tc>
          <w:tcPr>
            <w:tcW w:w="420" w:type="pct"/>
            <w:vAlign w:val="center"/>
          </w:tcPr>
          <w:p w14:paraId="1568D4DD">
            <w:pPr>
              <w:pStyle w:val="31"/>
            </w:pPr>
          </w:p>
        </w:tc>
      </w:tr>
      <w:tr w14:paraId="7BBD4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285103E2">
            <w:pPr>
              <w:pStyle w:val="31"/>
            </w:pPr>
            <w:r>
              <w:rPr>
                <w:rFonts w:hint="eastAsia"/>
              </w:rPr>
              <w:t>地下水</w:t>
            </w:r>
          </w:p>
        </w:tc>
        <w:tc>
          <w:tcPr>
            <w:tcW w:w="1984" w:type="pct"/>
            <w:vAlign w:val="center"/>
          </w:tcPr>
          <w:p w14:paraId="470EC19A">
            <w:pPr>
              <w:pStyle w:val="31"/>
            </w:pPr>
            <w:r>
              <w:rPr>
                <w:rFonts w:hint="eastAsia"/>
              </w:rPr>
              <w:t>一般防渗区：等效黏土防渗层</w:t>
            </w:r>
            <w:r>
              <w:t>Mb≥1.5m，渗透系数k≤1.0×10-7cm/s，或参照GB18598执行；</w:t>
            </w:r>
          </w:p>
          <w:p w14:paraId="1C261C3F">
            <w:pPr>
              <w:pStyle w:val="31"/>
            </w:pPr>
            <w:r>
              <w:rPr>
                <w:rFonts w:hint="eastAsia"/>
              </w:rPr>
              <w:t>简单防渗区：一般地面硬化，现有项目已满足</w:t>
            </w:r>
          </w:p>
        </w:tc>
        <w:tc>
          <w:tcPr>
            <w:tcW w:w="1078" w:type="pct"/>
            <w:vAlign w:val="center"/>
          </w:tcPr>
          <w:p w14:paraId="7D16548E">
            <w:pPr>
              <w:pStyle w:val="31"/>
            </w:pPr>
            <w:r>
              <w:rPr>
                <w:rFonts w:hint="eastAsia"/>
              </w:rPr>
              <w:t>分区防渗</w:t>
            </w:r>
          </w:p>
        </w:tc>
        <w:tc>
          <w:tcPr>
            <w:tcW w:w="574" w:type="pct"/>
            <w:vAlign w:val="center"/>
          </w:tcPr>
          <w:p w14:paraId="5CB6CA37">
            <w:pPr>
              <w:pStyle w:val="31"/>
            </w:pPr>
            <w:r>
              <w:t xml:space="preserve">/ </w:t>
            </w:r>
          </w:p>
        </w:tc>
        <w:tc>
          <w:tcPr>
            <w:tcW w:w="576" w:type="pct"/>
            <w:vAlign w:val="center"/>
          </w:tcPr>
          <w:p w14:paraId="6B7878EB">
            <w:pPr>
              <w:pStyle w:val="31"/>
            </w:pPr>
            <w:r>
              <w:rPr>
                <w:rFonts w:hint="eastAsia"/>
              </w:rPr>
              <w:t>2</w:t>
            </w:r>
          </w:p>
        </w:tc>
        <w:tc>
          <w:tcPr>
            <w:tcW w:w="420" w:type="pct"/>
            <w:vAlign w:val="center"/>
          </w:tcPr>
          <w:p w14:paraId="07C3C084">
            <w:pPr>
              <w:pStyle w:val="31"/>
            </w:pPr>
          </w:p>
        </w:tc>
      </w:tr>
      <w:tr w14:paraId="046ACA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273BAA03">
            <w:pPr>
              <w:pStyle w:val="31"/>
            </w:pPr>
          </w:p>
        </w:tc>
        <w:tc>
          <w:tcPr>
            <w:tcW w:w="1984" w:type="pct"/>
            <w:vAlign w:val="center"/>
          </w:tcPr>
          <w:p w14:paraId="36F5FCA6">
            <w:pPr>
              <w:pStyle w:val="31"/>
            </w:pPr>
            <w:r>
              <w:rPr>
                <w:rFonts w:hint="eastAsia"/>
              </w:rPr>
              <w:t>1口地下水监测井，井径5</w:t>
            </w:r>
            <w:r>
              <w:t>0</w:t>
            </w:r>
            <w:r>
              <w:rPr>
                <w:rFonts w:hint="eastAsia"/>
              </w:rPr>
              <w:t>mm，不锈钢管，条缝过滤网</w:t>
            </w:r>
          </w:p>
        </w:tc>
        <w:tc>
          <w:tcPr>
            <w:tcW w:w="1078" w:type="pct"/>
            <w:vAlign w:val="center"/>
          </w:tcPr>
          <w:p w14:paraId="15EA31B1">
            <w:pPr>
              <w:pStyle w:val="31"/>
            </w:pPr>
            <w:r>
              <w:rPr>
                <w:rFonts w:hint="eastAsia"/>
              </w:rPr>
              <w:t>污染监测井</w:t>
            </w:r>
          </w:p>
        </w:tc>
        <w:tc>
          <w:tcPr>
            <w:tcW w:w="574" w:type="pct"/>
            <w:vAlign w:val="center"/>
          </w:tcPr>
          <w:p w14:paraId="54810E6B">
            <w:pPr>
              <w:pStyle w:val="31"/>
            </w:pPr>
            <w:r>
              <w:t>/</w:t>
            </w:r>
          </w:p>
        </w:tc>
        <w:tc>
          <w:tcPr>
            <w:tcW w:w="576" w:type="pct"/>
            <w:vAlign w:val="center"/>
          </w:tcPr>
          <w:p w14:paraId="761304C5">
            <w:pPr>
              <w:pStyle w:val="31"/>
            </w:pPr>
            <w:r>
              <w:rPr>
                <w:rFonts w:hint="eastAsia"/>
              </w:rPr>
              <w:t>2</w:t>
            </w:r>
          </w:p>
        </w:tc>
        <w:tc>
          <w:tcPr>
            <w:tcW w:w="420" w:type="pct"/>
            <w:vAlign w:val="center"/>
          </w:tcPr>
          <w:p w14:paraId="52AAFAF7">
            <w:pPr>
              <w:pStyle w:val="31"/>
            </w:pPr>
          </w:p>
        </w:tc>
      </w:tr>
      <w:tr w14:paraId="009A04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0FDD97AD">
            <w:pPr>
              <w:pStyle w:val="31"/>
            </w:pPr>
            <w:r>
              <w:rPr>
                <w:rFonts w:hint="eastAsia"/>
              </w:rPr>
              <w:t>风险</w:t>
            </w:r>
          </w:p>
        </w:tc>
        <w:tc>
          <w:tcPr>
            <w:tcW w:w="3063" w:type="pct"/>
            <w:gridSpan w:val="2"/>
            <w:vAlign w:val="center"/>
          </w:tcPr>
          <w:p w14:paraId="43107195">
            <w:pPr>
              <w:pStyle w:val="31"/>
            </w:pPr>
            <w:r>
              <w:rPr>
                <w:rFonts w:hint="eastAsia"/>
              </w:rPr>
              <w:t>应急物资柜</w:t>
            </w:r>
          </w:p>
        </w:tc>
        <w:tc>
          <w:tcPr>
            <w:tcW w:w="574" w:type="pct"/>
            <w:vAlign w:val="center"/>
          </w:tcPr>
          <w:p w14:paraId="68E241A2">
            <w:pPr>
              <w:pStyle w:val="31"/>
            </w:pPr>
            <w:r>
              <w:rPr>
                <w:rFonts w:hint="eastAsia"/>
              </w:rPr>
              <w:t>0</w:t>
            </w:r>
            <w:r>
              <w:t>.3</w:t>
            </w:r>
          </w:p>
        </w:tc>
        <w:tc>
          <w:tcPr>
            <w:tcW w:w="576" w:type="pct"/>
            <w:vAlign w:val="center"/>
          </w:tcPr>
          <w:p w14:paraId="4AFCE241">
            <w:pPr>
              <w:pStyle w:val="31"/>
            </w:pPr>
            <w:r>
              <w:rPr>
                <w:rFonts w:hint="eastAsia"/>
              </w:rPr>
              <w:t>/</w:t>
            </w:r>
          </w:p>
        </w:tc>
        <w:tc>
          <w:tcPr>
            <w:tcW w:w="420" w:type="pct"/>
            <w:vAlign w:val="center"/>
          </w:tcPr>
          <w:p w14:paraId="6280C1DC">
            <w:pPr>
              <w:pStyle w:val="31"/>
            </w:pPr>
          </w:p>
        </w:tc>
      </w:tr>
      <w:tr w14:paraId="2CC958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2FAB1B02">
            <w:pPr>
              <w:pStyle w:val="31"/>
            </w:pPr>
          </w:p>
        </w:tc>
        <w:tc>
          <w:tcPr>
            <w:tcW w:w="3063" w:type="pct"/>
            <w:gridSpan w:val="2"/>
            <w:vAlign w:val="center"/>
          </w:tcPr>
          <w:p w14:paraId="5237EF46">
            <w:pPr>
              <w:pStyle w:val="31"/>
            </w:pPr>
            <w:r>
              <w:rPr>
                <w:rFonts w:hint="eastAsia"/>
              </w:rPr>
              <w:t>突发环境事件应急预案</w:t>
            </w:r>
          </w:p>
        </w:tc>
        <w:tc>
          <w:tcPr>
            <w:tcW w:w="574" w:type="pct"/>
            <w:vAlign w:val="center"/>
          </w:tcPr>
          <w:p w14:paraId="46E323B6">
            <w:pPr>
              <w:pStyle w:val="31"/>
            </w:pPr>
            <w:r>
              <w:rPr>
                <w:rFonts w:hint="eastAsia"/>
              </w:rPr>
              <w:t>1.8</w:t>
            </w:r>
          </w:p>
        </w:tc>
        <w:tc>
          <w:tcPr>
            <w:tcW w:w="576" w:type="pct"/>
            <w:vAlign w:val="center"/>
          </w:tcPr>
          <w:p w14:paraId="12DDE605">
            <w:pPr>
              <w:pStyle w:val="31"/>
            </w:pPr>
            <w:r>
              <w:rPr>
                <w:rFonts w:hint="eastAsia"/>
              </w:rPr>
              <w:t>1.5</w:t>
            </w:r>
          </w:p>
        </w:tc>
        <w:tc>
          <w:tcPr>
            <w:tcW w:w="420" w:type="pct"/>
            <w:vAlign w:val="center"/>
          </w:tcPr>
          <w:p w14:paraId="65CE0CAE">
            <w:pPr>
              <w:pStyle w:val="31"/>
            </w:pPr>
          </w:p>
        </w:tc>
      </w:tr>
      <w:tr w14:paraId="000B19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restart"/>
            <w:vAlign w:val="center"/>
          </w:tcPr>
          <w:p w14:paraId="434BCF24">
            <w:pPr>
              <w:pStyle w:val="31"/>
            </w:pPr>
            <w:r>
              <w:t>其他</w:t>
            </w:r>
          </w:p>
        </w:tc>
        <w:tc>
          <w:tcPr>
            <w:tcW w:w="3063" w:type="pct"/>
            <w:gridSpan w:val="2"/>
            <w:vAlign w:val="center"/>
          </w:tcPr>
          <w:p w14:paraId="4E5678E3">
            <w:pPr>
              <w:pStyle w:val="31"/>
            </w:pPr>
            <w:r>
              <w:rPr>
                <w:rFonts w:hint="eastAsia"/>
              </w:rPr>
              <w:t>日常管理、专人保洁</w:t>
            </w:r>
          </w:p>
        </w:tc>
        <w:tc>
          <w:tcPr>
            <w:tcW w:w="574" w:type="pct"/>
            <w:vAlign w:val="center"/>
          </w:tcPr>
          <w:p w14:paraId="66686A03">
            <w:pPr>
              <w:pStyle w:val="31"/>
            </w:pPr>
            <w:r>
              <w:rPr>
                <w:rFonts w:hint="eastAsia"/>
              </w:rPr>
              <w:t>/</w:t>
            </w:r>
          </w:p>
        </w:tc>
        <w:tc>
          <w:tcPr>
            <w:tcW w:w="576" w:type="pct"/>
            <w:vAlign w:val="center"/>
          </w:tcPr>
          <w:p w14:paraId="4EB7F537">
            <w:pPr>
              <w:pStyle w:val="31"/>
            </w:pPr>
            <w:r>
              <w:rPr>
                <w:rFonts w:hint="eastAsia"/>
              </w:rPr>
              <w:t>4</w:t>
            </w:r>
          </w:p>
        </w:tc>
        <w:tc>
          <w:tcPr>
            <w:tcW w:w="420" w:type="pct"/>
            <w:vAlign w:val="center"/>
          </w:tcPr>
          <w:p w14:paraId="0247300D">
            <w:pPr>
              <w:pStyle w:val="31"/>
            </w:pPr>
          </w:p>
        </w:tc>
      </w:tr>
      <w:tr w14:paraId="5B4C7B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44EC4DDD">
            <w:pPr>
              <w:pStyle w:val="31"/>
            </w:pPr>
          </w:p>
        </w:tc>
        <w:tc>
          <w:tcPr>
            <w:tcW w:w="3063" w:type="pct"/>
            <w:gridSpan w:val="2"/>
            <w:vAlign w:val="center"/>
          </w:tcPr>
          <w:p w14:paraId="3873FD8F">
            <w:pPr>
              <w:pStyle w:val="31"/>
            </w:pPr>
            <w:r>
              <w:rPr>
                <w:rFonts w:hint="eastAsia"/>
              </w:rPr>
              <w:t>危废处置协议</w:t>
            </w:r>
          </w:p>
        </w:tc>
        <w:tc>
          <w:tcPr>
            <w:tcW w:w="574" w:type="pct"/>
            <w:vAlign w:val="center"/>
          </w:tcPr>
          <w:p w14:paraId="54D31D88">
            <w:pPr>
              <w:pStyle w:val="31"/>
            </w:pPr>
            <w:r>
              <w:rPr>
                <w:rFonts w:hint="eastAsia"/>
              </w:rPr>
              <w:t>/</w:t>
            </w:r>
          </w:p>
        </w:tc>
        <w:tc>
          <w:tcPr>
            <w:tcW w:w="576" w:type="pct"/>
            <w:vAlign w:val="center"/>
          </w:tcPr>
          <w:p w14:paraId="4220C84B">
            <w:pPr>
              <w:pStyle w:val="31"/>
            </w:pPr>
            <w:r>
              <w:rPr>
                <w:rFonts w:hint="eastAsia"/>
              </w:rPr>
              <w:t>1.1</w:t>
            </w:r>
          </w:p>
        </w:tc>
        <w:tc>
          <w:tcPr>
            <w:tcW w:w="420" w:type="pct"/>
            <w:vAlign w:val="center"/>
          </w:tcPr>
          <w:p w14:paraId="7EB0AF92">
            <w:pPr>
              <w:pStyle w:val="31"/>
            </w:pPr>
          </w:p>
        </w:tc>
      </w:tr>
      <w:tr w14:paraId="712114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66" w:type="pct"/>
            <w:vMerge w:val="continue"/>
            <w:vAlign w:val="center"/>
          </w:tcPr>
          <w:p w14:paraId="202833DB">
            <w:pPr>
              <w:pStyle w:val="31"/>
            </w:pPr>
          </w:p>
        </w:tc>
        <w:tc>
          <w:tcPr>
            <w:tcW w:w="3063" w:type="pct"/>
            <w:gridSpan w:val="2"/>
            <w:vAlign w:val="center"/>
          </w:tcPr>
          <w:p w14:paraId="415A2CEE">
            <w:pPr>
              <w:pStyle w:val="31"/>
            </w:pPr>
            <w:r>
              <w:rPr>
                <w:rFonts w:hint="eastAsia"/>
              </w:rPr>
              <w:t>排污许可证变更和执行情况、自行监测计划落实</w:t>
            </w:r>
          </w:p>
        </w:tc>
        <w:tc>
          <w:tcPr>
            <w:tcW w:w="574" w:type="pct"/>
            <w:vAlign w:val="center"/>
          </w:tcPr>
          <w:p w14:paraId="3B7A6E2B">
            <w:pPr>
              <w:pStyle w:val="31"/>
            </w:pPr>
            <w:r>
              <w:rPr>
                <w:rFonts w:hint="eastAsia"/>
              </w:rPr>
              <w:t>1.3</w:t>
            </w:r>
          </w:p>
        </w:tc>
        <w:tc>
          <w:tcPr>
            <w:tcW w:w="576" w:type="pct"/>
            <w:vAlign w:val="center"/>
          </w:tcPr>
          <w:p w14:paraId="62E13AF1">
            <w:pPr>
              <w:pStyle w:val="31"/>
            </w:pPr>
            <w:r>
              <w:rPr>
                <w:rFonts w:hint="eastAsia"/>
              </w:rPr>
              <w:t>1.5</w:t>
            </w:r>
          </w:p>
        </w:tc>
        <w:tc>
          <w:tcPr>
            <w:tcW w:w="420" w:type="pct"/>
            <w:vAlign w:val="center"/>
          </w:tcPr>
          <w:p w14:paraId="759F08CA">
            <w:pPr>
              <w:pStyle w:val="31"/>
            </w:pPr>
          </w:p>
        </w:tc>
      </w:tr>
      <w:tr w14:paraId="28D830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4" w:hRule="atLeast"/>
        </w:trPr>
        <w:tc>
          <w:tcPr>
            <w:tcW w:w="3429" w:type="pct"/>
            <w:gridSpan w:val="3"/>
            <w:vAlign w:val="center"/>
          </w:tcPr>
          <w:p w14:paraId="1D0A716B">
            <w:pPr>
              <w:pStyle w:val="31"/>
            </w:pPr>
            <w:r>
              <w:t>合计</w:t>
            </w:r>
          </w:p>
        </w:tc>
        <w:tc>
          <w:tcPr>
            <w:tcW w:w="574" w:type="pct"/>
            <w:vAlign w:val="center"/>
          </w:tcPr>
          <w:p w14:paraId="34ADC8C0">
            <w:pPr>
              <w:pStyle w:val="31"/>
            </w:pPr>
            <w:r>
              <w:rPr>
                <w:rFonts w:hint="eastAsia"/>
              </w:rPr>
              <w:t>6</w:t>
            </w:r>
          </w:p>
        </w:tc>
        <w:tc>
          <w:tcPr>
            <w:tcW w:w="576" w:type="pct"/>
            <w:vAlign w:val="center"/>
          </w:tcPr>
          <w:p w14:paraId="09FB2E0B">
            <w:pPr>
              <w:pStyle w:val="31"/>
              <w:rPr>
                <w:rFonts w:hint="default" w:eastAsia="宋体"/>
                <w:lang w:val="en-US" w:eastAsia="zh-CN"/>
              </w:rPr>
            </w:pPr>
            <w:r>
              <w:rPr>
                <w:rFonts w:hint="eastAsia"/>
                <w:lang w:val="en-US" w:eastAsia="zh-CN"/>
              </w:rPr>
              <w:t>101</w:t>
            </w:r>
          </w:p>
        </w:tc>
        <w:tc>
          <w:tcPr>
            <w:tcW w:w="420" w:type="pct"/>
            <w:vAlign w:val="center"/>
          </w:tcPr>
          <w:p w14:paraId="042209A2">
            <w:pPr>
              <w:pStyle w:val="31"/>
            </w:pPr>
          </w:p>
        </w:tc>
      </w:tr>
    </w:tbl>
    <w:p w14:paraId="4AAB6582">
      <w:pPr>
        <w:pStyle w:val="21"/>
        <w:ind w:firstLine="480"/>
      </w:pPr>
    </w:p>
    <w:p w14:paraId="30E67651">
      <w:pPr>
        <w:pStyle w:val="21"/>
        <w:ind w:firstLine="480"/>
        <w:sectPr>
          <w:pgSz w:w="11906" w:h="16838"/>
          <w:pgMar w:top="1440" w:right="1800" w:bottom="1440" w:left="1800" w:header="851" w:footer="992" w:gutter="0"/>
          <w:pgNumType w:fmt="decimal"/>
          <w:cols w:space="425" w:num="1"/>
          <w:docGrid w:type="lines" w:linePitch="312" w:charSpace="0"/>
        </w:sectPr>
      </w:pPr>
    </w:p>
    <w:p w14:paraId="68ADABFC">
      <w:pPr>
        <w:pStyle w:val="25"/>
      </w:pPr>
      <w:bookmarkStart w:id="182" w:name="_Toc2459"/>
      <w:r>
        <w:rPr>
          <w:rFonts w:hint="eastAsia"/>
        </w:rPr>
        <w:t>7环境影响经济损益分析</w:t>
      </w:r>
      <w:bookmarkEnd w:id="182"/>
    </w:p>
    <w:p w14:paraId="5EFB970A">
      <w:pPr>
        <w:pStyle w:val="28"/>
      </w:pPr>
      <w:bookmarkStart w:id="183" w:name="_Toc1987"/>
      <w:r>
        <w:rPr>
          <w:rFonts w:hint="eastAsia"/>
        </w:rPr>
        <w:t>.1环境保护效益分析</w:t>
      </w:r>
      <w:bookmarkEnd w:id="183"/>
    </w:p>
    <w:p w14:paraId="7DC5E7DB">
      <w:pPr>
        <w:pStyle w:val="21"/>
        <w:bidi w:val="0"/>
      </w:pPr>
      <w:r>
        <w:t>本项目环保治理环境收益主要表现在废气、废水等能够达标排放，固废也能得到有效处置利用，避免外排到环境中。</w:t>
      </w:r>
    </w:p>
    <w:p w14:paraId="2C5CB605">
      <w:pPr>
        <w:pStyle w:val="21"/>
        <w:bidi w:val="0"/>
      </w:pPr>
      <w:r>
        <w:rPr>
          <w:rFonts w:hint="eastAsia"/>
        </w:rPr>
        <w:t>①</w:t>
      </w:r>
      <w:r>
        <w:t>本项目排放废气采取相应的环保措施后能够实现达标排放；</w:t>
      </w:r>
    </w:p>
    <w:p w14:paraId="7BBFA239">
      <w:pPr>
        <w:pStyle w:val="21"/>
        <w:bidi w:val="0"/>
      </w:pPr>
      <w:r>
        <w:rPr>
          <w:rFonts w:hint="eastAsia"/>
        </w:rPr>
        <w:t>②</w:t>
      </w:r>
      <w:r>
        <w:t>废水能够达标排放，同时满足项目水污染物总量控制指标要求。</w:t>
      </w:r>
    </w:p>
    <w:p w14:paraId="01BF5EB2">
      <w:pPr>
        <w:pStyle w:val="21"/>
        <w:bidi w:val="0"/>
      </w:pPr>
      <w:r>
        <w:rPr>
          <w:rFonts w:hint="eastAsia"/>
        </w:rPr>
        <w:t>③</w:t>
      </w:r>
      <w:r>
        <w:t xml:space="preserve">生活垃圾由环卫部门清运处置，危险废物分类收集贮存后交有相应资质的单位处置，不会对环境产生明显不利影响； </w:t>
      </w:r>
    </w:p>
    <w:p w14:paraId="25A07B0D">
      <w:pPr>
        <w:pStyle w:val="21"/>
        <w:bidi w:val="0"/>
      </w:pPr>
      <w:r>
        <w:rPr>
          <w:rFonts w:hint="eastAsia"/>
        </w:rPr>
        <w:t>④</w:t>
      </w:r>
      <w:r>
        <w:t>项目的设备噪声通过减振及隔声等措施控制；</w:t>
      </w:r>
    </w:p>
    <w:p w14:paraId="189D77E5">
      <w:pPr>
        <w:pStyle w:val="21"/>
        <w:bidi w:val="0"/>
      </w:pPr>
      <w:r>
        <w:rPr>
          <w:rFonts w:hint="eastAsia"/>
        </w:rPr>
        <w:t>⑤</w:t>
      </w:r>
      <w:r>
        <w:t>通过</w:t>
      </w:r>
      <w:r>
        <w:rPr>
          <w:rFonts w:hint="eastAsia"/>
        </w:rPr>
        <w:t>分区防渗</w:t>
      </w:r>
      <w:r>
        <w:t>等措施控制环境风险和对地下水及土壤的影响。</w:t>
      </w:r>
    </w:p>
    <w:p w14:paraId="68E4A2E4">
      <w:pPr>
        <w:pStyle w:val="21"/>
        <w:ind w:firstLine="480"/>
        <w:rPr>
          <w:rFonts w:cs="Times New Roman"/>
          <w:szCs w:val="24"/>
        </w:rPr>
      </w:pPr>
      <w:r>
        <w:rPr>
          <w:rFonts w:cs="Times New Roman"/>
          <w:szCs w:val="24"/>
        </w:rPr>
        <w:t>工程对废气、废水、固体废物以及噪声采取的污染防治措施一方面减少了污染物排放对环境的危害，体现了较好的环境效益</w:t>
      </w:r>
      <w:r>
        <w:rPr>
          <w:rFonts w:hint="eastAsia" w:cs="Times New Roman"/>
          <w:szCs w:val="24"/>
        </w:rPr>
        <w:t>。</w:t>
      </w:r>
    </w:p>
    <w:p w14:paraId="405EDE4C">
      <w:pPr>
        <w:pStyle w:val="28"/>
      </w:pPr>
      <w:bookmarkStart w:id="184" w:name="_Toc23910"/>
      <w:bookmarkStart w:id="185" w:name="_Toc21011"/>
      <w:r>
        <w:rPr>
          <w:rFonts w:hint="eastAsia"/>
          <w:szCs w:val="24"/>
        </w:rPr>
        <w:t>7.2</w:t>
      </w:r>
      <w:r>
        <w:t>工程经济效益与社会效益分析</w:t>
      </w:r>
      <w:bookmarkEnd w:id="184"/>
      <w:bookmarkEnd w:id="185"/>
    </w:p>
    <w:p w14:paraId="0014A8FE">
      <w:pPr>
        <w:pStyle w:val="21"/>
        <w:ind w:firstLine="480"/>
      </w:pPr>
      <w:r>
        <w:t>项目能带动当地经济发展，增加地方财政收入，解决部分城镇居民劳动力就业，对增加当地居民的收入，提高生活水平有着积极的促进作用；另一方面带动了当地各行业生产的发展，例如服务业、运输业，繁荣了当地经济，促进了当地工农商业的发展。本项目的建设对稳定当地正常的社会环境、促进经济的发展有一定作用。因此，工程的建设具有一定的社会效益。</w:t>
      </w:r>
    </w:p>
    <w:p w14:paraId="5AD7B834">
      <w:pPr>
        <w:pStyle w:val="21"/>
        <w:ind w:firstLine="480"/>
      </w:pPr>
      <w:r>
        <w:t>综上所述，本项目建设具有较好的经济效益、社会效益，环保投资效益明显，环保投资可行。</w:t>
      </w:r>
    </w:p>
    <w:p w14:paraId="44B6B596">
      <w:pPr>
        <w:pStyle w:val="21"/>
        <w:ind w:firstLine="480"/>
        <w:sectPr>
          <w:pgSz w:w="11906" w:h="16838"/>
          <w:pgMar w:top="1440" w:right="1800" w:bottom="1440" w:left="1800" w:header="851" w:footer="992" w:gutter="0"/>
          <w:pgNumType w:fmt="decimal"/>
          <w:cols w:space="425" w:num="1"/>
          <w:docGrid w:type="lines" w:linePitch="312" w:charSpace="0"/>
        </w:sectPr>
      </w:pPr>
    </w:p>
    <w:p w14:paraId="6F40B02F">
      <w:pPr>
        <w:pStyle w:val="25"/>
      </w:pPr>
      <w:bookmarkStart w:id="186" w:name="_Toc28344"/>
      <w:r>
        <w:rPr>
          <w:rFonts w:hint="eastAsia"/>
        </w:rPr>
        <w:t>8环境管理与监测计划</w:t>
      </w:r>
      <w:bookmarkEnd w:id="186"/>
    </w:p>
    <w:p w14:paraId="013B9313">
      <w:pPr>
        <w:pStyle w:val="28"/>
      </w:pPr>
      <w:bookmarkStart w:id="187" w:name="_Toc2113"/>
      <w:r>
        <w:rPr>
          <w:rFonts w:hint="eastAsia"/>
        </w:rPr>
        <w:t>8.1环境管理</w:t>
      </w:r>
      <w:bookmarkEnd w:id="187"/>
    </w:p>
    <w:p w14:paraId="63B5AC1C">
      <w:pPr>
        <w:pStyle w:val="33"/>
      </w:pPr>
      <w:bookmarkStart w:id="188" w:name="_Toc29901869"/>
      <w:bookmarkStart w:id="189" w:name="_Toc1711"/>
      <w:bookmarkStart w:id="190" w:name="_Toc12593"/>
      <w:r>
        <w:rPr>
          <w:rFonts w:hint="eastAsia"/>
        </w:rPr>
        <w:t>8.1.1 环境管理基本任务</w:t>
      </w:r>
      <w:bookmarkEnd w:id="188"/>
      <w:bookmarkEnd w:id="189"/>
      <w:bookmarkEnd w:id="190"/>
    </w:p>
    <w:p w14:paraId="4B988A09">
      <w:pPr>
        <w:pStyle w:val="21"/>
        <w:ind w:firstLine="480"/>
      </w:pPr>
      <w:r>
        <w:rPr>
          <w:rFonts w:hint="eastAsia"/>
        </w:rPr>
        <w:t>为了控制污染物的排放，需要加强计划、生产、技术、质量、设备、劳动、财务等方面的管理，把环境管理渗透到整个企业管理中，将环境管理融合在一起，以减少从生产过程中各环节排出的污染物。项目应该将环境管理作为工业企业管理的重要组成部分，建立环境污染管理系统、制度、环境规划、协调发展生产保护环境的关系，使生产管理系统、制度、环境污染规划协调生产与保护环境的关系，使生产目标与环境目标统一起来，经济效益与环境效益统一起来。</w:t>
      </w:r>
    </w:p>
    <w:p w14:paraId="35F44945">
      <w:pPr>
        <w:pStyle w:val="33"/>
      </w:pPr>
      <w:bookmarkStart w:id="191" w:name="_Toc7673"/>
      <w:bookmarkStart w:id="192" w:name="_Toc29901870"/>
      <w:bookmarkStart w:id="193" w:name="_Toc11439"/>
      <w:r>
        <w:rPr>
          <w:rFonts w:hint="eastAsia"/>
        </w:rPr>
        <w:t>8.1.2 环境管理机构及其职责</w:t>
      </w:r>
      <w:bookmarkEnd w:id="191"/>
      <w:bookmarkEnd w:id="192"/>
      <w:bookmarkEnd w:id="193"/>
    </w:p>
    <w:p w14:paraId="77ABB946">
      <w:pPr>
        <w:pStyle w:val="21"/>
        <w:ind w:firstLine="480"/>
      </w:pPr>
      <w:r>
        <w:t>环境管理机构的设置，是为了贯彻执行中华人民共和国环境保护法的有关法律、法规，全面落实《国务院关于环境保护若干问题的决定》的有关规定，对项目“三废”排放实行监控，确保建设项目的经济、环境和社会效益协调发展；协调环保主管部门的工作，为企业的生产管理和环境管理提供保证，针对项目的具体情况，为加强严格管理，企业应设置相应的环境管理机构，并设置1</w:t>
      </w:r>
      <w:r>
        <w:rPr>
          <w:rFonts w:hint="eastAsia"/>
        </w:rPr>
        <w:t>~</w:t>
      </w:r>
      <w:r>
        <w:t>2名专职安环管理人员，同时应加强对管理人员的环保培训。</w:t>
      </w:r>
    </w:p>
    <w:p w14:paraId="11EFB123">
      <w:pPr>
        <w:pStyle w:val="21"/>
        <w:ind w:firstLine="480"/>
      </w:pPr>
      <w:r>
        <w:t>根据该项目的实际情况，项目投入运营后，环境管理机构可由公司安环部负责，下设环境专管员对该建设项目的环境管理和环境监控负责，并受项目主管单位及环保部门的监督和指导。</w:t>
      </w:r>
    </w:p>
    <w:p w14:paraId="336B4530">
      <w:pPr>
        <w:pStyle w:val="21"/>
        <w:ind w:firstLine="480"/>
      </w:pPr>
      <w:r>
        <w:rPr>
          <w:rFonts w:hint="eastAsia"/>
        </w:rPr>
        <w:t>环境保护管理机构的职责</w:t>
      </w:r>
    </w:p>
    <w:p w14:paraId="354A0221">
      <w:pPr>
        <w:pStyle w:val="21"/>
        <w:ind w:firstLine="480"/>
      </w:pPr>
      <w:r>
        <w:rPr>
          <w:rFonts w:hint="eastAsia"/>
        </w:rPr>
        <w:t>（1）环境管理部门除负责公司内有关环保工作外，还应接受环境保护行政主管部门的领导检查与监督；</w:t>
      </w:r>
    </w:p>
    <w:p w14:paraId="73406E99">
      <w:pPr>
        <w:pStyle w:val="21"/>
        <w:ind w:firstLine="480"/>
      </w:pPr>
      <w:r>
        <w:rPr>
          <w:rFonts w:hint="eastAsia"/>
        </w:rPr>
        <w:t>（2）贯彻执行各项环保法规和各项标准；</w:t>
      </w:r>
    </w:p>
    <w:p w14:paraId="09DFCFC8">
      <w:pPr>
        <w:pStyle w:val="21"/>
        <w:ind w:firstLine="480"/>
      </w:pPr>
      <w:r>
        <w:rPr>
          <w:rFonts w:hint="eastAsia"/>
        </w:rPr>
        <w:t>（3）组织制定和修改企业的环境污染保护管理体制规章制度，并监督执行；</w:t>
      </w:r>
    </w:p>
    <w:p w14:paraId="6A32EA38">
      <w:pPr>
        <w:pStyle w:val="21"/>
        <w:ind w:firstLine="480"/>
      </w:pPr>
      <w:r>
        <w:rPr>
          <w:rFonts w:hint="eastAsia"/>
        </w:rPr>
        <w:t>（4）制定并组织实施环境保护规划和标准；</w:t>
      </w:r>
    </w:p>
    <w:p w14:paraId="3E5059E2">
      <w:pPr>
        <w:pStyle w:val="21"/>
        <w:ind w:firstLine="480"/>
      </w:pPr>
      <w:r>
        <w:rPr>
          <w:rFonts w:hint="eastAsia"/>
        </w:rPr>
        <w:t>（5）检查企业环境保护规划和计划；</w:t>
      </w:r>
    </w:p>
    <w:p w14:paraId="2B951064">
      <w:pPr>
        <w:pStyle w:val="21"/>
        <w:ind w:firstLine="480"/>
      </w:pPr>
      <w:r>
        <w:rPr>
          <w:rFonts w:hint="eastAsia"/>
        </w:rPr>
        <w:t>（6）建立资料库，管理污染源监测数据及资料的收集与存档；</w:t>
      </w:r>
    </w:p>
    <w:p w14:paraId="10A28547">
      <w:pPr>
        <w:pStyle w:val="21"/>
        <w:ind w:firstLine="480"/>
      </w:pPr>
      <w:r>
        <w:rPr>
          <w:rFonts w:hint="eastAsia"/>
        </w:rPr>
        <w:t>（7）加强对污染防治设施的监督管理，安排专人负责设施的具体运作，确保设施正常运行，保证污染物达标排放；</w:t>
      </w:r>
    </w:p>
    <w:p w14:paraId="45DFAA11">
      <w:pPr>
        <w:pStyle w:val="21"/>
        <w:ind w:firstLine="480"/>
      </w:pPr>
      <w:r>
        <w:rPr>
          <w:rFonts w:hint="eastAsia"/>
        </w:rPr>
        <w:t>（8）防范风险事故发生，协助环境保护行政主管部门、企业内的应急反应中心或生产安全部门处理各种事故；</w:t>
      </w:r>
    </w:p>
    <w:p w14:paraId="308C2DA3">
      <w:pPr>
        <w:pStyle w:val="21"/>
        <w:ind w:firstLine="480"/>
      </w:pPr>
      <w:r>
        <w:rPr>
          <w:rFonts w:hint="eastAsia"/>
        </w:rPr>
        <w:t>（9）开展环保知识教育，组织开展本企业的环保技术培训，提高员工的素质水平；领导和组织本企业的环境监测工作。</w:t>
      </w:r>
    </w:p>
    <w:p w14:paraId="0CBF896E">
      <w:pPr>
        <w:pStyle w:val="33"/>
      </w:pPr>
      <w:bookmarkStart w:id="194" w:name="_Toc3771"/>
      <w:bookmarkStart w:id="195" w:name="_Toc29901871"/>
      <w:bookmarkStart w:id="196" w:name="_Toc1358"/>
      <w:r>
        <w:rPr>
          <w:rFonts w:hint="eastAsia"/>
        </w:rPr>
        <w:t>8.1.3 环保管理制度</w:t>
      </w:r>
      <w:bookmarkEnd w:id="194"/>
      <w:bookmarkEnd w:id="195"/>
      <w:bookmarkEnd w:id="196"/>
    </w:p>
    <w:p w14:paraId="2B07F1D1">
      <w:pPr>
        <w:pStyle w:val="21"/>
        <w:ind w:firstLine="480"/>
      </w:pPr>
      <w:r>
        <w:rPr>
          <w:rFonts w:hint="eastAsia"/>
        </w:rPr>
        <w:t>（1）</w:t>
      </w:r>
      <w:r>
        <w:t>报告制度</w:t>
      </w:r>
    </w:p>
    <w:p w14:paraId="6AD4A2E2">
      <w:pPr>
        <w:pStyle w:val="21"/>
        <w:ind w:firstLine="480"/>
      </w:pPr>
      <w:r>
        <w:t>要定期向当地环保部门报告污染治理设施运行情况、污染物排放情况以及污染事故、污染纠纷等情况。</w:t>
      </w:r>
    </w:p>
    <w:p w14:paraId="7A79AEA3">
      <w:pPr>
        <w:pStyle w:val="21"/>
        <w:ind w:firstLine="480"/>
      </w:pPr>
      <w:r>
        <w:t>若企业排污发生重大变化、污染治理设施改变或企业改、扩建等都必须向当地环保部门申报</w:t>
      </w:r>
      <w:r>
        <w:rPr>
          <w:rFonts w:hint="eastAsia"/>
        </w:rPr>
        <w:t>。</w:t>
      </w:r>
    </w:p>
    <w:p w14:paraId="292D8AD8">
      <w:pPr>
        <w:pStyle w:val="21"/>
        <w:ind w:firstLine="480"/>
      </w:pPr>
      <w:r>
        <w:rPr>
          <w:rFonts w:hint="eastAsia"/>
        </w:rPr>
        <w:t>（2）</w:t>
      </w:r>
      <w:r>
        <w:t>污染治理设施的管理、监控制度</w:t>
      </w:r>
    </w:p>
    <w:p w14:paraId="53343C09">
      <w:pPr>
        <w:pStyle w:val="21"/>
        <w:ind w:firstLine="480"/>
      </w:pPr>
      <w:r>
        <w:t>项目建成后，必须确保污染治理设施长期、稳定、有效地运行，不得擅自拆除或者闲置废气和废水处理设备，不得故意不正常使用污染治理设施。污染治理设施的管理必须与公司的生产经营活动一起纳入到公司日常管理工作的范畴，落实责任人、操作人员、维修人员、运行经费、设备的备品备件和其它原辅材料。同时要建立健全岗位责任制，制定正确的操作规程、建立污染治理设施的</w:t>
      </w:r>
      <w:r>
        <w:rPr>
          <w:rFonts w:hint="eastAsia"/>
          <w:lang w:eastAsia="zh-CN"/>
        </w:rPr>
        <w:t>管理台账</w:t>
      </w:r>
      <w:r>
        <w:t>。</w:t>
      </w:r>
    </w:p>
    <w:p w14:paraId="15F00E9F">
      <w:pPr>
        <w:pStyle w:val="21"/>
        <w:ind w:firstLine="480"/>
      </w:pPr>
      <w:r>
        <w:rPr>
          <w:rFonts w:hint="eastAsia"/>
        </w:rPr>
        <w:t>（3）</w:t>
      </w:r>
      <w:r>
        <w:t>环保奖惩制度</w:t>
      </w:r>
    </w:p>
    <w:p w14:paraId="356DAC13">
      <w:pPr>
        <w:pStyle w:val="21"/>
        <w:ind w:firstLine="480"/>
      </w:pPr>
      <w:r>
        <w:t>各级管理人员都应树立保护环境的思想，企业也应设置环境保护奖惩条例。对爱护废水处理和废气处理设施等环保治理设施、节省原料、改善生产车间的工作环境者实行奖励；对于环保观念淡薄，不按环保要求管理，造成环保设施损坏、环境污染及原材料消耗者予以重罚。</w:t>
      </w:r>
    </w:p>
    <w:p w14:paraId="4B6F253A">
      <w:pPr>
        <w:pStyle w:val="33"/>
      </w:pPr>
      <w:bookmarkStart w:id="197" w:name="_Toc31539"/>
      <w:bookmarkStart w:id="198" w:name="_Toc29901872"/>
      <w:bookmarkStart w:id="199" w:name="_Toc22758"/>
      <w:r>
        <w:rPr>
          <w:rFonts w:hint="eastAsia"/>
        </w:rPr>
        <w:t>8.1.4 项目运营过程环境管理措施</w:t>
      </w:r>
      <w:bookmarkEnd w:id="197"/>
      <w:bookmarkEnd w:id="198"/>
      <w:bookmarkEnd w:id="199"/>
    </w:p>
    <w:p w14:paraId="01F3F120">
      <w:pPr>
        <w:pStyle w:val="21"/>
        <w:ind w:firstLine="480"/>
      </w:pPr>
      <w:r>
        <w:rPr>
          <w:rFonts w:hint="eastAsia"/>
        </w:rPr>
        <w:t>1、危险废物的接收、收集与运输</w:t>
      </w:r>
    </w:p>
    <w:p w14:paraId="0675FDF1">
      <w:pPr>
        <w:pStyle w:val="21"/>
        <w:ind w:firstLine="480"/>
      </w:pPr>
      <w:r>
        <w:rPr>
          <w:rFonts w:hint="eastAsia"/>
        </w:rPr>
        <w:t>（1）危险废物接收应认真执行危险废物转移联单制度。</w:t>
      </w:r>
    </w:p>
    <w:p w14:paraId="779BCB8F">
      <w:pPr>
        <w:pStyle w:val="21"/>
        <w:ind w:firstLine="480"/>
      </w:pPr>
      <w:r>
        <w:rPr>
          <w:rFonts w:hint="eastAsia"/>
        </w:rPr>
        <w:t>（2）危险废物现场交接时应认真核对危险废物的数量、种类、标识等，并确认与危险 废物转移联单是否相符，同时对接收的废物及时登记。</w:t>
      </w:r>
    </w:p>
    <w:p w14:paraId="2EDD28F3">
      <w:pPr>
        <w:pStyle w:val="21"/>
        <w:ind w:firstLine="480"/>
      </w:pPr>
      <w:r>
        <w:rPr>
          <w:rFonts w:hint="eastAsia"/>
        </w:rPr>
        <w:t>（3）根据危险废物成分，用符合国家标准的专门容器分类收集，装运危险废物的容器应不易破损、变老化，能有效地防止渗漏、扩散，必须贴有标签，在标签上详细标明危险废物的名称、重量、成分、特性以及发生泄漏、扩散污染事故时的应急措施和补救方法。</w:t>
      </w:r>
    </w:p>
    <w:p w14:paraId="7578AE24">
      <w:pPr>
        <w:pStyle w:val="21"/>
        <w:ind w:firstLine="480"/>
      </w:pPr>
      <w:r>
        <w:rPr>
          <w:rFonts w:hint="eastAsia"/>
        </w:rPr>
        <w:t>（4）危险废物应由专用运输车上门收集，实行专业化运输。收集车辆应一律带有明显的特殊标志，收集人员应经过严格培训，要严格按照危险废物运输的管理规定进行危险废物的运输，减少可能造成的环境风险。</w:t>
      </w:r>
    </w:p>
    <w:p w14:paraId="31BDA04D">
      <w:pPr>
        <w:pStyle w:val="21"/>
        <w:ind w:firstLine="480"/>
      </w:pPr>
      <w:r>
        <w:rPr>
          <w:rFonts w:hint="eastAsia"/>
        </w:rPr>
        <w:t>2、日常生产管理</w:t>
      </w:r>
    </w:p>
    <w:p w14:paraId="52BB8250">
      <w:pPr>
        <w:pStyle w:val="21"/>
        <w:ind w:firstLine="480"/>
      </w:pPr>
      <w:r>
        <w:rPr>
          <w:rFonts w:hint="eastAsia"/>
        </w:rPr>
        <w:t>（1）具有经过培训的管理人员、技术人员和相应数量的操作人员：</w:t>
      </w:r>
    </w:p>
    <w:p w14:paraId="7E8316D1">
      <w:pPr>
        <w:pStyle w:val="21"/>
        <w:ind w:firstLine="480"/>
      </w:pPr>
      <w:r>
        <w:rPr>
          <w:rFonts w:hint="eastAsia"/>
        </w:rPr>
        <w:t>（2）具有完备的保障危险废物安全处理、处置的规章制度；</w:t>
      </w:r>
    </w:p>
    <w:p w14:paraId="060F5560">
      <w:pPr>
        <w:pStyle w:val="21"/>
        <w:ind w:firstLine="480"/>
      </w:pPr>
      <w:r>
        <w:rPr>
          <w:rFonts w:hint="eastAsia"/>
        </w:rPr>
        <w:t>（3）具有负责危险废物处置效果检测、评价工作的机构和人员。</w:t>
      </w:r>
    </w:p>
    <w:p w14:paraId="154B0AAF">
      <w:pPr>
        <w:pStyle w:val="21"/>
        <w:ind w:firstLine="480"/>
      </w:pPr>
      <w:r>
        <w:rPr>
          <w:rFonts w:hint="eastAsia"/>
        </w:rPr>
        <w:t>（4）人员培训：应对管理人员、技术人员和操作人员进行相关法律法规和专业技术、安全防护、紧急处理等理论知识和操作技能培训。</w:t>
      </w:r>
    </w:p>
    <w:p w14:paraId="7AE5A7FF">
      <w:pPr>
        <w:pStyle w:val="21"/>
        <w:ind w:firstLine="480"/>
      </w:pPr>
      <w:r>
        <w:rPr>
          <w:rFonts w:hint="eastAsia"/>
        </w:rPr>
        <w:t>（5）交接班制度：为保证生产活动安全有序进行，必须建立严格的交接班制度，包括：生产设施、设备、工具及生产辅助材料的交接；运行记录的交接；上下班交接人员应在现场进行实物交接；运行记录交接前，交接班人员应共同巡视现场：交接班程序未能顺利完成时，应及时向生产管理负责人报告；接班人员应对实物及运行记录核实确定后签字确认。</w:t>
      </w:r>
    </w:p>
    <w:p w14:paraId="576AEC54">
      <w:pPr>
        <w:pStyle w:val="21"/>
        <w:ind w:firstLine="480"/>
      </w:pPr>
      <w:r>
        <w:rPr>
          <w:rFonts w:hint="eastAsia"/>
        </w:rPr>
        <w:t>（6）运行登记制度：应当详细记载每日收集、贮存、利用危险废物的类别、数量、危险废物的最终去向、有无事故或其他异常情况等，并按危险废物转移联单的有关规定，存档转移联单。</w:t>
      </w:r>
    </w:p>
    <w:p w14:paraId="3BF934BF">
      <w:pPr>
        <w:pStyle w:val="21"/>
        <w:ind w:firstLine="480"/>
      </w:pPr>
      <w:r>
        <w:rPr>
          <w:rFonts w:hint="eastAsia"/>
        </w:rPr>
        <w:t>3、检测、评价及评估制度</w:t>
      </w:r>
    </w:p>
    <w:p w14:paraId="6269623F">
      <w:pPr>
        <w:pStyle w:val="21"/>
        <w:ind w:firstLine="480"/>
      </w:pPr>
      <w:r>
        <w:rPr>
          <w:rFonts w:hint="eastAsia"/>
        </w:rPr>
        <w:t>（1）定期对危险废物综合利用效果进行监测和评价，必要时应采取改进措施。</w:t>
      </w:r>
    </w:p>
    <w:p w14:paraId="7FEAE313">
      <w:pPr>
        <w:pStyle w:val="21"/>
        <w:ind w:firstLine="480"/>
      </w:pPr>
      <w:r>
        <w:rPr>
          <w:rFonts w:hint="eastAsia"/>
        </w:rPr>
        <w:t>（2）定期对全厂的设施、设备运行及安全状况进行检测和评估，消除事故与全隐患。</w:t>
      </w:r>
    </w:p>
    <w:p w14:paraId="71164816">
      <w:pPr>
        <w:pStyle w:val="21"/>
        <w:ind w:firstLine="480"/>
      </w:pPr>
      <w:r>
        <w:rPr>
          <w:rFonts w:hint="eastAsia"/>
        </w:rPr>
        <w:t>（3）定期对全厂的生产、管理程序及人员操作进行安全评估，必要时采取有效的改进措施。</w:t>
      </w:r>
    </w:p>
    <w:p w14:paraId="7ED85B51">
      <w:pPr>
        <w:pStyle w:val="21"/>
        <w:ind w:firstLine="480"/>
      </w:pPr>
      <w:r>
        <w:rPr>
          <w:rFonts w:hint="eastAsia"/>
        </w:rPr>
        <w:t>4、建立和完善档案管理制度</w:t>
      </w:r>
    </w:p>
    <w:p w14:paraId="4D341ED9">
      <w:pPr>
        <w:pStyle w:val="21"/>
        <w:ind w:firstLine="480"/>
      </w:pPr>
      <w:r>
        <w:t>（1）严格执行国家《危险废物贮存污染控制标准》（GB18597-2023）和《危险废物转移管理办法》（部令第23号，2022年1月1日起实施）等规定，建立和完善档案管理制度。应当详细记载每日收集、贮存、利用或处置危险废物的类别、数量、危险废物的最 终去向、有无事故或其他异常情况等，并按照危险废物转移联单的有关规定，保管需存档的转移联单。危险废物经营活动记录档案和危险废物经营活动情况报告与转移联单同 期保存，危险废物经费情况记录簿应保存10年以上。</w:t>
      </w:r>
    </w:p>
    <w:p w14:paraId="63903E60">
      <w:pPr>
        <w:pStyle w:val="21"/>
        <w:ind w:firstLine="480"/>
      </w:pPr>
      <w:r>
        <w:rPr>
          <w:rFonts w:hint="eastAsia"/>
        </w:rPr>
        <w:t>（2）档案管理制度</w:t>
      </w:r>
    </w:p>
    <w:p w14:paraId="2FB5D705">
      <w:pPr>
        <w:pStyle w:val="21"/>
        <w:ind w:firstLine="480"/>
      </w:pPr>
      <w:r>
        <w:rPr>
          <w:rFonts w:hint="eastAsia"/>
        </w:rPr>
        <w:t>主要内容包括：危险废物转移联单记录；危险废物接收登记记录；危险废物进厂运输车车牌号、来源、重量、进场时间、离场时间等；生产设施运行工艺控制参数记录；生产设施维修情况记录；环境监测数据的记录；生产事故及处置情况记录。</w:t>
      </w:r>
    </w:p>
    <w:p w14:paraId="6E06B51A">
      <w:pPr>
        <w:pStyle w:val="21"/>
        <w:ind w:firstLine="480"/>
      </w:pPr>
      <w:r>
        <w:rPr>
          <w:rFonts w:hint="eastAsia"/>
        </w:rPr>
        <w:t>5、人员培训制度</w:t>
      </w:r>
    </w:p>
    <w:p w14:paraId="125EA1EE">
      <w:pPr>
        <w:pStyle w:val="21"/>
        <w:ind w:firstLine="480"/>
      </w:pPr>
      <w:r>
        <w:rPr>
          <w:rFonts w:hint="eastAsia"/>
        </w:rPr>
        <w:t>（1）公司应对管理人员、技术人员、操作人员进行相关法律法规和专业技术、安全防护、紧急处理等理论知识和操作技能培训。</w:t>
      </w:r>
    </w:p>
    <w:p w14:paraId="5376E820">
      <w:pPr>
        <w:pStyle w:val="21"/>
        <w:ind w:firstLine="480"/>
      </w:pPr>
      <w:r>
        <w:rPr>
          <w:rFonts w:hint="eastAsia"/>
        </w:rPr>
        <w:t>（2）培训内容应包括：熟悉有关危险废物管理的法律和规章制度；了解危险废物危险性方面的知识；明确危险废物回收利用、安全处理和环境保护的重要意义；熟悉危险废物的分类和包装标识；熟悉危险废物综合利用设施运作的工艺流程；掌握劳动安全防护设施、设备使用的知识和个人卫生措施；熟悉处理泄漏和其它事故的应急操作程序。</w:t>
      </w:r>
    </w:p>
    <w:p w14:paraId="13B3E41A">
      <w:pPr>
        <w:pStyle w:val="21"/>
        <w:ind w:firstLine="480"/>
      </w:pPr>
      <w:r>
        <w:rPr>
          <w:rFonts w:hint="eastAsia"/>
        </w:rPr>
        <w:t>7、建立风险故防范与应急制度</w:t>
      </w:r>
    </w:p>
    <w:p w14:paraId="7D933459">
      <w:pPr>
        <w:pStyle w:val="21"/>
        <w:ind w:firstLine="480"/>
      </w:pPr>
      <w:r>
        <w:rPr>
          <w:rFonts w:hint="eastAsia"/>
        </w:rPr>
        <w:t>应对废物处置全过程中每一个环节可能发生风险事故的原因、类型及其危害进行识别，采取各种有效措施防范风险事故的发生，并制订和演练风险事故应急预案。</w:t>
      </w:r>
    </w:p>
    <w:p w14:paraId="5C1F9C8C">
      <w:pPr>
        <w:pStyle w:val="28"/>
      </w:pPr>
      <w:bookmarkStart w:id="200" w:name="_Toc19909"/>
      <w:r>
        <w:rPr>
          <w:rFonts w:hint="eastAsia"/>
        </w:rPr>
        <w:t>8.2污染物排放清单</w:t>
      </w:r>
      <w:bookmarkEnd w:id="200"/>
    </w:p>
    <w:p w14:paraId="7FC12B2A">
      <w:pPr>
        <w:pStyle w:val="23"/>
        <w:bidi w:val="0"/>
        <w:rPr>
          <w:rFonts w:hint="eastAsia"/>
          <w:lang w:val="en-US" w:eastAsia="zh-CN"/>
        </w:rPr>
      </w:pPr>
      <w:r>
        <w:rPr>
          <w:rFonts w:hint="eastAsia"/>
        </w:rPr>
        <w:t>表8.2-1 污染源排放清单</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3" w:type="dxa"/>
        </w:tblCellMar>
      </w:tblPr>
      <w:tblGrid>
        <w:gridCol w:w="274"/>
        <w:gridCol w:w="949"/>
        <w:gridCol w:w="1628"/>
        <w:gridCol w:w="1007"/>
        <w:gridCol w:w="1401"/>
        <w:gridCol w:w="1007"/>
        <w:gridCol w:w="1174"/>
        <w:gridCol w:w="907"/>
      </w:tblGrid>
      <w:tr w14:paraId="2AF55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 w:type="pct"/>
            <w:vAlign w:val="center"/>
          </w:tcPr>
          <w:p w14:paraId="330C84A9">
            <w:pPr>
              <w:pStyle w:val="31"/>
              <w:bidi w:val="0"/>
              <w:jc w:val="center"/>
              <w:rPr>
                <w:rFonts w:hint="eastAsia"/>
                <w:lang w:val="en-US" w:eastAsia="zh-CN"/>
              </w:rPr>
            </w:pPr>
            <w:r>
              <w:rPr>
                <w:rFonts w:hint="eastAsia"/>
                <w:lang w:val="en-US" w:eastAsia="zh-CN"/>
              </w:rPr>
              <w:t>类</w:t>
            </w:r>
          </w:p>
          <w:p w14:paraId="410764B0">
            <w:pPr>
              <w:pStyle w:val="31"/>
              <w:bidi w:val="0"/>
              <w:jc w:val="center"/>
              <w:rPr>
                <w:rFonts w:hint="default"/>
                <w:lang w:val="en-US" w:eastAsia="zh-CN"/>
              </w:rPr>
            </w:pPr>
            <w:r>
              <w:rPr>
                <w:rFonts w:hint="eastAsia"/>
                <w:lang w:val="en-US" w:eastAsia="zh-CN"/>
              </w:rPr>
              <w:t>别</w:t>
            </w:r>
          </w:p>
        </w:tc>
        <w:tc>
          <w:tcPr>
            <w:tcW w:w="1543" w:type="pct"/>
            <w:gridSpan w:val="2"/>
            <w:vAlign w:val="center"/>
          </w:tcPr>
          <w:p w14:paraId="4BA5A976">
            <w:pPr>
              <w:pStyle w:val="31"/>
              <w:bidi w:val="0"/>
              <w:jc w:val="center"/>
              <w:rPr>
                <w:rFonts w:hint="default"/>
                <w:lang w:val="en-US" w:eastAsia="zh-CN"/>
              </w:rPr>
            </w:pPr>
            <w:r>
              <w:rPr>
                <w:rFonts w:hint="eastAsia"/>
                <w:lang w:val="en-US" w:eastAsia="zh-CN"/>
              </w:rPr>
              <w:t>污染物</w:t>
            </w:r>
          </w:p>
        </w:tc>
        <w:tc>
          <w:tcPr>
            <w:tcW w:w="603" w:type="pct"/>
            <w:vAlign w:val="center"/>
          </w:tcPr>
          <w:p w14:paraId="6868B442">
            <w:pPr>
              <w:pStyle w:val="31"/>
              <w:bidi w:val="0"/>
              <w:jc w:val="center"/>
              <w:rPr>
                <w:rFonts w:hint="eastAsia"/>
                <w:lang w:val="en-US" w:eastAsia="zh-CN"/>
              </w:rPr>
            </w:pPr>
            <w:r>
              <w:rPr>
                <w:rFonts w:hint="eastAsia"/>
                <w:lang w:val="en-US" w:eastAsia="zh-CN"/>
              </w:rPr>
              <w:t>现有工程</w:t>
            </w:r>
          </w:p>
          <w:p w14:paraId="28A9E206">
            <w:pPr>
              <w:pStyle w:val="31"/>
              <w:bidi w:val="0"/>
              <w:jc w:val="center"/>
              <w:rPr>
                <w:rFonts w:hint="default"/>
                <w:lang w:val="en-US" w:eastAsia="zh-CN"/>
              </w:rPr>
            </w:pPr>
            <w:r>
              <w:rPr>
                <w:rFonts w:hint="eastAsia"/>
                <w:lang w:val="en-US" w:eastAsia="zh-CN"/>
              </w:rPr>
              <w:t>排放量t/a</w:t>
            </w:r>
          </w:p>
        </w:tc>
        <w:tc>
          <w:tcPr>
            <w:tcW w:w="839" w:type="pct"/>
            <w:vAlign w:val="center"/>
          </w:tcPr>
          <w:p w14:paraId="1C9DE35D">
            <w:pPr>
              <w:pStyle w:val="31"/>
              <w:bidi w:val="0"/>
              <w:jc w:val="center"/>
              <w:rPr>
                <w:rFonts w:hint="eastAsia"/>
                <w:lang w:val="en-US" w:eastAsia="zh-CN"/>
              </w:rPr>
            </w:pPr>
            <w:r>
              <w:rPr>
                <w:rFonts w:hint="eastAsia"/>
                <w:lang w:val="en-US" w:eastAsia="zh-CN"/>
              </w:rPr>
              <w:t>“以新带老”</w:t>
            </w:r>
          </w:p>
          <w:p w14:paraId="01FA6FDD">
            <w:pPr>
              <w:pStyle w:val="31"/>
              <w:bidi w:val="0"/>
              <w:jc w:val="center"/>
              <w:rPr>
                <w:rFonts w:hint="default"/>
                <w:lang w:val="en-US" w:eastAsia="zh-CN"/>
              </w:rPr>
            </w:pPr>
            <w:r>
              <w:rPr>
                <w:rFonts w:hint="eastAsia"/>
                <w:lang w:val="en-US" w:eastAsia="zh-CN"/>
              </w:rPr>
              <w:t>削减量t/a</w:t>
            </w:r>
          </w:p>
        </w:tc>
        <w:tc>
          <w:tcPr>
            <w:tcW w:w="603" w:type="pct"/>
            <w:vAlign w:val="center"/>
          </w:tcPr>
          <w:p w14:paraId="7ED6A37E">
            <w:pPr>
              <w:pStyle w:val="31"/>
              <w:bidi w:val="0"/>
              <w:jc w:val="center"/>
              <w:rPr>
                <w:rFonts w:hint="eastAsia"/>
                <w:lang w:val="en-US" w:eastAsia="zh-CN"/>
              </w:rPr>
            </w:pPr>
            <w:r>
              <w:rPr>
                <w:rFonts w:hint="eastAsia"/>
                <w:lang w:val="en-US" w:eastAsia="zh-CN"/>
              </w:rPr>
              <w:t>扩建项目</w:t>
            </w:r>
          </w:p>
          <w:p w14:paraId="1CFB20F1">
            <w:pPr>
              <w:pStyle w:val="31"/>
              <w:bidi w:val="0"/>
              <w:jc w:val="center"/>
              <w:rPr>
                <w:rFonts w:hint="default"/>
                <w:lang w:val="en-US" w:eastAsia="zh-CN"/>
              </w:rPr>
            </w:pPr>
            <w:r>
              <w:rPr>
                <w:rFonts w:hint="eastAsia"/>
                <w:lang w:val="en-US" w:eastAsia="zh-CN"/>
              </w:rPr>
              <w:t>排放量t/a</w:t>
            </w:r>
          </w:p>
        </w:tc>
        <w:tc>
          <w:tcPr>
            <w:tcW w:w="703" w:type="pct"/>
            <w:vAlign w:val="center"/>
          </w:tcPr>
          <w:p w14:paraId="3BB077F1">
            <w:pPr>
              <w:pStyle w:val="31"/>
              <w:bidi w:val="0"/>
              <w:jc w:val="center"/>
              <w:rPr>
                <w:rFonts w:hint="eastAsia"/>
                <w:lang w:val="en-US" w:eastAsia="zh-CN"/>
              </w:rPr>
            </w:pPr>
            <w:r>
              <w:rPr>
                <w:rFonts w:hint="eastAsia"/>
                <w:lang w:val="en-US" w:eastAsia="zh-CN"/>
              </w:rPr>
              <w:t>扩建后全厂</w:t>
            </w:r>
          </w:p>
          <w:p w14:paraId="0C021FA8">
            <w:pPr>
              <w:pStyle w:val="31"/>
              <w:bidi w:val="0"/>
              <w:jc w:val="center"/>
              <w:rPr>
                <w:rFonts w:hint="default"/>
                <w:lang w:val="en-US" w:eastAsia="zh-CN"/>
              </w:rPr>
            </w:pPr>
            <w:r>
              <w:rPr>
                <w:rFonts w:hint="eastAsia"/>
                <w:lang w:val="en-US" w:eastAsia="zh-CN"/>
              </w:rPr>
              <w:t>排放量t/a</w:t>
            </w:r>
          </w:p>
        </w:tc>
        <w:tc>
          <w:tcPr>
            <w:tcW w:w="543" w:type="pct"/>
            <w:vAlign w:val="center"/>
          </w:tcPr>
          <w:p w14:paraId="62BFA8F6">
            <w:pPr>
              <w:pStyle w:val="31"/>
              <w:bidi w:val="0"/>
              <w:jc w:val="center"/>
              <w:rPr>
                <w:rFonts w:hint="eastAsia"/>
                <w:lang w:val="en-US" w:eastAsia="zh-CN"/>
              </w:rPr>
            </w:pPr>
            <w:r>
              <w:rPr>
                <w:rFonts w:hint="eastAsia"/>
                <w:lang w:val="en-US" w:eastAsia="zh-CN"/>
              </w:rPr>
              <w:t>变化量</w:t>
            </w:r>
          </w:p>
          <w:p w14:paraId="3980F949">
            <w:pPr>
              <w:pStyle w:val="31"/>
              <w:bidi w:val="0"/>
              <w:jc w:val="center"/>
              <w:rPr>
                <w:rFonts w:hint="default"/>
                <w:lang w:val="en-US" w:eastAsia="zh-CN"/>
              </w:rPr>
            </w:pPr>
            <w:r>
              <w:rPr>
                <w:rFonts w:hint="eastAsia"/>
                <w:lang w:val="en-US" w:eastAsia="zh-CN"/>
              </w:rPr>
              <w:t>t/a</w:t>
            </w:r>
          </w:p>
        </w:tc>
      </w:tr>
      <w:tr w14:paraId="2BE21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restart"/>
            <w:vAlign w:val="center"/>
          </w:tcPr>
          <w:p w14:paraId="095B9F7C">
            <w:pPr>
              <w:pStyle w:val="31"/>
              <w:bidi w:val="0"/>
              <w:jc w:val="center"/>
              <w:rPr>
                <w:rFonts w:hint="eastAsia"/>
                <w:lang w:val="en-US" w:eastAsia="zh-CN"/>
              </w:rPr>
            </w:pPr>
            <w:r>
              <w:rPr>
                <w:rFonts w:hint="eastAsia"/>
                <w:lang w:val="en-US" w:eastAsia="zh-CN"/>
              </w:rPr>
              <w:t>废</w:t>
            </w:r>
          </w:p>
          <w:p w14:paraId="3F0B1274">
            <w:pPr>
              <w:pStyle w:val="31"/>
              <w:bidi w:val="0"/>
              <w:jc w:val="center"/>
              <w:rPr>
                <w:rFonts w:hint="default"/>
                <w:lang w:val="en-US" w:eastAsia="zh-CN"/>
              </w:rPr>
            </w:pPr>
            <w:r>
              <w:rPr>
                <w:rFonts w:hint="eastAsia"/>
                <w:lang w:val="en-US" w:eastAsia="zh-CN"/>
              </w:rPr>
              <w:t>气</w:t>
            </w:r>
          </w:p>
        </w:tc>
        <w:tc>
          <w:tcPr>
            <w:tcW w:w="1543" w:type="pct"/>
            <w:gridSpan w:val="2"/>
            <w:vAlign w:val="center"/>
          </w:tcPr>
          <w:p w14:paraId="2E7D9FC3">
            <w:pPr>
              <w:pStyle w:val="31"/>
              <w:bidi w:val="0"/>
              <w:jc w:val="center"/>
              <w:rPr>
                <w:rFonts w:hint="default"/>
                <w:lang w:val="en-US" w:eastAsia="zh-CN"/>
              </w:rPr>
            </w:pPr>
            <w:r>
              <w:rPr>
                <w:rFonts w:hint="eastAsia"/>
                <w:lang w:val="en-US" w:eastAsia="zh-CN"/>
              </w:rPr>
              <w:t>颗粒物</w:t>
            </w:r>
          </w:p>
        </w:tc>
        <w:tc>
          <w:tcPr>
            <w:tcW w:w="603" w:type="pct"/>
            <w:vAlign w:val="center"/>
          </w:tcPr>
          <w:p w14:paraId="5F024728">
            <w:pPr>
              <w:pStyle w:val="31"/>
              <w:bidi w:val="0"/>
              <w:jc w:val="center"/>
              <w:rPr>
                <w:rFonts w:hint="default"/>
                <w:lang w:val="en-US" w:eastAsia="zh-CN"/>
              </w:rPr>
            </w:pPr>
            <w:r>
              <w:rPr>
                <w:rFonts w:hint="eastAsia"/>
                <w:lang w:val="en-US" w:eastAsia="zh-CN"/>
              </w:rPr>
              <w:t>0.31</w:t>
            </w:r>
          </w:p>
        </w:tc>
        <w:tc>
          <w:tcPr>
            <w:tcW w:w="839" w:type="pct"/>
            <w:vAlign w:val="center"/>
          </w:tcPr>
          <w:p w14:paraId="034F7929">
            <w:pPr>
              <w:pStyle w:val="31"/>
              <w:bidi w:val="0"/>
              <w:jc w:val="center"/>
              <w:rPr>
                <w:rFonts w:hint="default"/>
                <w:lang w:val="en-US" w:eastAsia="zh-CN"/>
              </w:rPr>
            </w:pPr>
            <w:r>
              <w:rPr>
                <w:rFonts w:hint="eastAsia"/>
                <w:lang w:val="en-US" w:eastAsia="zh-CN"/>
              </w:rPr>
              <w:t>0.09</w:t>
            </w:r>
          </w:p>
        </w:tc>
        <w:tc>
          <w:tcPr>
            <w:tcW w:w="603" w:type="pct"/>
            <w:vAlign w:val="center"/>
          </w:tcPr>
          <w:p w14:paraId="38ED7A44">
            <w:pPr>
              <w:pStyle w:val="31"/>
              <w:bidi w:val="0"/>
              <w:jc w:val="center"/>
              <w:rPr>
                <w:rFonts w:hint="default"/>
                <w:lang w:val="en-US" w:eastAsia="zh-CN"/>
              </w:rPr>
            </w:pPr>
            <w:r>
              <w:rPr>
                <w:rFonts w:hint="eastAsia"/>
                <w:lang w:val="en-US" w:eastAsia="zh-CN"/>
              </w:rPr>
              <w:t>0.001</w:t>
            </w:r>
          </w:p>
        </w:tc>
        <w:tc>
          <w:tcPr>
            <w:tcW w:w="703" w:type="pct"/>
            <w:vAlign w:val="center"/>
          </w:tcPr>
          <w:p w14:paraId="32E9AF12">
            <w:pPr>
              <w:pStyle w:val="31"/>
              <w:bidi w:val="0"/>
              <w:jc w:val="center"/>
              <w:rPr>
                <w:rFonts w:hint="default"/>
                <w:lang w:val="en-US" w:eastAsia="zh-CN"/>
              </w:rPr>
            </w:pPr>
            <w:r>
              <w:rPr>
                <w:rFonts w:hint="eastAsia"/>
                <w:lang w:val="en-US" w:eastAsia="zh-CN"/>
              </w:rPr>
              <w:t>0.311</w:t>
            </w:r>
          </w:p>
        </w:tc>
        <w:tc>
          <w:tcPr>
            <w:tcW w:w="543" w:type="pct"/>
            <w:vAlign w:val="center"/>
          </w:tcPr>
          <w:p w14:paraId="2F94413A">
            <w:pPr>
              <w:pStyle w:val="31"/>
              <w:bidi w:val="0"/>
              <w:jc w:val="center"/>
              <w:rPr>
                <w:rFonts w:hint="default"/>
                <w:lang w:val="en-US" w:eastAsia="zh-CN"/>
              </w:rPr>
            </w:pPr>
            <w:r>
              <w:rPr>
                <w:rFonts w:hint="eastAsia"/>
                <w:lang w:val="en-US" w:eastAsia="zh-CN"/>
              </w:rPr>
              <w:t>+0.001</w:t>
            </w:r>
          </w:p>
        </w:tc>
      </w:tr>
      <w:tr w14:paraId="537D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83D0B77">
            <w:pPr>
              <w:pStyle w:val="31"/>
              <w:bidi w:val="0"/>
              <w:jc w:val="center"/>
              <w:rPr>
                <w:rFonts w:hint="default"/>
                <w:lang w:val="en-US" w:eastAsia="zh-CN"/>
              </w:rPr>
            </w:pPr>
          </w:p>
        </w:tc>
        <w:tc>
          <w:tcPr>
            <w:tcW w:w="1543" w:type="pct"/>
            <w:gridSpan w:val="2"/>
            <w:vAlign w:val="center"/>
          </w:tcPr>
          <w:p w14:paraId="67119AA3">
            <w:pPr>
              <w:pStyle w:val="31"/>
              <w:bidi w:val="0"/>
              <w:jc w:val="center"/>
              <w:rPr>
                <w:rFonts w:hint="default"/>
                <w:lang w:val="en-US" w:eastAsia="zh-CN"/>
              </w:rPr>
            </w:pPr>
            <w:r>
              <w:rPr>
                <w:rFonts w:hint="eastAsia"/>
                <w:lang w:val="en-US" w:eastAsia="zh-CN"/>
              </w:rPr>
              <w:t>VOCs</w:t>
            </w:r>
          </w:p>
        </w:tc>
        <w:tc>
          <w:tcPr>
            <w:tcW w:w="603" w:type="pct"/>
            <w:vAlign w:val="center"/>
          </w:tcPr>
          <w:p w14:paraId="1172DBCB">
            <w:pPr>
              <w:pStyle w:val="31"/>
              <w:bidi w:val="0"/>
              <w:jc w:val="center"/>
              <w:rPr>
                <w:rFonts w:hint="default"/>
                <w:lang w:val="en-US" w:eastAsia="zh-CN"/>
              </w:rPr>
            </w:pPr>
            <w:r>
              <w:rPr>
                <w:rFonts w:hint="eastAsia"/>
                <w:lang w:val="en-US" w:eastAsia="zh-CN"/>
              </w:rPr>
              <w:t>0.46</w:t>
            </w:r>
          </w:p>
        </w:tc>
        <w:tc>
          <w:tcPr>
            <w:tcW w:w="839" w:type="pct"/>
            <w:vAlign w:val="center"/>
          </w:tcPr>
          <w:p w14:paraId="56336E3A">
            <w:pPr>
              <w:pStyle w:val="31"/>
              <w:bidi w:val="0"/>
              <w:jc w:val="center"/>
              <w:rPr>
                <w:rFonts w:hint="default"/>
                <w:lang w:val="en-US" w:eastAsia="zh-CN"/>
              </w:rPr>
            </w:pPr>
            <w:r>
              <w:rPr>
                <w:rFonts w:hint="eastAsia"/>
                <w:lang w:val="en-US" w:eastAsia="zh-CN"/>
              </w:rPr>
              <w:t>0.04</w:t>
            </w:r>
          </w:p>
        </w:tc>
        <w:tc>
          <w:tcPr>
            <w:tcW w:w="603" w:type="pct"/>
            <w:vAlign w:val="center"/>
          </w:tcPr>
          <w:p w14:paraId="68E41E59">
            <w:pPr>
              <w:pStyle w:val="31"/>
              <w:bidi w:val="0"/>
              <w:jc w:val="center"/>
              <w:rPr>
                <w:rFonts w:hint="default"/>
                <w:lang w:val="en-US" w:eastAsia="zh-CN"/>
              </w:rPr>
            </w:pPr>
            <w:r>
              <w:rPr>
                <w:rFonts w:hint="eastAsia"/>
                <w:lang w:val="en-US" w:eastAsia="zh-CN"/>
              </w:rPr>
              <w:t>0.0004</w:t>
            </w:r>
          </w:p>
        </w:tc>
        <w:tc>
          <w:tcPr>
            <w:tcW w:w="703" w:type="pct"/>
            <w:vAlign w:val="center"/>
          </w:tcPr>
          <w:p w14:paraId="2D0B1C3A">
            <w:pPr>
              <w:pStyle w:val="31"/>
              <w:bidi w:val="0"/>
              <w:jc w:val="center"/>
              <w:rPr>
                <w:rFonts w:hint="default"/>
                <w:lang w:val="en-US" w:eastAsia="zh-CN"/>
              </w:rPr>
            </w:pPr>
            <w:r>
              <w:rPr>
                <w:rFonts w:hint="eastAsia"/>
                <w:lang w:val="en-US" w:eastAsia="zh-CN"/>
              </w:rPr>
              <w:t>0.4204</w:t>
            </w:r>
          </w:p>
        </w:tc>
        <w:tc>
          <w:tcPr>
            <w:tcW w:w="543" w:type="pct"/>
            <w:vAlign w:val="center"/>
          </w:tcPr>
          <w:p w14:paraId="747EA9C7">
            <w:pPr>
              <w:pStyle w:val="31"/>
              <w:bidi w:val="0"/>
              <w:jc w:val="center"/>
              <w:rPr>
                <w:rFonts w:hint="default"/>
                <w:lang w:val="en-US" w:eastAsia="zh-CN"/>
              </w:rPr>
            </w:pPr>
            <w:r>
              <w:rPr>
                <w:rFonts w:hint="eastAsia"/>
                <w:lang w:val="en-US" w:eastAsia="zh-CN"/>
              </w:rPr>
              <w:t>-0.0396</w:t>
            </w:r>
          </w:p>
        </w:tc>
      </w:tr>
      <w:tr w14:paraId="55EAF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6DC80E1">
            <w:pPr>
              <w:pStyle w:val="31"/>
              <w:bidi w:val="0"/>
              <w:jc w:val="center"/>
              <w:rPr>
                <w:rFonts w:hint="default"/>
                <w:lang w:val="en-US" w:eastAsia="zh-CN"/>
              </w:rPr>
            </w:pPr>
          </w:p>
        </w:tc>
        <w:tc>
          <w:tcPr>
            <w:tcW w:w="1543" w:type="pct"/>
            <w:gridSpan w:val="2"/>
            <w:vAlign w:val="center"/>
          </w:tcPr>
          <w:p w14:paraId="019A6609">
            <w:pPr>
              <w:pStyle w:val="31"/>
              <w:bidi w:val="0"/>
              <w:jc w:val="center"/>
              <w:rPr>
                <w:rFonts w:hint="default"/>
                <w:lang w:val="en-US" w:eastAsia="zh-CN"/>
              </w:rPr>
            </w:pPr>
            <w:r>
              <w:rPr>
                <w:rFonts w:hint="eastAsia"/>
                <w:lang w:val="en-US" w:eastAsia="zh-CN"/>
              </w:rPr>
              <w:t>甲苯</w:t>
            </w:r>
          </w:p>
        </w:tc>
        <w:tc>
          <w:tcPr>
            <w:tcW w:w="603" w:type="pct"/>
            <w:vAlign w:val="center"/>
          </w:tcPr>
          <w:p w14:paraId="1F7240B3">
            <w:pPr>
              <w:pStyle w:val="31"/>
              <w:bidi w:val="0"/>
              <w:jc w:val="center"/>
              <w:rPr>
                <w:rFonts w:hint="default"/>
                <w:lang w:val="en-US" w:eastAsia="zh-CN"/>
              </w:rPr>
            </w:pPr>
            <w:r>
              <w:rPr>
                <w:rFonts w:hint="eastAsia"/>
                <w:lang w:val="en-US" w:eastAsia="zh-CN"/>
              </w:rPr>
              <w:t>0.07</w:t>
            </w:r>
          </w:p>
        </w:tc>
        <w:tc>
          <w:tcPr>
            <w:tcW w:w="839" w:type="pct"/>
            <w:vAlign w:val="center"/>
          </w:tcPr>
          <w:p w14:paraId="1CF83622">
            <w:pPr>
              <w:pStyle w:val="31"/>
              <w:bidi w:val="0"/>
              <w:jc w:val="center"/>
              <w:rPr>
                <w:rFonts w:hint="default"/>
                <w:lang w:val="en-US" w:eastAsia="zh-CN"/>
              </w:rPr>
            </w:pPr>
            <w:r>
              <w:rPr>
                <w:rFonts w:hint="eastAsia"/>
                <w:lang w:val="en-US" w:eastAsia="zh-CN"/>
              </w:rPr>
              <w:t>0.01</w:t>
            </w:r>
          </w:p>
        </w:tc>
        <w:tc>
          <w:tcPr>
            <w:tcW w:w="603" w:type="pct"/>
            <w:vAlign w:val="center"/>
          </w:tcPr>
          <w:p w14:paraId="2DDD002E">
            <w:pPr>
              <w:pStyle w:val="31"/>
              <w:bidi w:val="0"/>
              <w:jc w:val="center"/>
              <w:rPr>
                <w:rFonts w:hint="default"/>
                <w:lang w:val="en-US" w:eastAsia="zh-CN"/>
              </w:rPr>
            </w:pPr>
            <w:r>
              <w:rPr>
                <w:rFonts w:hint="eastAsia"/>
                <w:lang w:val="en-US" w:eastAsia="zh-CN"/>
              </w:rPr>
              <w:t>0</w:t>
            </w:r>
          </w:p>
        </w:tc>
        <w:tc>
          <w:tcPr>
            <w:tcW w:w="703" w:type="pct"/>
            <w:vAlign w:val="center"/>
          </w:tcPr>
          <w:p w14:paraId="2F8718F9">
            <w:pPr>
              <w:pStyle w:val="31"/>
              <w:bidi w:val="0"/>
              <w:jc w:val="center"/>
              <w:rPr>
                <w:rFonts w:hint="default"/>
                <w:lang w:val="en-US" w:eastAsia="zh-CN"/>
              </w:rPr>
            </w:pPr>
            <w:r>
              <w:rPr>
                <w:rFonts w:hint="eastAsia"/>
                <w:lang w:val="en-US" w:eastAsia="zh-CN"/>
              </w:rPr>
              <w:t>0.06</w:t>
            </w:r>
          </w:p>
        </w:tc>
        <w:tc>
          <w:tcPr>
            <w:tcW w:w="543" w:type="pct"/>
            <w:vAlign w:val="center"/>
          </w:tcPr>
          <w:p w14:paraId="275F1C61">
            <w:pPr>
              <w:pStyle w:val="31"/>
              <w:bidi w:val="0"/>
              <w:jc w:val="center"/>
              <w:rPr>
                <w:rFonts w:hint="default"/>
                <w:lang w:val="en-US" w:eastAsia="zh-CN"/>
              </w:rPr>
            </w:pPr>
            <w:r>
              <w:rPr>
                <w:rFonts w:hint="eastAsia"/>
                <w:lang w:val="en-US" w:eastAsia="zh-CN"/>
              </w:rPr>
              <w:t>-0.01</w:t>
            </w:r>
          </w:p>
        </w:tc>
      </w:tr>
      <w:tr w14:paraId="57B00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3C1C3CC">
            <w:pPr>
              <w:pStyle w:val="31"/>
              <w:bidi w:val="0"/>
              <w:jc w:val="center"/>
              <w:rPr>
                <w:rFonts w:hint="default"/>
                <w:lang w:val="en-US" w:eastAsia="zh-CN"/>
              </w:rPr>
            </w:pPr>
          </w:p>
        </w:tc>
        <w:tc>
          <w:tcPr>
            <w:tcW w:w="1543" w:type="pct"/>
            <w:gridSpan w:val="2"/>
            <w:vAlign w:val="center"/>
          </w:tcPr>
          <w:p w14:paraId="729FE610">
            <w:pPr>
              <w:pStyle w:val="31"/>
              <w:bidi w:val="0"/>
              <w:jc w:val="center"/>
              <w:rPr>
                <w:rFonts w:hint="default"/>
                <w:lang w:val="en-US" w:eastAsia="zh-CN"/>
              </w:rPr>
            </w:pPr>
            <w:r>
              <w:rPr>
                <w:rFonts w:hint="eastAsia"/>
                <w:lang w:val="en-US" w:eastAsia="zh-CN"/>
              </w:rPr>
              <w:t>二甲苯</w:t>
            </w:r>
          </w:p>
        </w:tc>
        <w:tc>
          <w:tcPr>
            <w:tcW w:w="603" w:type="pct"/>
            <w:vAlign w:val="center"/>
          </w:tcPr>
          <w:p w14:paraId="0CE99A86">
            <w:pPr>
              <w:pStyle w:val="31"/>
              <w:bidi w:val="0"/>
              <w:jc w:val="center"/>
              <w:rPr>
                <w:rFonts w:hint="default"/>
                <w:lang w:val="en-US" w:eastAsia="zh-CN"/>
              </w:rPr>
            </w:pPr>
            <w:r>
              <w:rPr>
                <w:rFonts w:hint="eastAsia"/>
                <w:lang w:val="en-US" w:eastAsia="zh-CN"/>
              </w:rPr>
              <w:t>0.10</w:t>
            </w:r>
          </w:p>
        </w:tc>
        <w:tc>
          <w:tcPr>
            <w:tcW w:w="839" w:type="pct"/>
            <w:vAlign w:val="center"/>
          </w:tcPr>
          <w:p w14:paraId="46433458">
            <w:pPr>
              <w:pStyle w:val="31"/>
              <w:bidi w:val="0"/>
              <w:jc w:val="center"/>
              <w:rPr>
                <w:rFonts w:hint="default"/>
                <w:lang w:val="en-US" w:eastAsia="zh-CN"/>
              </w:rPr>
            </w:pPr>
            <w:r>
              <w:rPr>
                <w:rFonts w:hint="eastAsia"/>
                <w:lang w:val="en-US" w:eastAsia="zh-CN"/>
              </w:rPr>
              <w:t>0.01</w:t>
            </w:r>
          </w:p>
        </w:tc>
        <w:tc>
          <w:tcPr>
            <w:tcW w:w="603" w:type="pct"/>
            <w:vAlign w:val="center"/>
          </w:tcPr>
          <w:p w14:paraId="42F51C66">
            <w:pPr>
              <w:pStyle w:val="31"/>
              <w:bidi w:val="0"/>
              <w:jc w:val="center"/>
              <w:rPr>
                <w:rFonts w:hint="default"/>
                <w:lang w:val="en-US" w:eastAsia="zh-CN"/>
              </w:rPr>
            </w:pPr>
            <w:r>
              <w:rPr>
                <w:rFonts w:hint="eastAsia"/>
                <w:lang w:val="en-US" w:eastAsia="zh-CN"/>
              </w:rPr>
              <w:t>0</w:t>
            </w:r>
          </w:p>
        </w:tc>
        <w:tc>
          <w:tcPr>
            <w:tcW w:w="703" w:type="pct"/>
            <w:vAlign w:val="center"/>
          </w:tcPr>
          <w:p w14:paraId="16B03E7B">
            <w:pPr>
              <w:pStyle w:val="31"/>
              <w:bidi w:val="0"/>
              <w:jc w:val="center"/>
              <w:rPr>
                <w:rFonts w:hint="default"/>
                <w:lang w:val="en-US" w:eastAsia="zh-CN"/>
              </w:rPr>
            </w:pPr>
            <w:r>
              <w:rPr>
                <w:rFonts w:hint="eastAsia"/>
                <w:lang w:val="en-US" w:eastAsia="zh-CN"/>
              </w:rPr>
              <w:t>0.09</w:t>
            </w:r>
          </w:p>
        </w:tc>
        <w:tc>
          <w:tcPr>
            <w:tcW w:w="543" w:type="pct"/>
            <w:vAlign w:val="center"/>
          </w:tcPr>
          <w:p w14:paraId="1E463DDE">
            <w:pPr>
              <w:pStyle w:val="31"/>
              <w:bidi w:val="0"/>
              <w:jc w:val="center"/>
              <w:rPr>
                <w:rFonts w:hint="default"/>
                <w:lang w:val="en-US" w:eastAsia="zh-CN"/>
              </w:rPr>
            </w:pPr>
            <w:r>
              <w:rPr>
                <w:rFonts w:hint="eastAsia"/>
                <w:lang w:val="en-US" w:eastAsia="zh-CN"/>
              </w:rPr>
              <w:t>-0.01</w:t>
            </w:r>
          </w:p>
        </w:tc>
      </w:tr>
      <w:tr w14:paraId="5B2C1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restart"/>
            <w:vAlign w:val="center"/>
          </w:tcPr>
          <w:p w14:paraId="63FDBE04">
            <w:pPr>
              <w:pStyle w:val="31"/>
              <w:bidi w:val="0"/>
              <w:jc w:val="center"/>
              <w:rPr>
                <w:rFonts w:hint="eastAsia"/>
                <w:lang w:val="en-US" w:eastAsia="zh-CN"/>
              </w:rPr>
            </w:pPr>
            <w:r>
              <w:rPr>
                <w:rFonts w:hint="eastAsia"/>
                <w:lang w:val="en-US" w:eastAsia="zh-CN"/>
              </w:rPr>
              <w:t>废</w:t>
            </w:r>
          </w:p>
          <w:p w14:paraId="0588E205">
            <w:pPr>
              <w:pStyle w:val="31"/>
              <w:bidi w:val="0"/>
              <w:jc w:val="center"/>
              <w:rPr>
                <w:rFonts w:hint="default"/>
                <w:lang w:val="en-US" w:eastAsia="zh-CN"/>
              </w:rPr>
            </w:pPr>
            <w:r>
              <w:rPr>
                <w:rFonts w:hint="eastAsia"/>
                <w:lang w:val="en-US" w:eastAsia="zh-CN"/>
              </w:rPr>
              <w:t>水</w:t>
            </w:r>
          </w:p>
        </w:tc>
        <w:tc>
          <w:tcPr>
            <w:tcW w:w="568" w:type="pct"/>
            <w:vAlign w:val="center"/>
          </w:tcPr>
          <w:p w14:paraId="5C8C7058">
            <w:pPr>
              <w:pStyle w:val="31"/>
              <w:bidi w:val="0"/>
              <w:jc w:val="center"/>
              <w:rPr>
                <w:rFonts w:hint="default"/>
                <w:lang w:val="en-US" w:eastAsia="zh-CN"/>
              </w:rPr>
            </w:pPr>
            <w:r>
              <w:rPr>
                <w:rFonts w:hint="eastAsia"/>
                <w:lang w:val="en-US" w:eastAsia="zh-CN"/>
              </w:rPr>
              <w:t>生活污水</w:t>
            </w:r>
          </w:p>
        </w:tc>
        <w:tc>
          <w:tcPr>
            <w:tcW w:w="975" w:type="pct"/>
            <w:vAlign w:val="center"/>
          </w:tcPr>
          <w:p w14:paraId="1BB3D948">
            <w:pPr>
              <w:pStyle w:val="31"/>
              <w:bidi w:val="0"/>
              <w:jc w:val="center"/>
              <w:rPr>
                <w:rFonts w:hint="default"/>
                <w:lang w:val="en-US" w:eastAsia="zh-CN"/>
              </w:rPr>
            </w:pPr>
            <w:r>
              <w:rPr>
                <w:rFonts w:hint="eastAsia"/>
                <w:lang w:val="en-US" w:eastAsia="zh-CN"/>
              </w:rPr>
              <w:t>废水量</w:t>
            </w:r>
          </w:p>
        </w:tc>
        <w:tc>
          <w:tcPr>
            <w:tcW w:w="603" w:type="pct"/>
            <w:vAlign w:val="center"/>
          </w:tcPr>
          <w:p w14:paraId="3216B732">
            <w:pPr>
              <w:pStyle w:val="31"/>
              <w:bidi w:val="0"/>
              <w:jc w:val="center"/>
              <w:rPr>
                <w:rFonts w:hint="default"/>
                <w:lang w:val="en-US" w:eastAsia="zh-CN"/>
              </w:rPr>
            </w:pPr>
            <w:r>
              <w:rPr>
                <w:rFonts w:hint="eastAsia"/>
                <w:lang w:val="en-US" w:eastAsia="zh-CN"/>
              </w:rPr>
              <w:t>72</w:t>
            </w:r>
          </w:p>
        </w:tc>
        <w:tc>
          <w:tcPr>
            <w:tcW w:w="839" w:type="pct"/>
            <w:vAlign w:val="center"/>
          </w:tcPr>
          <w:p w14:paraId="3F10B82B">
            <w:pPr>
              <w:pStyle w:val="31"/>
              <w:bidi w:val="0"/>
              <w:jc w:val="center"/>
              <w:rPr>
                <w:rFonts w:hint="default"/>
                <w:lang w:val="en-US" w:eastAsia="zh-CN"/>
              </w:rPr>
            </w:pPr>
            <w:r>
              <w:rPr>
                <w:rFonts w:hint="eastAsia"/>
                <w:lang w:val="en-US" w:eastAsia="zh-CN"/>
              </w:rPr>
              <w:t>0</w:t>
            </w:r>
          </w:p>
        </w:tc>
        <w:tc>
          <w:tcPr>
            <w:tcW w:w="603" w:type="pct"/>
            <w:vAlign w:val="center"/>
          </w:tcPr>
          <w:p w14:paraId="46EA06DD">
            <w:pPr>
              <w:pStyle w:val="31"/>
              <w:bidi w:val="0"/>
              <w:jc w:val="center"/>
              <w:rPr>
                <w:rFonts w:hint="default"/>
                <w:lang w:val="en-US" w:eastAsia="zh-CN"/>
              </w:rPr>
            </w:pPr>
            <w:r>
              <w:rPr>
                <w:rFonts w:hint="eastAsia"/>
                <w:lang w:val="en-US" w:eastAsia="zh-CN"/>
              </w:rPr>
              <w:t>36</w:t>
            </w:r>
          </w:p>
        </w:tc>
        <w:tc>
          <w:tcPr>
            <w:tcW w:w="703" w:type="pct"/>
            <w:vAlign w:val="center"/>
          </w:tcPr>
          <w:p w14:paraId="7DA71EC6">
            <w:pPr>
              <w:pStyle w:val="31"/>
              <w:bidi w:val="0"/>
              <w:jc w:val="center"/>
              <w:rPr>
                <w:rFonts w:hint="default"/>
                <w:lang w:val="en-US" w:eastAsia="zh-CN"/>
              </w:rPr>
            </w:pPr>
            <w:r>
              <w:rPr>
                <w:rFonts w:hint="eastAsia"/>
                <w:lang w:val="en-US" w:eastAsia="zh-CN"/>
              </w:rPr>
              <w:t>108</w:t>
            </w:r>
          </w:p>
        </w:tc>
        <w:tc>
          <w:tcPr>
            <w:tcW w:w="543" w:type="pct"/>
            <w:vAlign w:val="center"/>
          </w:tcPr>
          <w:p w14:paraId="50A86091">
            <w:pPr>
              <w:pStyle w:val="31"/>
              <w:bidi w:val="0"/>
              <w:jc w:val="center"/>
              <w:rPr>
                <w:rFonts w:hint="default"/>
                <w:lang w:val="en-US" w:eastAsia="zh-CN"/>
              </w:rPr>
            </w:pPr>
            <w:r>
              <w:rPr>
                <w:rFonts w:hint="eastAsia"/>
                <w:lang w:val="en-US" w:eastAsia="zh-CN"/>
              </w:rPr>
              <w:t>+36</w:t>
            </w:r>
          </w:p>
        </w:tc>
      </w:tr>
      <w:tr w14:paraId="495F7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6246C7F5">
            <w:pPr>
              <w:pStyle w:val="31"/>
              <w:bidi w:val="0"/>
              <w:jc w:val="center"/>
              <w:rPr>
                <w:rFonts w:hint="eastAsia"/>
                <w:lang w:val="en-US" w:eastAsia="zh-CN"/>
              </w:rPr>
            </w:pPr>
          </w:p>
        </w:tc>
        <w:tc>
          <w:tcPr>
            <w:tcW w:w="568" w:type="pct"/>
            <w:vMerge w:val="restart"/>
            <w:vAlign w:val="center"/>
          </w:tcPr>
          <w:p w14:paraId="4801494C">
            <w:pPr>
              <w:pStyle w:val="31"/>
              <w:bidi w:val="0"/>
              <w:jc w:val="center"/>
              <w:rPr>
                <w:rFonts w:hint="eastAsia"/>
                <w:lang w:val="en-US" w:eastAsia="zh-CN"/>
              </w:rPr>
            </w:pPr>
            <w:r>
              <w:rPr>
                <w:rFonts w:hint="eastAsia"/>
                <w:lang w:val="en-US" w:eastAsia="zh-CN"/>
              </w:rPr>
              <w:t>初期雨水</w:t>
            </w:r>
          </w:p>
          <w:p w14:paraId="18CA7A03">
            <w:pPr>
              <w:pStyle w:val="31"/>
              <w:bidi w:val="0"/>
              <w:jc w:val="center"/>
              <w:rPr>
                <w:rFonts w:hint="default"/>
                <w:lang w:val="en-US" w:eastAsia="zh-CN"/>
              </w:rPr>
            </w:pPr>
            <w:r>
              <w:rPr>
                <w:rFonts w:hint="eastAsia"/>
                <w:lang w:val="en-US" w:eastAsia="zh-CN"/>
              </w:rPr>
              <w:t>生产废水</w:t>
            </w:r>
          </w:p>
        </w:tc>
        <w:tc>
          <w:tcPr>
            <w:tcW w:w="975" w:type="pct"/>
            <w:vAlign w:val="center"/>
          </w:tcPr>
          <w:p w14:paraId="2D33CE02">
            <w:pPr>
              <w:pStyle w:val="31"/>
              <w:bidi w:val="0"/>
              <w:jc w:val="center"/>
              <w:rPr>
                <w:rFonts w:hint="default"/>
                <w:lang w:val="en-US" w:eastAsia="zh-CN"/>
              </w:rPr>
            </w:pPr>
            <w:r>
              <w:rPr>
                <w:rFonts w:hint="eastAsia"/>
                <w:lang w:val="en-US" w:eastAsia="zh-CN"/>
              </w:rPr>
              <w:t>废水量</w:t>
            </w:r>
          </w:p>
        </w:tc>
        <w:tc>
          <w:tcPr>
            <w:tcW w:w="603" w:type="pct"/>
            <w:vAlign w:val="center"/>
          </w:tcPr>
          <w:p w14:paraId="1EDAFCFC">
            <w:pPr>
              <w:pStyle w:val="31"/>
              <w:bidi w:val="0"/>
              <w:jc w:val="center"/>
              <w:rPr>
                <w:rFonts w:hint="default"/>
                <w:lang w:val="en-US" w:eastAsia="zh-CN"/>
              </w:rPr>
            </w:pPr>
            <w:r>
              <w:rPr>
                <w:rFonts w:hint="eastAsia"/>
                <w:lang w:val="en-US" w:eastAsia="zh-CN"/>
              </w:rPr>
              <w:t>0</w:t>
            </w:r>
          </w:p>
        </w:tc>
        <w:tc>
          <w:tcPr>
            <w:tcW w:w="839" w:type="pct"/>
            <w:vAlign w:val="center"/>
          </w:tcPr>
          <w:p w14:paraId="6954ED74">
            <w:pPr>
              <w:pStyle w:val="31"/>
              <w:bidi w:val="0"/>
              <w:jc w:val="center"/>
              <w:rPr>
                <w:rFonts w:hint="default"/>
                <w:lang w:val="en-US" w:eastAsia="zh-CN"/>
              </w:rPr>
            </w:pPr>
            <w:r>
              <w:rPr>
                <w:rFonts w:hint="eastAsia"/>
                <w:lang w:val="en-US" w:eastAsia="zh-CN"/>
              </w:rPr>
              <w:t>0</w:t>
            </w:r>
          </w:p>
        </w:tc>
        <w:tc>
          <w:tcPr>
            <w:tcW w:w="603" w:type="pct"/>
            <w:vAlign w:val="center"/>
          </w:tcPr>
          <w:p w14:paraId="3FCA9999">
            <w:pPr>
              <w:pStyle w:val="31"/>
              <w:bidi w:val="0"/>
              <w:jc w:val="center"/>
              <w:rPr>
                <w:rFonts w:hint="default"/>
                <w:lang w:val="en-US" w:eastAsia="zh-CN"/>
              </w:rPr>
            </w:pPr>
            <w:r>
              <w:rPr>
                <w:rFonts w:hint="eastAsia"/>
                <w:lang w:val="en-US" w:eastAsia="zh-CN"/>
              </w:rPr>
              <w:t>4168.53</w:t>
            </w:r>
          </w:p>
        </w:tc>
        <w:tc>
          <w:tcPr>
            <w:tcW w:w="703" w:type="pct"/>
            <w:shd w:val="clear" w:color="auto" w:fill="auto"/>
            <w:vAlign w:val="center"/>
          </w:tcPr>
          <w:p w14:paraId="02AC163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4168.53</w:t>
            </w:r>
          </w:p>
        </w:tc>
        <w:tc>
          <w:tcPr>
            <w:tcW w:w="543" w:type="pct"/>
            <w:shd w:val="clear" w:color="auto" w:fill="auto"/>
            <w:vAlign w:val="center"/>
          </w:tcPr>
          <w:p w14:paraId="114B2F7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+4168.53</w:t>
            </w:r>
          </w:p>
        </w:tc>
      </w:tr>
      <w:tr w14:paraId="12AD6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4951858">
            <w:pPr>
              <w:pStyle w:val="31"/>
              <w:bidi w:val="0"/>
              <w:jc w:val="center"/>
              <w:rPr>
                <w:rFonts w:hint="eastAsia"/>
                <w:lang w:val="en-US" w:eastAsia="zh-CN"/>
              </w:rPr>
            </w:pPr>
          </w:p>
        </w:tc>
        <w:tc>
          <w:tcPr>
            <w:tcW w:w="568" w:type="pct"/>
            <w:vMerge w:val="continue"/>
            <w:vAlign w:val="center"/>
          </w:tcPr>
          <w:p w14:paraId="264F6F31">
            <w:pPr>
              <w:pStyle w:val="31"/>
              <w:bidi w:val="0"/>
              <w:jc w:val="center"/>
              <w:rPr>
                <w:rFonts w:hint="eastAsia"/>
                <w:lang w:val="en-US" w:eastAsia="zh-CN"/>
              </w:rPr>
            </w:pPr>
          </w:p>
        </w:tc>
        <w:tc>
          <w:tcPr>
            <w:tcW w:w="975" w:type="pct"/>
            <w:vAlign w:val="center"/>
          </w:tcPr>
          <w:p w14:paraId="6F8355A7">
            <w:pPr>
              <w:pStyle w:val="31"/>
              <w:bidi w:val="0"/>
              <w:jc w:val="center"/>
              <w:rPr>
                <w:rFonts w:hint="default"/>
                <w:lang w:val="en-US" w:eastAsia="zh-CN"/>
              </w:rPr>
            </w:pPr>
            <w:r>
              <w:rPr>
                <w:rFonts w:hint="eastAsia"/>
                <w:lang w:val="en-US" w:eastAsia="zh-CN"/>
              </w:rPr>
              <w:t>COD</w:t>
            </w:r>
          </w:p>
        </w:tc>
        <w:tc>
          <w:tcPr>
            <w:tcW w:w="603" w:type="pct"/>
            <w:vAlign w:val="center"/>
          </w:tcPr>
          <w:p w14:paraId="5B2E3638">
            <w:pPr>
              <w:pStyle w:val="31"/>
              <w:bidi w:val="0"/>
              <w:jc w:val="center"/>
              <w:rPr>
                <w:rFonts w:hint="default"/>
                <w:lang w:val="en-US" w:eastAsia="zh-CN"/>
              </w:rPr>
            </w:pPr>
            <w:r>
              <w:rPr>
                <w:rFonts w:hint="eastAsia"/>
                <w:lang w:val="en-US" w:eastAsia="zh-CN"/>
              </w:rPr>
              <w:t>0</w:t>
            </w:r>
          </w:p>
        </w:tc>
        <w:tc>
          <w:tcPr>
            <w:tcW w:w="839" w:type="pct"/>
            <w:vAlign w:val="center"/>
          </w:tcPr>
          <w:p w14:paraId="55FD9A2A">
            <w:pPr>
              <w:pStyle w:val="31"/>
              <w:bidi w:val="0"/>
              <w:jc w:val="center"/>
              <w:rPr>
                <w:rFonts w:hint="default"/>
                <w:lang w:val="en-US" w:eastAsia="zh-CN"/>
              </w:rPr>
            </w:pPr>
            <w:r>
              <w:rPr>
                <w:rFonts w:hint="eastAsia"/>
                <w:lang w:val="en-US" w:eastAsia="zh-CN"/>
              </w:rPr>
              <w:t>0</w:t>
            </w:r>
          </w:p>
        </w:tc>
        <w:tc>
          <w:tcPr>
            <w:tcW w:w="603" w:type="pct"/>
            <w:vAlign w:val="center"/>
          </w:tcPr>
          <w:p w14:paraId="150CACE3">
            <w:pPr>
              <w:pStyle w:val="31"/>
              <w:bidi w:val="0"/>
              <w:jc w:val="center"/>
              <w:rPr>
                <w:rFonts w:hint="default"/>
                <w:lang w:val="en-US" w:eastAsia="zh-CN"/>
              </w:rPr>
            </w:pPr>
            <w:r>
              <w:rPr>
                <w:rFonts w:hint="eastAsia"/>
                <w:lang w:val="en-US" w:eastAsia="zh-CN"/>
              </w:rPr>
              <w:t>0.089</w:t>
            </w:r>
          </w:p>
        </w:tc>
        <w:tc>
          <w:tcPr>
            <w:tcW w:w="703" w:type="pct"/>
            <w:shd w:val="clear" w:color="auto" w:fill="auto"/>
            <w:vAlign w:val="center"/>
          </w:tcPr>
          <w:p w14:paraId="15BE321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0.089</w:t>
            </w:r>
          </w:p>
        </w:tc>
        <w:tc>
          <w:tcPr>
            <w:tcW w:w="543" w:type="pct"/>
            <w:shd w:val="clear" w:color="auto" w:fill="auto"/>
            <w:vAlign w:val="center"/>
          </w:tcPr>
          <w:p w14:paraId="49CD929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+0.089</w:t>
            </w:r>
          </w:p>
        </w:tc>
      </w:tr>
      <w:tr w14:paraId="4056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38B9D2C">
            <w:pPr>
              <w:pStyle w:val="31"/>
              <w:bidi w:val="0"/>
              <w:jc w:val="center"/>
              <w:rPr>
                <w:rFonts w:hint="eastAsia"/>
                <w:lang w:val="en-US" w:eastAsia="zh-CN"/>
              </w:rPr>
            </w:pPr>
          </w:p>
        </w:tc>
        <w:tc>
          <w:tcPr>
            <w:tcW w:w="568" w:type="pct"/>
            <w:vMerge w:val="continue"/>
            <w:vAlign w:val="center"/>
          </w:tcPr>
          <w:p w14:paraId="0D5C5C8F">
            <w:pPr>
              <w:pStyle w:val="31"/>
              <w:bidi w:val="0"/>
              <w:jc w:val="center"/>
              <w:rPr>
                <w:rFonts w:hint="eastAsia"/>
                <w:lang w:val="en-US" w:eastAsia="zh-CN"/>
              </w:rPr>
            </w:pPr>
          </w:p>
        </w:tc>
        <w:tc>
          <w:tcPr>
            <w:tcW w:w="975" w:type="pct"/>
            <w:vAlign w:val="center"/>
          </w:tcPr>
          <w:p w14:paraId="461935C9">
            <w:pPr>
              <w:pStyle w:val="31"/>
              <w:bidi w:val="0"/>
              <w:jc w:val="center"/>
              <w:rPr>
                <w:rFonts w:hint="default"/>
                <w:vertAlign w:val="baseline"/>
                <w:lang w:val="en-US" w:eastAsia="zh-CN"/>
              </w:rPr>
            </w:pPr>
            <w:r>
              <w:rPr>
                <w:rFonts w:hint="eastAsia"/>
                <w:lang w:val="en-US" w:eastAsia="zh-CN"/>
              </w:rPr>
              <w:t>BOD</w:t>
            </w:r>
            <w:r>
              <w:rPr>
                <w:rFonts w:hint="eastAsia"/>
                <w:vertAlign w:val="subscript"/>
                <w:lang w:val="en-US" w:eastAsia="zh-CN"/>
              </w:rPr>
              <w:t>5</w:t>
            </w:r>
          </w:p>
        </w:tc>
        <w:tc>
          <w:tcPr>
            <w:tcW w:w="603" w:type="pct"/>
            <w:vAlign w:val="center"/>
          </w:tcPr>
          <w:p w14:paraId="673BAAFE">
            <w:pPr>
              <w:pStyle w:val="31"/>
              <w:bidi w:val="0"/>
              <w:jc w:val="center"/>
              <w:rPr>
                <w:rFonts w:hint="default"/>
                <w:lang w:val="en-US" w:eastAsia="zh-CN"/>
              </w:rPr>
            </w:pPr>
            <w:r>
              <w:rPr>
                <w:rFonts w:hint="eastAsia"/>
                <w:lang w:val="en-US" w:eastAsia="zh-CN"/>
              </w:rPr>
              <w:t>0</w:t>
            </w:r>
          </w:p>
        </w:tc>
        <w:tc>
          <w:tcPr>
            <w:tcW w:w="839" w:type="pct"/>
            <w:vAlign w:val="center"/>
          </w:tcPr>
          <w:p w14:paraId="227DE563">
            <w:pPr>
              <w:pStyle w:val="31"/>
              <w:bidi w:val="0"/>
              <w:jc w:val="center"/>
              <w:rPr>
                <w:rFonts w:hint="default"/>
                <w:lang w:val="en-US" w:eastAsia="zh-CN"/>
              </w:rPr>
            </w:pPr>
            <w:r>
              <w:rPr>
                <w:rFonts w:hint="eastAsia"/>
                <w:lang w:val="en-US" w:eastAsia="zh-CN"/>
              </w:rPr>
              <w:t>0</w:t>
            </w:r>
          </w:p>
        </w:tc>
        <w:tc>
          <w:tcPr>
            <w:tcW w:w="603" w:type="pct"/>
            <w:vAlign w:val="center"/>
          </w:tcPr>
          <w:p w14:paraId="4E25F06C">
            <w:pPr>
              <w:pStyle w:val="31"/>
              <w:bidi w:val="0"/>
              <w:jc w:val="center"/>
              <w:rPr>
                <w:rFonts w:hint="default"/>
                <w:lang w:val="en-US" w:eastAsia="zh-CN"/>
              </w:rPr>
            </w:pPr>
            <w:r>
              <w:rPr>
                <w:rFonts w:hint="eastAsia"/>
                <w:lang w:val="en-US" w:eastAsia="zh-CN"/>
              </w:rPr>
              <w:t>0.071</w:t>
            </w:r>
          </w:p>
        </w:tc>
        <w:tc>
          <w:tcPr>
            <w:tcW w:w="703" w:type="pct"/>
            <w:shd w:val="clear" w:color="auto" w:fill="auto"/>
            <w:vAlign w:val="center"/>
          </w:tcPr>
          <w:p w14:paraId="4452651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0.071</w:t>
            </w:r>
          </w:p>
        </w:tc>
        <w:tc>
          <w:tcPr>
            <w:tcW w:w="543" w:type="pct"/>
            <w:shd w:val="clear" w:color="auto" w:fill="auto"/>
            <w:vAlign w:val="center"/>
          </w:tcPr>
          <w:p w14:paraId="536B177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+0.071</w:t>
            </w:r>
          </w:p>
        </w:tc>
      </w:tr>
      <w:tr w14:paraId="5CE3C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4CB7CC10">
            <w:pPr>
              <w:pStyle w:val="31"/>
              <w:bidi w:val="0"/>
              <w:jc w:val="center"/>
              <w:rPr>
                <w:rFonts w:hint="eastAsia"/>
                <w:lang w:val="en-US" w:eastAsia="zh-CN"/>
              </w:rPr>
            </w:pPr>
          </w:p>
        </w:tc>
        <w:tc>
          <w:tcPr>
            <w:tcW w:w="568" w:type="pct"/>
            <w:vMerge w:val="continue"/>
            <w:vAlign w:val="center"/>
          </w:tcPr>
          <w:p w14:paraId="44FFFF87">
            <w:pPr>
              <w:pStyle w:val="31"/>
              <w:bidi w:val="0"/>
              <w:jc w:val="center"/>
              <w:rPr>
                <w:rFonts w:hint="eastAsia"/>
                <w:lang w:val="en-US" w:eastAsia="zh-CN"/>
              </w:rPr>
            </w:pPr>
          </w:p>
        </w:tc>
        <w:tc>
          <w:tcPr>
            <w:tcW w:w="975" w:type="pct"/>
            <w:vAlign w:val="center"/>
          </w:tcPr>
          <w:p w14:paraId="6E3E586A">
            <w:pPr>
              <w:pStyle w:val="31"/>
              <w:bidi w:val="0"/>
              <w:jc w:val="center"/>
              <w:rPr>
                <w:rFonts w:hint="default"/>
                <w:lang w:val="en-US" w:eastAsia="zh-CN"/>
              </w:rPr>
            </w:pPr>
            <w:r>
              <w:rPr>
                <w:rFonts w:hint="eastAsia"/>
                <w:lang w:val="en-US" w:eastAsia="zh-CN"/>
              </w:rPr>
              <w:t>氨氮</w:t>
            </w:r>
          </w:p>
        </w:tc>
        <w:tc>
          <w:tcPr>
            <w:tcW w:w="603" w:type="pct"/>
            <w:vAlign w:val="center"/>
          </w:tcPr>
          <w:p w14:paraId="7911DC4B">
            <w:pPr>
              <w:pStyle w:val="31"/>
              <w:bidi w:val="0"/>
              <w:jc w:val="center"/>
              <w:rPr>
                <w:rFonts w:hint="default"/>
                <w:lang w:val="en-US" w:eastAsia="zh-CN"/>
              </w:rPr>
            </w:pPr>
            <w:r>
              <w:rPr>
                <w:rFonts w:hint="eastAsia"/>
                <w:lang w:val="en-US" w:eastAsia="zh-CN"/>
              </w:rPr>
              <w:t>0</w:t>
            </w:r>
          </w:p>
        </w:tc>
        <w:tc>
          <w:tcPr>
            <w:tcW w:w="839" w:type="pct"/>
            <w:vAlign w:val="center"/>
          </w:tcPr>
          <w:p w14:paraId="193AE21A">
            <w:pPr>
              <w:pStyle w:val="31"/>
              <w:bidi w:val="0"/>
              <w:jc w:val="center"/>
              <w:rPr>
                <w:rFonts w:hint="default"/>
                <w:lang w:val="en-US" w:eastAsia="zh-CN"/>
              </w:rPr>
            </w:pPr>
            <w:r>
              <w:rPr>
                <w:rFonts w:hint="eastAsia"/>
                <w:lang w:val="en-US" w:eastAsia="zh-CN"/>
              </w:rPr>
              <w:t>0</w:t>
            </w:r>
          </w:p>
        </w:tc>
        <w:tc>
          <w:tcPr>
            <w:tcW w:w="603" w:type="pct"/>
            <w:vAlign w:val="center"/>
          </w:tcPr>
          <w:p w14:paraId="56AA996A">
            <w:pPr>
              <w:pStyle w:val="31"/>
              <w:bidi w:val="0"/>
              <w:jc w:val="center"/>
              <w:rPr>
                <w:rFonts w:hint="default"/>
                <w:lang w:val="en-US" w:eastAsia="zh-CN"/>
              </w:rPr>
            </w:pPr>
            <w:r>
              <w:rPr>
                <w:rFonts w:hint="eastAsia"/>
                <w:lang w:val="en-US" w:eastAsia="zh-CN"/>
              </w:rPr>
              <w:t>0.050</w:t>
            </w:r>
          </w:p>
        </w:tc>
        <w:tc>
          <w:tcPr>
            <w:tcW w:w="703" w:type="pct"/>
            <w:shd w:val="clear" w:color="auto" w:fill="auto"/>
            <w:vAlign w:val="center"/>
          </w:tcPr>
          <w:p w14:paraId="37AE951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0.050</w:t>
            </w:r>
          </w:p>
        </w:tc>
        <w:tc>
          <w:tcPr>
            <w:tcW w:w="543" w:type="pct"/>
            <w:shd w:val="clear" w:color="auto" w:fill="auto"/>
            <w:vAlign w:val="center"/>
          </w:tcPr>
          <w:p w14:paraId="2EEDEAD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+0.050</w:t>
            </w:r>
          </w:p>
        </w:tc>
      </w:tr>
      <w:tr w14:paraId="4AFC8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E05A561">
            <w:pPr>
              <w:pStyle w:val="31"/>
              <w:bidi w:val="0"/>
              <w:jc w:val="center"/>
              <w:rPr>
                <w:rFonts w:hint="eastAsia"/>
                <w:lang w:val="en-US" w:eastAsia="zh-CN"/>
              </w:rPr>
            </w:pPr>
          </w:p>
        </w:tc>
        <w:tc>
          <w:tcPr>
            <w:tcW w:w="568" w:type="pct"/>
            <w:vMerge w:val="continue"/>
            <w:vAlign w:val="center"/>
          </w:tcPr>
          <w:p w14:paraId="658C6847">
            <w:pPr>
              <w:pStyle w:val="31"/>
              <w:bidi w:val="0"/>
              <w:jc w:val="center"/>
              <w:rPr>
                <w:rFonts w:hint="eastAsia"/>
                <w:lang w:val="en-US" w:eastAsia="zh-CN"/>
              </w:rPr>
            </w:pPr>
          </w:p>
        </w:tc>
        <w:tc>
          <w:tcPr>
            <w:tcW w:w="975" w:type="pct"/>
            <w:vAlign w:val="center"/>
          </w:tcPr>
          <w:p w14:paraId="18C7980E">
            <w:pPr>
              <w:pStyle w:val="31"/>
              <w:bidi w:val="0"/>
              <w:jc w:val="center"/>
              <w:rPr>
                <w:rFonts w:hint="default"/>
                <w:lang w:val="en-US" w:eastAsia="zh-CN"/>
              </w:rPr>
            </w:pPr>
            <w:r>
              <w:rPr>
                <w:rFonts w:hint="eastAsia"/>
                <w:lang w:val="en-US" w:eastAsia="zh-CN"/>
              </w:rPr>
              <w:t>SS</w:t>
            </w:r>
          </w:p>
        </w:tc>
        <w:tc>
          <w:tcPr>
            <w:tcW w:w="603" w:type="pct"/>
            <w:vAlign w:val="center"/>
          </w:tcPr>
          <w:p w14:paraId="26FBCA98">
            <w:pPr>
              <w:pStyle w:val="31"/>
              <w:bidi w:val="0"/>
              <w:jc w:val="center"/>
              <w:rPr>
                <w:rFonts w:hint="default"/>
                <w:lang w:val="en-US" w:eastAsia="zh-CN"/>
              </w:rPr>
            </w:pPr>
            <w:r>
              <w:rPr>
                <w:rFonts w:hint="eastAsia"/>
                <w:lang w:val="en-US" w:eastAsia="zh-CN"/>
              </w:rPr>
              <w:t>0</w:t>
            </w:r>
          </w:p>
        </w:tc>
        <w:tc>
          <w:tcPr>
            <w:tcW w:w="839" w:type="pct"/>
            <w:vAlign w:val="center"/>
          </w:tcPr>
          <w:p w14:paraId="4B1AFF1E">
            <w:pPr>
              <w:pStyle w:val="31"/>
              <w:bidi w:val="0"/>
              <w:jc w:val="center"/>
              <w:rPr>
                <w:rFonts w:hint="default"/>
                <w:lang w:val="en-US" w:eastAsia="zh-CN"/>
              </w:rPr>
            </w:pPr>
            <w:r>
              <w:rPr>
                <w:rFonts w:hint="eastAsia"/>
                <w:lang w:val="en-US" w:eastAsia="zh-CN"/>
              </w:rPr>
              <w:t>0</w:t>
            </w:r>
          </w:p>
        </w:tc>
        <w:tc>
          <w:tcPr>
            <w:tcW w:w="603" w:type="pct"/>
            <w:vAlign w:val="center"/>
          </w:tcPr>
          <w:p w14:paraId="7452C98A">
            <w:pPr>
              <w:pStyle w:val="31"/>
              <w:bidi w:val="0"/>
              <w:jc w:val="center"/>
              <w:rPr>
                <w:rFonts w:hint="default"/>
                <w:lang w:val="en-US" w:eastAsia="zh-CN"/>
              </w:rPr>
            </w:pPr>
            <w:r>
              <w:rPr>
                <w:rFonts w:hint="eastAsia"/>
                <w:lang w:val="en-US" w:eastAsia="zh-CN"/>
              </w:rPr>
              <w:t>0.250</w:t>
            </w:r>
          </w:p>
        </w:tc>
        <w:tc>
          <w:tcPr>
            <w:tcW w:w="703" w:type="pct"/>
            <w:shd w:val="clear" w:color="auto" w:fill="auto"/>
            <w:vAlign w:val="center"/>
          </w:tcPr>
          <w:p w14:paraId="5FF7B26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0.250</w:t>
            </w:r>
          </w:p>
        </w:tc>
        <w:tc>
          <w:tcPr>
            <w:tcW w:w="543" w:type="pct"/>
            <w:shd w:val="clear" w:color="auto" w:fill="auto"/>
            <w:vAlign w:val="center"/>
          </w:tcPr>
          <w:p w14:paraId="57BCA42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+0.250</w:t>
            </w:r>
          </w:p>
        </w:tc>
      </w:tr>
      <w:tr w14:paraId="00906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31D8733">
            <w:pPr>
              <w:pStyle w:val="31"/>
              <w:bidi w:val="0"/>
              <w:jc w:val="center"/>
              <w:rPr>
                <w:rFonts w:hint="eastAsia"/>
                <w:lang w:val="en-US" w:eastAsia="zh-CN"/>
              </w:rPr>
            </w:pPr>
          </w:p>
        </w:tc>
        <w:tc>
          <w:tcPr>
            <w:tcW w:w="568" w:type="pct"/>
            <w:vMerge w:val="continue"/>
            <w:vAlign w:val="center"/>
          </w:tcPr>
          <w:p w14:paraId="37E0CFFE">
            <w:pPr>
              <w:pStyle w:val="31"/>
              <w:bidi w:val="0"/>
              <w:jc w:val="center"/>
              <w:rPr>
                <w:rFonts w:hint="eastAsia"/>
                <w:lang w:val="en-US" w:eastAsia="zh-CN"/>
              </w:rPr>
            </w:pPr>
          </w:p>
        </w:tc>
        <w:tc>
          <w:tcPr>
            <w:tcW w:w="975" w:type="pct"/>
            <w:vAlign w:val="center"/>
          </w:tcPr>
          <w:p w14:paraId="124EA69B">
            <w:pPr>
              <w:pStyle w:val="31"/>
              <w:bidi w:val="0"/>
              <w:jc w:val="center"/>
              <w:rPr>
                <w:rFonts w:hint="default"/>
                <w:lang w:val="en-US" w:eastAsia="zh-CN"/>
              </w:rPr>
            </w:pPr>
            <w:r>
              <w:rPr>
                <w:rFonts w:hint="eastAsia"/>
                <w:lang w:val="en-US" w:eastAsia="zh-CN"/>
              </w:rPr>
              <w:t>石油类</w:t>
            </w:r>
          </w:p>
        </w:tc>
        <w:tc>
          <w:tcPr>
            <w:tcW w:w="603" w:type="pct"/>
            <w:vAlign w:val="center"/>
          </w:tcPr>
          <w:p w14:paraId="537CC6EA">
            <w:pPr>
              <w:pStyle w:val="31"/>
              <w:bidi w:val="0"/>
              <w:jc w:val="center"/>
              <w:rPr>
                <w:rFonts w:hint="default"/>
                <w:lang w:val="en-US" w:eastAsia="zh-CN"/>
              </w:rPr>
            </w:pPr>
            <w:r>
              <w:rPr>
                <w:rFonts w:hint="eastAsia"/>
                <w:lang w:val="en-US" w:eastAsia="zh-CN"/>
              </w:rPr>
              <w:t>0</w:t>
            </w:r>
          </w:p>
        </w:tc>
        <w:tc>
          <w:tcPr>
            <w:tcW w:w="839" w:type="pct"/>
            <w:vAlign w:val="center"/>
          </w:tcPr>
          <w:p w14:paraId="6D72E39F">
            <w:pPr>
              <w:pStyle w:val="31"/>
              <w:bidi w:val="0"/>
              <w:jc w:val="center"/>
              <w:rPr>
                <w:rFonts w:hint="default"/>
                <w:lang w:val="en-US" w:eastAsia="zh-CN"/>
              </w:rPr>
            </w:pPr>
            <w:r>
              <w:rPr>
                <w:rFonts w:hint="eastAsia"/>
                <w:lang w:val="en-US" w:eastAsia="zh-CN"/>
              </w:rPr>
              <w:t>0</w:t>
            </w:r>
          </w:p>
        </w:tc>
        <w:tc>
          <w:tcPr>
            <w:tcW w:w="603" w:type="pct"/>
            <w:vAlign w:val="center"/>
          </w:tcPr>
          <w:p w14:paraId="433DB8C4">
            <w:pPr>
              <w:pStyle w:val="31"/>
              <w:bidi w:val="0"/>
              <w:jc w:val="center"/>
              <w:rPr>
                <w:rFonts w:hint="default"/>
                <w:lang w:val="en-US" w:eastAsia="zh-CN"/>
              </w:rPr>
            </w:pPr>
            <w:r>
              <w:rPr>
                <w:rFonts w:hint="eastAsia"/>
                <w:lang w:val="en-US" w:eastAsia="zh-CN"/>
              </w:rPr>
              <w:t>0.007</w:t>
            </w:r>
          </w:p>
        </w:tc>
        <w:tc>
          <w:tcPr>
            <w:tcW w:w="703" w:type="pct"/>
            <w:shd w:val="clear" w:color="auto" w:fill="auto"/>
            <w:vAlign w:val="center"/>
          </w:tcPr>
          <w:p w14:paraId="006DA96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0.007</w:t>
            </w:r>
          </w:p>
        </w:tc>
        <w:tc>
          <w:tcPr>
            <w:tcW w:w="543" w:type="pct"/>
            <w:shd w:val="clear" w:color="auto" w:fill="auto"/>
            <w:vAlign w:val="center"/>
          </w:tcPr>
          <w:p w14:paraId="4950E54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+0.007</w:t>
            </w:r>
          </w:p>
        </w:tc>
      </w:tr>
      <w:tr w14:paraId="17D71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restart"/>
            <w:vAlign w:val="center"/>
          </w:tcPr>
          <w:p w14:paraId="19A036B5">
            <w:pPr>
              <w:pStyle w:val="31"/>
              <w:bidi w:val="0"/>
              <w:jc w:val="center"/>
              <w:rPr>
                <w:rFonts w:hint="eastAsia"/>
                <w:lang w:val="en-US" w:eastAsia="zh-CN"/>
              </w:rPr>
            </w:pPr>
            <w:r>
              <w:rPr>
                <w:rFonts w:hint="eastAsia"/>
                <w:lang w:val="en-US" w:eastAsia="zh-CN"/>
              </w:rPr>
              <w:t>固</w:t>
            </w:r>
          </w:p>
          <w:p w14:paraId="21E0B2B2">
            <w:pPr>
              <w:pStyle w:val="31"/>
              <w:bidi w:val="0"/>
              <w:jc w:val="center"/>
              <w:rPr>
                <w:rFonts w:hint="eastAsia"/>
                <w:lang w:val="en-US" w:eastAsia="zh-CN"/>
              </w:rPr>
            </w:pPr>
            <w:r>
              <w:rPr>
                <w:rFonts w:hint="eastAsia"/>
                <w:lang w:val="en-US" w:eastAsia="zh-CN"/>
              </w:rPr>
              <w:t>体</w:t>
            </w:r>
          </w:p>
          <w:p w14:paraId="2461321B">
            <w:pPr>
              <w:pStyle w:val="31"/>
              <w:bidi w:val="0"/>
              <w:jc w:val="center"/>
              <w:rPr>
                <w:rFonts w:hint="eastAsia"/>
                <w:lang w:val="en-US" w:eastAsia="zh-CN"/>
              </w:rPr>
            </w:pPr>
            <w:r>
              <w:rPr>
                <w:rFonts w:hint="eastAsia"/>
                <w:lang w:val="en-US" w:eastAsia="zh-CN"/>
              </w:rPr>
              <w:t>废</w:t>
            </w:r>
          </w:p>
          <w:p w14:paraId="11B785ED">
            <w:pPr>
              <w:pStyle w:val="31"/>
              <w:bidi w:val="0"/>
              <w:jc w:val="center"/>
              <w:rPr>
                <w:rFonts w:hint="default"/>
                <w:lang w:val="en-US" w:eastAsia="zh-CN"/>
              </w:rPr>
            </w:pPr>
            <w:r>
              <w:rPr>
                <w:rFonts w:hint="eastAsia"/>
                <w:lang w:val="en-US" w:eastAsia="zh-CN"/>
              </w:rPr>
              <w:t>物</w:t>
            </w:r>
          </w:p>
        </w:tc>
        <w:tc>
          <w:tcPr>
            <w:tcW w:w="568" w:type="pct"/>
            <w:vAlign w:val="center"/>
          </w:tcPr>
          <w:p w14:paraId="0FDE92E9">
            <w:pPr>
              <w:pStyle w:val="31"/>
              <w:bidi w:val="0"/>
              <w:jc w:val="center"/>
              <w:rPr>
                <w:rFonts w:hint="default"/>
                <w:lang w:val="en-US" w:eastAsia="zh-CN"/>
              </w:rPr>
            </w:pPr>
            <w:r>
              <w:rPr>
                <w:rFonts w:hint="eastAsia"/>
                <w:lang w:val="en-US" w:eastAsia="zh-CN"/>
              </w:rPr>
              <w:t>生活垃圾</w:t>
            </w:r>
          </w:p>
        </w:tc>
        <w:tc>
          <w:tcPr>
            <w:tcW w:w="975" w:type="pct"/>
            <w:vAlign w:val="center"/>
          </w:tcPr>
          <w:p w14:paraId="5F06FC0E">
            <w:pPr>
              <w:pStyle w:val="31"/>
              <w:bidi w:val="0"/>
              <w:jc w:val="center"/>
              <w:rPr>
                <w:rFonts w:hint="eastAsia"/>
                <w:lang w:val="en-US" w:eastAsia="zh-CN"/>
              </w:rPr>
            </w:pPr>
            <w:r>
              <w:rPr>
                <w:rFonts w:hint="eastAsia"/>
                <w:lang w:val="en-US" w:eastAsia="zh-CN"/>
              </w:rPr>
              <w:t>生活垃圾</w:t>
            </w:r>
          </w:p>
        </w:tc>
        <w:tc>
          <w:tcPr>
            <w:tcW w:w="603" w:type="pct"/>
            <w:vAlign w:val="center"/>
          </w:tcPr>
          <w:p w14:paraId="3DFAF120">
            <w:pPr>
              <w:pStyle w:val="31"/>
              <w:bidi w:val="0"/>
              <w:jc w:val="center"/>
              <w:rPr>
                <w:rFonts w:hint="default"/>
                <w:lang w:val="en-US" w:eastAsia="zh-CN"/>
              </w:rPr>
            </w:pPr>
            <w:r>
              <w:rPr>
                <w:rFonts w:hint="eastAsia"/>
                <w:lang w:val="en-US" w:eastAsia="zh-CN"/>
              </w:rPr>
              <w:t>2</w:t>
            </w:r>
          </w:p>
        </w:tc>
        <w:tc>
          <w:tcPr>
            <w:tcW w:w="839" w:type="pct"/>
            <w:vAlign w:val="center"/>
          </w:tcPr>
          <w:p w14:paraId="16C2A28B">
            <w:pPr>
              <w:pStyle w:val="31"/>
              <w:bidi w:val="0"/>
              <w:jc w:val="center"/>
              <w:rPr>
                <w:rFonts w:hint="default"/>
                <w:lang w:val="en-US" w:eastAsia="zh-CN"/>
              </w:rPr>
            </w:pPr>
            <w:r>
              <w:rPr>
                <w:rFonts w:hint="eastAsia"/>
                <w:lang w:val="en-US" w:eastAsia="zh-CN"/>
              </w:rPr>
              <w:t>0</w:t>
            </w:r>
          </w:p>
        </w:tc>
        <w:tc>
          <w:tcPr>
            <w:tcW w:w="603" w:type="pct"/>
            <w:vAlign w:val="center"/>
          </w:tcPr>
          <w:p w14:paraId="4774FF79">
            <w:pPr>
              <w:pStyle w:val="31"/>
              <w:bidi w:val="0"/>
              <w:jc w:val="center"/>
              <w:rPr>
                <w:rFonts w:hint="default"/>
                <w:lang w:val="en-US" w:eastAsia="zh-CN"/>
              </w:rPr>
            </w:pPr>
            <w:r>
              <w:rPr>
                <w:rFonts w:hint="eastAsia"/>
                <w:lang w:val="en-US" w:eastAsia="zh-CN"/>
              </w:rPr>
              <w:t>1</w:t>
            </w:r>
          </w:p>
        </w:tc>
        <w:tc>
          <w:tcPr>
            <w:tcW w:w="703" w:type="pct"/>
            <w:shd w:val="clear" w:color="auto" w:fill="auto"/>
            <w:vAlign w:val="center"/>
          </w:tcPr>
          <w:p w14:paraId="52309347">
            <w:pPr>
              <w:pStyle w:val="31"/>
              <w:bidi w:val="0"/>
              <w:ind w:firstLine="0" w:firstLineChars="0"/>
              <w:jc w:val="center"/>
              <w:rPr>
                <w:rFonts w:hint="default"/>
                <w:lang w:val="en-US" w:eastAsia="zh-CN"/>
              </w:rPr>
            </w:pPr>
            <w:r>
              <w:rPr>
                <w:rFonts w:hint="eastAsia"/>
                <w:lang w:val="en-US" w:eastAsia="zh-CN"/>
              </w:rPr>
              <w:t>3</w:t>
            </w:r>
          </w:p>
        </w:tc>
        <w:tc>
          <w:tcPr>
            <w:tcW w:w="543" w:type="pct"/>
            <w:shd w:val="clear" w:color="auto" w:fill="auto"/>
            <w:vAlign w:val="center"/>
          </w:tcPr>
          <w:p w14:paraId="7BA43588">
            <w:pPr>
              <w:pStyle w:val="31"/>
              <w:bidi w:val="0"/>
              <w:ind w:firstLine="0" w:firstLineChars="0"/>
              <w:jc w:val="center"/>
              <w:rPr>
                <w:rFonts w:hint="default"/>
                <w:lang w:val="en-US" w:eastAsia="zh-CN"/>
              </w:rPr>
            </w:pPr>
            <w:r>
              <w:rPr>
                <w:rFonts w:hint="eastAsia"/>
                <w:lang w:val="en-US" w:eastAsia="zh-CN"/>
              </w:rPr>
              <w:t>+1</w:t>
            </w:r>
          </w:p>
        </w:tc>
      </w:tr>
      <w:tr w14:paraId="4BA4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5947585">
            <w:pPr>
              <w:pStyle w:val="31"/>
              <w:bidi w:val="0"/>
              <w:jc w:val="center"/>
              <w:rPr>
                <w:rFonts w:hint="default"/>
                <w:lang w:val="en-US" w:eastAsia="zh-CN"/>
              </w:rPr>
            </w:pPr>
          </w:p>
        </w:tc>
        <w:tc>
          <w:tcPr>
            <w:tcW w:w="568" w:type="pct"/>
            <w:vMerge w:val="restart"/>
            <w:shd w:val="clear" w:color="auto" w:fill="auto"/>
            <w:vAlign w:val="center"/>
          </w:tcPr>
          <w:p w14:paraId="20A362D6">
            <w:pPr>
              <w:pStyle w:val="31"/>
              <w:bidi w:val="0"/>
              <w:ind w:firstLine="0" w:firstLineChars="0"/>
              <w:jc w:val="center"/>
              <w:rPr>
                <w:rFonts w:hint="eastAsia"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一般固</w:t>
            </w:r>
          </w:p>
          <w:p w14:paraId="282B32F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体废物</w:t>
            </w:r>
          </w:p>
        </w:tc>
        <w:tc>
          <w:tcPr>
            <w:tcW w:w="975" w:type="pct"/>
            <w:shd w:val="clear" w:color="auto" w:fill="auto"/>
            <w:vAlign w:val="center"/>
          </w:tcPr>
          <w:p w14:paraId="038A3ED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u w:val="none"/>
              </w:rPr>
              <w:t>钢板、钢材碎料及铁锈铁渣等</w:t>
            </w:r>
          </w:p>
        </w:tc>
        <w:tc>
          <w:tcPr>
            <w:tcW w:w="603" w:type="pct"/>
            <w:shd w:val="clear" w:color="auto" w:fill="auto"/>
            <w:vAlign w:val="center"/>
          </w:tcPr>
          <w:p w14:paraId="4DA43D6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110.6</w:t>
            </w:r>
          </w:p>
        </w:tc>
        <w:tc>
          <w:tcPr>
            <w:tcW w:w="839" w:type="pct"/>
            <w:vAlign w:val="center"/>
          </w:tcPr>
          <w:p w14:paraId="35AB6933">
            <w:pPr>
              <w:pStyle w:val="31"/>
              <w:bidi w:val="0"/>
              <w:jc w:val="center"/>
              <w:rPr>
                <w:rFonts w:hint="default"/>
                <w:lang w:val="en-US" w:eastAsia="zh-CN"/>
              </w:rPr>
            </w:pPr>
            <w:r>
              <w:rPr>
                <w:rFonts w:hint="eastAsia"/>
                <w:lang w:val="en-US" w:eastAsia="zh-CN"/>
              </w:rPr>
              <w:t>0</w:t>
            </w:r>
          </w:p>
        </w:tc>
        <w:tc>
          <w:tcPr>
            <w:tcW w:w="603" w:type="pct"/>
            <w:vAlign w:val="center"/>
          </w:tcPr>
          <w:p w14:paraId="4CEDC13E">
            <w:pPr>
              <w:pStyle w:val="31"/>
              <w:bidi w:val="0"/>
              <w:jc w:val="center"/>
              <w:rPr>
                <w:rFonts w:hint="default"/>
                <w:lang w:val="en-US" w:eastAsia="zh-CN"/>
              </w:rPr>
            </w:pPr>
            <w:r>
              <w:rPr>
                <w:rFonts w:hint="eastAsia"/>
                <w:lang w:val="en-US" w:eastAsia="zh-CN"/>
              </w:rPr>
              <w:t>2923.21</w:t>
            </w:r>
          </w:p>
        </w:tc>
        <w:tc>
          <w:tcPr>
            <w:tcW w:w="703" w:type="pct"/>
            <w:vAlign w:val="center"/>
          </w:tcPr>
          <w:p w14:paraId="06CD326C">
            <w:pPr>
              <w:pStyle w:val="31"/>
              <w:bidi w:val="0"/>
              <w:jc w:val="center"/>
              <w:rPr>
                <w:rFonts w:hint="default"/>
                <w:lang w:val="en-US" w:eastAsia="zh-CN"/>
              </w:rPr>
            </w:pPr>
            <w:r>
              <w:rPr>
                <w:rFonts w:hint="eastAsia"/>
                <w:lang w:val="en-US" w:eastAsia="zh-CN"/>
              </w:rPr>
              <w:t>3033.81</w:t>
            </w:r>
          </w:p>
        </w:tc>
        <w:tc>
          <w:tcPr>
            <w:tcW w:w="543" w:type="pct"/>
            <w:vAlign w:val="center"/>
          </w:tcPr>
          <w:p w14:paraId="089C4C5D">
            <w:pPr>
              <w:pStyle w:val="31"/>
              <w:bidi w:val="0"/>
              <w:jc w:val="center"/>
              <w:rPr>
                <w:rFonts w:hint="default"/>
                <w:lang w:val="en-US" w:eastAsia="zh-CN"/>
              </w:rPr>
            </w:pPr>
            <w:r>
              <w:rPr>
                <w:rFonts w:hint="eastAsia"/>
                <w:lang w:val="en-US" w:eastAsia="zh-CN"/>
              </w:rPr>
              <w:t>+2923.21</w:t>
            </w:r>
          </w:p>
        </w:tc>
      </w:tr>
      <w:tr w14:paraId="51F53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7C7DEF90">
            <w:pPr>
              <w:pStyle w:val="31"/>
              <w:bidi w:val="0"/>
              <w:jc w:val="center"/>
              <w:rPr>
                <w:rFonts w:hint="eastAsia"/>
                <w:lang w:val="en-US" w:eastAsia="zh-CN"/>
              </w:rPr>
            </w:pPr>
          </w:p>
        </w:tc>
        <w:tc>
          <w:tcPr>
            <w:tcW w:w="568" w:type="pct"/>
            <w:vMerge w:val="continue"/>
            <w:shd w:val="clear" w:color="auto" w:fill="auto"/>
            <w:vAlign w:val="center"/>
          </w:tcPr>
          <w:p w14:paraId="333CD6B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487F645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场地收集尘</w:t>
            </w:r>
          </w:p>
        </w:tc>
        <w:tc>
          <w:tcPr>
            <w:tcW w:w="603" w:type="pct"/>
            <w:shd w:val="clear" w:color="auto" w:fill="auto"/>
            <w:vAlign w:val="center"/>
          </w:tcPr>
          <w:p w14:paraId="013E72E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0.2</w:t>
            </w:r>
          </w:p>
        </w:tc>
        <w:tc>
          <w:tcPr>
            <w:tcW w:w="839" w:type="pct"/>
            <w:vAlign w:val="center"/>
          </w:tcPr>
          <w:p w14:paraId="0588E953">
            <w:pPr>
              <w:pStyle w:val="31"/>
              <w:bidi w:val="0"/>
              <w:jc w:val="center"/>
              <w:rPr>
                <w:rFonts w:hint="default"/>
                <w:lang w:val="en-US" w:eastAsia="zh-CN"/>
              </w:rPr>
            </w:pPr>
            <w:r>
              <w:rPr>
                <w:rFonts w:hint="eastAsia"/>
                <w:lang w:val="en-US" w:eastAsia="zh-CN"/>
              </w:rPr>
              <w:t>0</w:t>
            </w:r>
          </w:p>
        </w:tc>
        <w:tc>
          <w:tcPr>
            <w:tcW w:w="603" w:type="pct"/>
            <w:vAlign w:val="center"/>
          </w:tcPr>
          <w:p w14:paraId="2AFC8616">
            <w:pPr>
              <w:pStyle w:val="31"/>
              <w:bidi w:val="0"/>
              <w:jc w:val="center"/>
              <w:rPr>
                <w:rFonts w:hint="default"/>
                <w:lang w:val="en-US" w:eastAsia="zh-CN"/>
              </w:rPr>
            </w:pPr>
            <w:r>
              <w:rPr>
                <w:rFonts w:hint="eastAsia"/>
                <w:lang w:val="en-US" w:eastAsia="zh-CN"/>
              </w:rPr>
              <w:t>0.09</w:t>
            </w:r>
          </w:p>
        </w:tc>
        <w:tc>
          <w:tcPr>
            <w:tcW w:w="703" w:type="pct"/>
            <w:vAlign w:val="center"/>
          </w:tcPr>
          <w:p w14:paraId="145F31DA">
            <w:pPr>
              <w:pStyle w:val="31"/>
              <w:bidi w:val="0"/>
              <w:jc w:val="center"/>
              <w:rPr>
                <w:rFonts w:hint="default"/>
                <w:lang w:val="en-US" w:eastAsia="zh-CN"/>
              </w:rPr>
            </w:pPr>
            <w:r>
              <w:rPr>
                <w:rFonts w:hint="eastAsia"/>
                <w:lang w:val="en-US" w:eastAsia="zh-CN"/>
              </w:rPr>
              <w:t>0.29</w:t>
            </w:r>
          </w:p>
        </w:tc>
        <w:tc>
          <w:tcPr>
            <w:tcW w:w="543" w:type="pct"/>
            <w:vAlign w:val="center"/>
          </w:tcPr>
          <w:p w14:paraId="6B387566">
            <w:pPr>
              <w:pStyle w:val="31"/>
              <w:bidi w:val="0"/>
              <w:jc w:val="center"/>
              <w:rPr>
                <w:rFonts w:hint="default"/>
                <w:lang w:val="en-US" w:eastAsia="zh-CN"/>
              </w:rPr>
            </w:pPr>
            <w:r>
              <w:rPr>
                <w:rFonts w:hint="eastAsia"/>
                <w:lang w:val="en-US" w:eastAsia="zh-CN"/>
              </w:rPr>
              <w:t>+0.09</w:t>
            </w:r>
          </w:p>
        </w:tc>
      </w:tr>
      <w:tr w14:paraId="2CEC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1F7798F">
            <w:pPr>
              <w:pStyle w:val="31"/>
              <w:bidi w:val="0"/>
              <w:jc w:val="center"/>
              <w:rPr>
                <w:rFonts w:hint="eastAsia"/>
                <w:lang w:val="en-US" w:eastAsia="zh-CN"/>
              </w:rPr>
            </w:pPr>
          </w:p>
        </w:tc>
        <w:tc>
          <w:tcPr>
            <w:tcW w:w="568" w:type="pct"/>
            <w:vMerge w:val="continue"/>
            <w:shd w:val="clear" w:color="auto" w:fill="auto"/>
            <w:vAlign w:val="center"/>
          </w:tcPr>
          <w:p w14:paraId="48354B10">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7C3F268F">
            <w:pPr>
              <w:pStyle w:val="31"/>
              <w:bidi w:val="0"/>
              <w:ind w:firstLine="0" w:firstLineChars="0"/>
              <w:jc w:val="center"/>
              <w:rPr>
                <w:rFonts w:hint="eastAsia"/>
                <w:lang w:val="en-US" w:eastAsia="zh-CN"/>
              </w:rPr>
            </w:pPr>
            <w:r>
              <w:rPr>
                <w:u w:val="none"/>
              </w:rPr>
              <w:t>木材家具</w:t>
            </w:r>
          </w:p>
        </w:tc>
        <w:tc>
          <w:tcPr>
            <w:tcW w:w="603" w:type="pct"/>
            <w:shd w:val="clear" w:color="auto" w:fill="auto"/>
            <w:vAlign w:val="center"/>
          </w:tcPr>
          <w:p w14:paraId="6C4C2C02">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404EB823">
            <w:pPr>
              <w:pStyle w:val="31"/>
              <w:bidi w:val="0"/>
              <w:jc w:val="center"/>
              <w:rPr>
                <w:rFonts w:hint="default"/>
                <w:lang w:val="en-US" w:eastAsia="zh-CN"/>
              </w:rPr>
            </w:pPr>
            <w:r>
              <w:rPr>
                <w:rFonts w:hint="eastAsia"/>
                <w:lang w:val="en-US" w:eastAsia="zh-CN"/>
              </w:rPr>
              <w:t>0</w:t>
            </w:r>
          </w:p>
        </w:tc>
        <w:tc>
          <w:tcPr>
            <w:tcW w:w="603" w:type="pct"/>
            <w:vAlign w:val="center"/>
          </w:tcPr>
          <w:p w14:paraId="3BED809E">
            <w:pPr>
              <w:pStyle w:val="31"/>
              <w:bidi w:val="0"/>
              <w:jc w:val="center"/>
              <w:rPr>
                <w:rFonts w:hint="default"/>
                <w:lang w:val="en-US" w:eastAsia="zh-CN"/>
              </w:rPr>
            </w:pPr>
            <w:r>
              <w:rPr>
                <w:rFonts w:hint="eastAsia"/>
                <w:lang w:val="en-US" w:eastAsia="zh-CN"/>
              </w:rPr>
              <w:t>25.79</w:t>
            </w:r>
          </w:p>
        </w:tc>
        <w:tc>
          <w:tcPr>
            <w:tcW w:w="703" w:type="pct"/>
            <w:vAlign w:val="center"/>
          </w:tcPr>
          <w:p w14:paraId="36AD8880">
            <w:pPr>
              <w:pStyle w:val="31"/>
              <w:bidi w:val="0"/>
              <w:jc w:val="center"/>
              <w:rPr>
                <w:rFonts w:hint="default"/>
                <w:lang w:val="en-US" w:eastAsia="zh-CN"/>
              </w:rPr>
            </w:pPr>
            <w:r>
              <w:rPr>
                <w:rFonts w:hint="eastAsia"/>
                <w:lang w:val="en-US" w:eastAsia="zh-CN"/>
              </w:rPr>
              <w:t>25.79</w:t>
            </w:r>
          </w:p>
        </w:tc>
        <w:tc>
          <w:tcPr>
            <w:tcW w:w="543" w:type="pct"/>
            <w:vAlign w:val="center"/>
          </w:tcPr>
          <w:p w14:paraId="0152DA55">
            <w:pPr>
              <w:pStyle w:val="31"/>
              <w:bidi w:val="0"/>
              <w:jc w:val="center"/>
              <w:rPr>
                <w:rFonts w:hint="default"/>
                <w:lang w:val="en-US" w:eastAsia="zh-CN"/>
              </w:rPr>
            </w:pPr>
            <w:r>
              <w:rPr>
                <w:rFonts w:hint="eastAsia"/>
                <w:lang w:val="en-US" w:eastAsia="zh-CN"/>
              </w:rPr>
              <w:t>+25.79</w:t>
            </w:r>
          </w:p>
        </w:tc>
      </w:tr>
      <w:tr w14:paraId="50C57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F0DD234">
            <w:pPr>
              <w:pStyle w:val="31"/>
              <w:bidi w:val="0"/>
              <w:jc w:val="center"/>
              <w:rPr>
                <w:rFonts w:hint="eastAsia"/>
                <w:lang w:val="en-US" w:eastAsia="zh-CN"/>
              </w:rPr>
            </w:pPr>
          </w:p>
        </w:tc>
        <w:tc>
          <w:tcPr>
            <w:tcW w:w="568" w:type="pct"/>
            <w:vMerge w:val="continue"/>
            <w:shd w:val="clear" w:color="auto" w:fill="auto"/>
            <w:vAlign w:val="center"/>
          </w:tcPr>
          <w:p w14:paraId="253CFC2C">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6ADB208D">
            <w:pPr>
              <w:pStyle w:val="31"/>
              <w:bidi w:val="0"/>
              <w:ind w:firstLine="0" w:firstLineChars="0"/>
              <w:jc w:val="center"/>
              <w:rPr>
                <w:u w:val="none"/>
              </w:rPr>
            </w:pPr>
            <w:r>
              <w:rPr>
                <w:u w:val="none"/>
              </w:rPr>
              <w:t>有色金属（含螺旋桨铜、铝碎料、铜碎料等）</w:t>
            </w:r>
          </w:p>
        </w:tc>
        <w:tc>
          <w:tcPr>
            <w:tcW w:w="603" w:type="pct"/>
            <w:shd w:val="clear" w:color="auto" w:fill="auto"/>
            <w:vAlign w:val="center"/>
          </w:tcPr>
          <w:p w14:paraId="7E741B75">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2929B1EE">
            <w:pPr>
              <w:pStyle w:val="31"/>
              <w:bidi w:val="0"/>
              <w:jc w:val="center"/>
              <w:rPr>
                <w:rFonts w:hint="default"/>
                <w:lang w:val="en-US" w:eastAsia="zh-CN"/>
              </w:rPr>
            </w:pPr>
            <w:r>
              <w:rPr>
                <w:rFonts w:hint="eastAsia"/>
                <w:lang w:val="en-US" w:eastAsia="zh-CN"/>
              </w:rPr>
              <w:t>0</w:t>
            </w:r>
          </w:p>
        </w:tc>
        <w:tc>
          <w:tcPr>
            <w:tcW w:w="603" w:type="pct"/>
            <w:vAlign w:val="center"/>
          </w:tcPr>
          <w:p w14:paraId="3D28A517">
            <w:pPr>
              <w:pStyle w:val="31"/>
              <w:bidi w:val="0"/>
              <w:jc w:val="center"/>
              <w:rPr>
                <w:rFonts w:hint="default"/>
                <w:lang w:val="en-US" w:eastAsia="zh-CN"/>
              </w:rPr>
            </w:pPr>
            <w:r>
              <w:rPr>
                <w:rFonts w:hint="eastAsia"/>
                <w:lang w:val="en-US" w:eastAsia="zh-CN"/>
              </w:rPr>
              <w:t>42.99</w:t>
            </w:r>
          </w:p>
        </w:tc>
        <w:tc>
          <w:tcPr>
            <w:tcW w:w="703" w:type="pct"/>
            <w:vAlign w:val="center"/>
          </w:tcPr>
          <w:p w14:paraId="65D43485">
            <w:pPr>
              <w:pStyle w:val="31"/>
              <w:bidi w:val="0"/>
              <w:jc w:val="center"/>
              <w:rPr>
                <w:rFonts w:hint="default"/>
                <w:lang w:val="en-US" w:eastAsia="zh-CN"/>
              </w:rPr>
            </w:pPr>
            <w:r>
              <w:rPr>
                <w:rFonts w:hint="eastAsia"/>
                <w:lang w:val="en-US" w:eastAsia="zh-CN"/>
              </w:rPr>
              <w:t>42.99</w:t>
            </w:r>
          </w:p>
        </w:tc>
        <w:tc>
          <w:tcPr>
            <w:tcW w:w="543" w:type="pct"/>
            <w:vAlign w:val="center"/>
          </w:tcPr>
          <w:p w14:paraId="763D2AE5">
            <w:pPr>
              <w:pStyle w:val="31"/>
              <w:bidi w:val="0"/>
              <w:jc w:val="center"/>
              <w:rPr>
                <w:rFonts w:hint="default"/>
                <w:lang w:val="en-US" w:eastAsia="zh-CN"/>
              </w:rPr>
            </w:pPr>
            <w:r>
              <w:rPr>
                <w:rFonts w:hint="eastAsia"/>
                <w:lang w:val="en-US" w:eastAsia="zh-CN"/>
              </w:rPr>
              <w:t>+42.99</w:t>
            </w:r>
          </w:p>
        </w:tc>
      </w:tr>
      <w:tr w14:paraId="63713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5C08253">
            <w:pPr>
              <w:pStyle w:val="31"/>
              <w:bidi w:val="0"/>
              <w:jc w:val="center"/>
              <w:rPr>
                <w:rFonts w:hint="eastAsia"/>
                <w:lang w:val="en-US" w:eastAsia="zh-CN"/>
              </w:rPr>
            </w:pPr>
          </w:p>
        </w:tc>
        <w:tc>
          <w:tcPr>
            <w:tcW w:w="568" w:type="pct"/>
            <w:vMerge w:val="continue"/>
            <w:shd w:val="clear" w:color="auto" w:fill="auto"/>
            <w:vAlign w:val="center"/>
          </w:tcPr>
          <w:p w14:paraId="20A1934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2CEA58D1">
            <w:pPr>
              <w:pStyle w:val="31"/>
              <w:bidi w:val="0"/>
              <w:ind w:firstLine="0" w:firstLineChars="0"/>
              <w:jc w:val="center"/>
              <w:rPr>
                <w:u w:val="none"/>
              </w:rPr>
            </w:pPr>
            <w:r>
              <w:rPr>
                <w:u w:val="none"/>
              </w:rPr>
              <w:t>电线电缆</w:t>
            </w:r>
          </w:p>
        </w:tc>
        <w:tc>
          <w:tcPr>
            <w:tcW w:w="603" w:type="pct"/>
            <w:shd w:val="clear" w:color="auto" w:fill="auto"/>
            <w:vAlign w:val="center"/>
          </w:tcPr>
          <w:p w14:paraId="09AD22EF">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4FD8308B">
            <w:pPr>
              <w:pStyle w:val="31"/>
              <w:bidi w:val="0"/>
              <w:jc w:val="center"/>
              <w:rPr>
                <w:rFonts w:hint="default"/>
                <w:lang w:val="en-US" w:eastAsia="zh-CN"/>
              </w:rPr>
            </w:pPr>
            <w:r>
              <w:rPr>
                <w:rFonts w:hint="eastAsia"/>
                <w:lang w:val="en-US" w:eastAsia="zh-CN"/>
              </w:rPr>
              <w:t>0</w:t>
            </w:r>
          </w:p>
        </w:tc>
        <w:tc>
          <w:tcPr>
            <w:tcW w:w="603" w:type="pct"/>
            <w:vAlign w:val="center"/>
          </w:tcPr>
          <w:p w14:paraId="374BE8C0">
            <w:pPr>
              <w:pStyle w:val="31"/>
              <w:bidi w:val="0"/>
              <w:jc w:val="center"/>
              <w:rPr>
                <w:rFonts w:hint="default"/>
                <w:lang w:val="en-US" w:eastAsia="zh-CN"/>
              </w:rPr>
            </w:pPr>
            <w:r>
              <w:rPr>
                <w:rFonts w:hint="eastAsia"/>
                <w:lang w:val="en-US" w:eastAsia="zh-CN"/>
              </w:rPr>
              <w:t>17.20</w:t>
            </w:r>
          </w:p>
        </w:tc>
        <w:tc>
          <w:tcPr>
            <w:tcW w:w="703" w:type="pct"/>
            <w:vAlign w:val="center"/>
          </w:tcPr>
          <w:p w14:paraId="002F5DE3">
            <w:pPr>
              <w:pStyle w:val="31"/>
              <w:bidi w:val="0"/>
              <w:jc w:val="center"/>
              <w:rPr>
                <w:rFonts w:hint="default"/>
                <w:lang w:val="en-US" w:eastAsia="zh-CN"/>
              </w:rPr>
            </w:pPr>
            <w:r>
              <w:rPr>
                <w:rFonts w:hint="eastAsia"/>
                <w:lang w:val="en-US" w:eastAsia="zh-CN"/>
              </w:rPr>
              <w:t>17.20</w:t>
            </w:r>
          </w:p>
        </w:tc>
        <w:tc>
          <w:tcPr>
            <w:tcW w:w="543" w:type="pct"/>
            <w:vAlign w:val="center"/>
          </w:tcPr>
          <w:p w14:paraId="31424E1F">
            <w:pPr>
              <w:pStyle w:val="31"/>
              <w:bidi w:val="0"/>
              <w:jc w:val="center"/>
              <w:rPr>
                <w:rFonts w:hint="default"/>
                <w:lang w:val="en-US" w:eastAsia="zh-CN"/>
              </w:rPr>
            </w:pPr>
            <w:r>
              <w:rPr>
                <w:rFonts w:hint="eastAsia"/>
                <w:lang w:val="en-US" w:eastAsia="zh-CN"/>
              </w:rPr>
              <w:t>+17.20</w:t>
            </w:r>
          </w:p>
        </w:tc>
      </w:tr>
      <w:tr w14:paraId="013F5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4541C6CD">
            <w:pPr>
              <w:pStyle w:val="31"/>
              <w:bidi w:val="0"/>
              <w:jc w:val="center"/>
              <w:rPr>
                <w:rFonts w:hint="eastAsia"/>
                <w:lang w:val="en-US" w:eastAsia="zh-CN"/>
              </w:rPr>
            </w:pPr>
          </w:p>
        </w:tc>
        <w:tc>
          <w:tcPr>
            <w:tcW w:w="568" w:type="pct"/>
            <w:vMerge w:val="continue"/>
            <w:shd w:val="clear" w:color="auto" w:fill="auto"/>
            <w:vAlign w:val="center"/>
          </w:tcPr>
          <w:p w14:paraId="0954D7F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3152EEA5">
            <w:pPr>
              <w:pStyle w:val="31"/>
              <w:bidi w:val="0"/>
              <w:ind w:firstLine="0" w:firstLineChars="0"/>
              <w:jc w:val="center"/>
              <w:rPr>
                <w:u w:val="none"/>
              </w:rPr>
            </w:pPr>
            <w:r>
              <w:rPr>
                <w:u w:val="none"/>
              </w:rPr>
              <w:t>机械设备及仪器仪表（起货机、绞缆机、起重机、机修设备、主机、发电机组、通讯导航仪器、水泵等）</w:t>
            </w:r>
          </w:p>
        </w:tc>
        <w:tc>
          <w:tcPr>
            <w:tcW w:w="603" w:type="pct"/>
            <w:shd w:val="clear" w:color="auto" w:fill="auto"/>
            <w:vAlign w:val="center"/>
          </w:tcPr>
          <w:p w14:paraId="29C019B2">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6ED8109E">
            <w:pPr>
              <w:pStyle w:val="31"/>
              <w:bidi w:val="0"/>
              <w:jc w:val="center"/>
              <w:rPr>
                <w:rFonts w:hint="default"/>
                <w:lang w:val="en-US" w:eastAsia="zh-CN"/>
              </w:rPr>
            </w:pPr>
            <w:r>
              <w:rPr>
                <w:rFonts w:hint="eastAsia"/>
                <w:lang w:val="en-US" w:eastAsia="zh-CN"/>
              </w:rPr>
              <w:t>0</w:t>
            </w:r>
          </w:p>
        </w:tc>
        <w:tc>
          <w:tcPr>
            <w:tcW w:w="603" w:type="pct"/>
            <w:vAlign w:val="center"/>
          </w:tcPr>
          <w:p w14:paraId="6E68A208">
            <w:pPr>
              <w:pStyle w:val="31"/>
              <w:bidi w:val="0"/>
              <w:jc w:val="center"/>
              <w:rPr>
                <w:rFonts w:hint="default"/>
                <w:lang w:val="en-US" w:eastAsia="zh-CN"/>
              </w:rPr>
            </w:pPr>
            <w:r>
              <w:rPr>
                <w:rFonts w:hint="eastAsia"/>
                <w:lang w:val="en-US" w:eastAsia="zh-CN"/>
              </w:rPr>
              <w:t>429.88</w:t>
            </w:r>
          </w:p>
        </w:tc>
        <w:tc>
          <w:tcPr>
            <w:tcW w:w="703" w:type="pct"/>
            <w:vAlign w:val="center"/>
          </w:tcPr>
          <w:p w14:paraId="73567BE0">
            <w:pPr>
              <w:pStyle w:val="31"/>
              <w:bidi w:val="0"/>
              <w:jc w:val="center"/>
              <w:rPr>
                <w:rFonts w:hint="default"/>
                <w:lang w:val="en-US" w:eastAsia="zh-CN"/>
              </w:rPr>
            </w:pPr>
            <w:r>
              <w:rPr>
                <w:rFonts w:hint="eastAsia"/>
                <w:lang w:val="en-US" w:eastAsia="zh-CN"/>
              </w:rPr>
              <w:t>429.88</w:t>
            </w:r>
          </w:p>
        </w:tc>
        <w:tc>
          <w:tcPr>
            <w:tcW w:w="543" w:type="pct"/>
            <w:vAlign w:val="center"/>
          </w:tcPr>
          <w:p w14:paraId="2C8FF226">
            <w:pPr>
              <w:pStyle w:val="31"/>
              <w:bidi w:val="0"/>
              <w:jc w:val="center"/>
              <w:rPr>
                <w:rFonts w:hint="default"/>
                <w:lang w:val="en-US" w:eastAsia="zh-CN"/>
              </w:rPr>
            </w:pPr>
            <w:r>
              <w:rPr>
                <w:rFonts w:hint="eastAsia"/>
                <w:lang w:val="en-US" w:eastAsia="zh-CN"/>
              </w:rPr>
              <w:t>+429.88</w:t>
            </w:r>
          </w:p>
        </w:tc>
      </w:tr>
      <w:tr w14:paraId="1A3C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1B8ECA6C">
            <w:pPr>
              <w:pStyle w:val="31"/>
              <w:bidi w:val="0"/>
              <w:jc w:val="center"/>
              <w:rPr>
                <w:rFonts w:hint="eastAsia"/>
                <w:lang w:val="en-US" w:eastAsia="zh-CN"/>
              </w:rPr>
            </w:pPr>
          </w:p>
        </w:tc>
        <w:tc>
          <w:tcPr>
            <w:tcW w:w="568" w:type="pct"/>
            <w:vMerge w:val="continue"/>
            <w:shd w:val="clear" w:color="auto" w:fill="auto"/>
            <w:vAlign w:val="center"/>
          </w:tcPr>
          <w:p w14:paraId="5A7CCFBF">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4D3F2140">
            <w:pPr>
              <w:pStyle w:val="31"/>
              <w:bidi w:val="0"/>
              <w:ind w:firstLine="0" w:firstLineChars="0"/>
              <w:jc w:val="center"/>
              <w:rPr>
                <w:u w:val="none"/>
              </w:rPr>
            </w:pPr>
            <w:r>
              <w:rPr>
                <w:rFonts w:hint="eastAsia"/>
                <w:lang w:val="en-US" w:eastAsia="zh-CN"/>
              </w:rPr>
              <w:t>不可回收一般固废</w:t>
            </w:r>
          </w:p>
        </w:tc>
        <w:tc>
          <w:tcPr>
            <w:tcW w:w="603" w:type="pct"/>
            <w:shd w:val="clear" w:color="auto" w:fill="auto"/>
            <w:vAlign w:val="center"/>
          </w:tcPr>
          <w:p w14:paraId="6BB6C3E9">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2033E048">
            <w:pPr>
              <w:pStyle w:val="31"/>
              <w:bidi w:val="0"/>
              <w:jc w:val="center"/>
              <w:rPr>
                <w:rFonts w:hint="default"/>
                <w:lang w:val="en-US" w:eastAsia="zh-CN"/>
              </w:rPr>
            </w:pPr>
            <w:r>
              <w:rPr>
                <w:rFonts w:hint="eastAsia"/>
                <w:lang w:val="en-US" w:eastAsia="zh-CN"/>
              </w:rPr>
              <w:t>0</w:t>
            </w:r>
          </w:p>
        </w:tc>
        <w:tc>
          <w:tcPr>
            <w:tcW w:w="603" w:type="pct"/>
            <w:vAlign w:val="center"/>
          </w:tcPr>
          <w:p w14:paraId="54E59AC8">
            <w:pPr>
              <w:pStyle w:val="31"/>
              <w:bidi w:val="0"/>
              <w:jc w:val="center"/>
              <w:rPr>
                <w:rFonts w:hint="default"/>
                <w:lang w:val="en-US" w:eastAsia="zh-CN"/>
              </w:rPr>
            </w:pPr>
            <w:r>
              <w:rPr>
                <w:rFonts w:hint="eastAsia"/>
                <w:lang w:val="en-US" w:eastAsia="zh-CN"/>
              </w:rPr>
              <w:t>0.34</w:t>
            </w:r>
          </w:p>
        </w:tc>
        <w:tc>
          <w:tcPr>
            <w:tcW w:w="703" w:type="pct"/>
            <w:vAlign w:val="center"/>
          </w:tcPr>
          <w:p w14:paraId="2A589805">
            <w:pPr>
              <w:pStyle w:val="31"/>
              <w:bidi w:val="0"/>
              <w:jc w:val="center"/>
              <w:rPr>
                <w:rFonts w:hint="default"/>
                <w:lang w:val="en-US" w:eastAsia="zh-CN"/>
              </w:rPr>
            </w:pPr>
            <w:r>
              <w:rPr>
                <w:rFonts w:hint="eastAsia"/>
                <w:lang w:val="en-US" w:eastAsia="zh-CN"/>
              </w:rPr>
              <w:t>0.34</w:t>
            </w:r>
          </w:p>
        </w:tc>
        <w:tc>
          <w:tcPr>
            <w:tcW w:w="543" w:type="pct"/>
            <w:vAlign w:val="center"/>
          </w:tcPr>
          <w:p w14:paraId="7BEF3F17">
            <w:pPr>
              <w:pStyle w:val="31"/>
              <w:bidi w:val="0"/>
              <w:jc w:val="center"/>
              <w:rPr>
                <w:rFonts w:hint="default"/>
                <w:lang w:val="en-US" w:eastAsia="zh-CN"/>
              </w:rPr>
            </w:pPr>
            <w:r>
              <w:rPr>
                <w:rFonts w:hint="eastAsia"/>
                <w:lang w:val="en-US" w:eastAsia="zh-CN"/>
              </w:rPr>
              <w:t>+0.34</w:t>
            </w:r>
          </w:p>
        </w:tc>
      </w:tr>
      <w:tr w14:paraId="0976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AE146EC">
            <w:pPr>
              <w:pStyle w:val="31"/>
              <w:bidi w:val="0"/>
              <w:jc w:val="center"/>
              <w:rPr>
                <w:rFonts w:hint="eastAsia"/>
                <w:lang w:val="en-US" w:eastAsia="zh-CN"/>
              </w:rPr>
            </w:pPr>
          </w:p>
        </w:tc>
        <w:tc>
          <w:tcPr>
            <w:tcW w:w="568" w:type="pct"/>
            <w:vMerge w:val="restart"/>
            <w:shd w:val="clear" w:color="auto" w:fill="auto"/>
            <w:vAlign w:val="center"/>
          </w:tcPr>
          <w:p w14:paraId="6EC037C2">
            <w:pPr>
              <w:pStyle w:val="31"/>
              <w:bidi w:val="0"/>
              <w:ind w:firstLine="0" w:firstLineChars="0"/>
              <w:jc w:val="center"/>
              <w:rPr>
                <w:rFonts w:hint="eastAsia"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危险</w:t>
            </w:r>
          </w:p>
          <w:p w14:paraId="750A7F0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废物</w:t>
            </w:r>
          </w:p>
        </w:tc>
        <w:tc>
          <w:tcPr>
            <w:tcW w:w="975" w:type="pct"/>
            <w:shd w:val="clear" w:color="auto" w:fill="auto"/>
            <w:vAlign w:val="center"/>
          </w:tcPr>
          <w:p w14:paraId="1C37D5D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废漆渣及废漆渣回收毯</w:t>
            </w:r>
          </w:p>
        </w:tc>
        <w:tc>
          <w:tcPr>
            <w:tcW w:w="603" w:type="pct"/>
            <w:shd w:val="clear" w:color="auto" w:fill="auto"/>
            <w:vAlign w:val="center"/>
          </w:tcPr>
          <w:p w14:paraId="5BE25F2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0.64</w:t>
            </w:r>
          </w:p>
        </w:tc>
        <w:tc>
          <w:tcPr>
            <w:tcW w:w="839" w:type="pct"/>
            <w:vAlign w:val="center"/>
          </w:tcPr>
          <w:p w14:paraId="4229FC60">
            <w:pPr>
              <w:pStyle w:val="31"/>
              <w:bidi w:val="0"/>
              <w:jc w:val="center"/>
              <w:rPr>
                <w:rFonts w:hint="default"/>
                <w:lang w:val="en-US" w:eastAsia="zh-CN"/>
              </w:rPr>
            </w:pPr>
            <w:r>
              <w:rPr>
                <w:rFonts w:hint="eastAsia"/>
                <w:lang w:val="en-US" w:eastAsia="zh-CN"/>
              </w:rPr>
              <w:t>0</w:t>
            </w:r>
          </w:p>
        </w:tc>
        <w:tc>
          <w:tcPr>
            <w:tcW w:w="603" w:type="pct"/>
            <w:vAlign w:val="center"/>
          </w:tcPr>
          <w:p w14:paraId="25488B85">
            <w:pPr>
              <w:pStyle w:val="31"/>
              <w:bidi w:val="0"/>
              <w:jc w:val="center"/>
              <w:rPr>
                <w:rFonts w:hint="default"/>
                <w:lang w:val="en-US" w:eastAsia="zh-CN"/>
              </w:rPr>
            </w:pPr>
            <w:r>
              <w:rPr>
                <w:rFonts w:hint="eastAsia"/>
                <w:lang w:val="en-US" w:eastAsia="zh-CN"/>
              </w:rPr>
              <w:t>0.094</w:t>
            </w:r>
          </w:p>
        </w:tc>
        <w:tc>
          <w:tcPr>
            <w:tcW w:w="703" w:type="pct"/>
            <w:vAlign w:val="center"/>
          </w:tcPr>
          <w:p w14:paraId="7C8ACFED">
            <w:pPr>
              <w:pStyle w:val="31"/>
              <w:bidi w:val="0"/>
              <w:jc w:val="center"/>
              <w:rPr>
                <w:rFonts w:hint="default"/>
                <w:lang w:val="en-US" w:eastAsia="zh-CN"/>
              </w:rPr>
            </w:pPr>
            <w:r>
              <w:rPr>
                <w:rFonts w:hint="eastAsia"/>
                <w:lang w:val="en-US" w:eastAsia="zh-CN"/>
              </w:rPr>
              <w:t>0.734</w:t>
            </w:r>
          </w:p>
        </w:tc>
        <w:tc>
          <w:tcPr>
            <w:tcW w:w="543" w:type="pct"/>
            <w:vAlign w:val="center"/>
          </w:tcPr>
          <w:p w14:paraId="791CFC7C">
            <w:pPr>
              <w:pStyle w:val="31"/>
              <w:bidi w:val="0"/>
              <w:jc w:val="center"/>
              <w:rPr>
                <w:rFonts w:hint="default"/>
                <w:lang w:val="en-US" w:eastAsia="zh-CN"/>
              </w:rPr>
            </w:pPr>
            <w:r>
              <w:rPr>
                <w:rFonts w:hint="eastAsia"/>
                <w:lang w:val="en-US" w:eastAsia="zh-CN"/>
              </w:rPr>
              <w:t>+0.094</w:t>
            </w:r>
          </w:p>
        </w:tc>
      </w:tr>
      <w:tr w14:paraId="116A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5A901DA">
            <w:pPr>
              <w:pStyle w:val="31"/>
              <w:bidi w:val="0"/>
              <w:jc w:val="center"/>
              <w:rPr>
                <w:rFonts w:hint="eastAsia"/>
                <w:lang w:val="en-US" w:eastAsia="zh-CN"/>
              </w:rPr>
            </w:pPr>
          </w:p>
        </w:tc>
        <w:tc>
          <w:tcPr>
            <w:tcW w:w="568" w:type="pct"/>
            <w:vMerge w:val="continue"/>
            <w:shd w:val="clear" w:color="auto" w:fill="auto"/>
            <w:vAlign w:val="center"/>
          </w:tcPr>
          <w:p w14:paraId="0CC1B64D">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52B2726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废油漆桶</w:t>
            </w:r>
          </w:p>
        </w:tc>
        <w:tc>
          <w:tcPr>
            <w:tcW w:w="603" w:type="pct"/>
            <w:shd w:val="clear" w:color="auto" w:fill="auto"/>
            <w:vAlign w:val="center"/>
          </w:tcPr>
          <w:p w14:paraId="11F5C823">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0.2</w:t>
            </w:r>
          </w:p>
        </w:tc>
        <w:tc>
          <w:tcPr>
            <w:tcW w:w="839" w:type="pct"/>
            <w:vAlign w:val="center"/>
          </w:tcPr>
          <w:p w14:paraId="5E6B802B">
            <w:pPr>
              <w:pStyle w:val="31"/>
              <w:bidi w:val="0"/>
              <w:jc w:val="center"/>
              <w:rPr>
                <w:rFonts w:hint="default"/>
                <w:lang w:val="en-US" w:eastAsia="zh-CN"/>
              </w:rPr>
            </w:pPr>
            <w:r>
              <w:rPr>
                <w:rFonts w:hint="eastAsia"/>
                <w:lang w:val="en-US" w:eastAsia="zh-CN"/>
              </w:rPr>
              <w:t>0</w:t>
            </w:r>
          </w:p>
        </w:tc>
        <w:tc>
          <w:tcPr>
            <w:tcW w:w="603" w:type="pct"/>
            <w:vAlign w:val="center"/>
          </w:tcPr>
          <w:p w14:paraId="2D3D7DE1">
            <w:pPr>
              <w:pStyle w:val="31"/>
              <w:bidi w:val="0"/>
              <w:jc w:val="center"/>
              <w:rPr>
                <w:rFonts w:hint="default"/>
                <w:lang w:val="en-US" w:eastAsia="zh-CN"/>
              </w:rPr>
            </w:pPr>
            <w:r>
              <w:rPr>
                <w:rFonts w:hint="eastAsia"/>
                <w:lang w:val="en-US" w:eastAsia="zh-CN"/>
              </w:rPr>
              <w:t>0</w:t>
            </w:r>
          </w:p>
        </w:tc>
        <w:tc>
          <w:tcPr>
            <w:tcW w:w="703" w:type="pct"/>
            <w:vAlign w:val="center"/>
          </w:tcPr>
          <w:p w14:paraId="154ABABD">
            <w:pPr>
              <w:pStyle w:val="31"/>
              <w:bidi w:val="0"/>
              <w:jc w:val="center"/>
              <w:rPr>
                <w:rFonts w:hint="default"/>
                <w:lang w:val="en-US" w:eastAsia="zh-CN"/>
              </w:rPr>
            </w:pPr>
            <w:r>
              <w:rPr>
                <w:rFonts w:hint="eastAsia"/>
                <w:lang w:val="en-US" w:eastAsia="zh-CN"/>
              </w:rPr>
              <w:t>0.2</w:t>
            </w:r>
          </w:p>
        </w:tc>
        <w:tc>
          <w:tcPr>
            <w:tcW w:w="543" w:type="pct"/>
            <w:vAlign w:val="center"/>
          </w:tcPr>
          <w:p w14:paraId="72CD2AAE">
            <w:pPr>
              <w:pStyle w:val="31"/>
              <w:bidi w:val="0"/>
              <w:jc w:val="center"/>
              <w:rPr>
                <w:rFonts w:hint="default"/>
                <w:lang w:val="en-US" w:eastAsia="zh-CN"/>
              </w:rPr>
            </w:pPr>
            <w:r>
              <w:rPr>
                <w:rFonts w:hint="eastAsia"/>
                <w:lang w:val="en-US" w:eastAsia="zh-CN"/>
              </w:rPr>
              <w:t>0</w:t>
            </w:r>
          </w:p>
        </w:tc>
      </w:tr>
      <w:tr w14:paraId="63A8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277D6D3D">
            <w:pPr>
              <w:pStyle w:val="31"/>
              <w:bidi w:val="0"/>
              <w:jc w:val="center"/>
              <w:rPr>
                <w:rFonts w:hint="eastAsia"/>
                <w:lang w:val="en-US" w:eastAsia="zh-CN"/>
              </w:rPr>
            </w:pPr>
          </w:p>
        </w:tc>
        <w:tc>
          <w:tcPr>
            <w:tcW w:w="568" w:type="pct"/>
            <w:vMerge w:val="continue"/>
            <w:shd w:val="clear" w:color="auto" w:fill="auto"/>
            <w:vAlign w:val="center"/>
          </w:tcPr>
          <w:p w14:paraId="438DE992">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531C70E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含油抹布及手套</w:t>
            </w:r>
          </w:p>
        </w:tc>
        <w:tc>
          <w:tcPr>
            <w:tcW w:w="603" w:type="pct"/>
            <w:shd w:val="clear" w:color="auto" w:fill="auto"/>
            <w:vAlign w:val="center"/>
          </w:tcPr>
          <w:p w14:paraId="0CFAA6D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w:t>
            </w:r>
          </w:p>
        </w:tc>
        <w:tc>
          <w:tcPr>
            <w:tcW w:w="839" w:type="pct"/>
            <w:vAlign w:val="center"/>
          </w:tcPr>
          <w:p w14:paraId="159A6237">
            <w:pPr>
              <w:pStyle w:val="31"/>
              <w:bidi w:val="0"/>
              <w:jc w:val="center"/>
              <w:rPr>
                <w:rFonts w:hint="default"/>
                <w:lang w:val="en-US" w:eastAsia="zh-CN"/>
              </w:rPr>
            </w:pPr>
            <w:r>
              <w:rPr>
                <w:rFonts w:hint="eastAsia"/>
                <w:lang w:val="en-US" w:eastAsia="zh-CN"/>
              </w:rPr>
              <w:t>0</w:t>
            </w:r>
          </w:p>
        </w:tc>
        <w:tc>
          <w:tcPr>
            <w:tcW w:w="603" w:type="pct"/>
            <w:vAlign w:val="center"/>
          </w:tcPr>
          <w:p w14:paraId="084BB7F5">
            <w:pPr>
              <w:pStyle w:val="31"/>
              <w:bidi w:val="0"/>
              <w:jc w:val="center"/>
              <w:rPr>
                <w:rFonts w:hint="default"/>
                <w:lang w:val="en-US" w:eastAsia="zh-CN"/>
              </w:rPr>
            </w:pPr>
            <w:r>
              <w:rPr>
                <w:rFonts w:hint="eastAsia"/>
                <w:lang w:val="en-US" w:eastAsia="zh-CN"/>
              </w:rPr>
              <w:t>1</w:t>
            </w:r>
          </w:p>
        </w:tc>
        <w:tc>
          <w:tcPr>
            <w:tcW w:w="703" w:type="pct"/>
            <w:vAlign w:val="center"/>
          </w:tcPr>
          <w:p w14:paraId="76C8F5D3">
            <w:pPr>
              <w:pStyle w:val="31"/>
              <w:bidi w:val="0"/>
              <w:jc w:val="center"/>
              <w:rPr>
                <w:rFonts w:hint="default"/>
                <w:lang w:val="en-US" w:eastAsia="zh-CN"/>
              </w:rPr>
            </w:pPr>
            <w:r>
              <w:rPr>
                <w:rFonts w:hint="eastAsia"/>
                <w:lang w:val="en-US" w:eastAsia="zh-CN"/>
              </w:rPr>
              <w:t>1.1</w:t>
            </w:r>
          </w:p>
        </w:tc>
        <w:tc>
          <w:tcPr>
            <w:tcW w:w="543" w:type="pct"/>
            <w:vAlign w:val="center"/>
          </w:tcPr>
          <w:p w14:paraId="3D1A5DF0">
            <w:pPr>
              <w:pStyle w:val="31"/>
              <w:bidi w:val="0"/>
              <w:jc w:val="center"/>
              <w:rPr>
                <w:rFonts w:hint="default"/>
                <w:lang w:val="en-US" w:eastAsia="zh-CN"/>
              </w:rPr>
            </w:pPr>
            <w:r>
              <w:rPr>
                <w:rFonts w:hint="eastAsia"/>
                <w:lang w:val="en-US" w:eastAsia="zh-CN"/>
              </w:rPr>
              <w:t>+1</w:t>
            </w:r>
          </w:p>
        </w:tc>
      </w:tr>
      <w:tr w14:paraId="19768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1972637">
            <w:pPr>
              <w:pStyle w:val="31"/>
              <w:bidi w:val="0"/>
              <w:jc w:val="center"/>
              <w:rPr>
                <w:rFonts w:hint="eastAsia"/>
                <w:lang w:val="en-US" w:eastAsia="zh-CN"/>
              </w:rPr>
            </w:pPr>
          </w:p>
        </w:tc>
        <w:tc>
          <w:tcPr>
            <w:tcW w:w="568" w:type="pct"/>
            <w:vMerge w:val="continue"/>
            <w:shd w:val="clear" w:color="auto" w:fill="auto"/>
            <w:vAlign w:val="center"/>
          </w:tcPr>
          <w:p w14:paraId="78AEB971">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4414C86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废油（含残油、油泥）</w:t>
            </w:r>
          </w:p>
        </w:tc>
        <w:tc>
          <w:tcPr>
            <w:tcW w:w="603" w:type="pct"/>
            <w:shd w:val="clear" w:color="auto" w:fill="auto"/>
            <w:vAlign w:val="center"/>
          </w:tcPr>
          <w:p w14:paraId="3696B08C">
            <w:pPr>
              <w:pStyle w:val="31"/>
              <w:bidi w:val="0"/>
              <w:ind w:firstLine="0" w:firstLineChars="0"/>
              <w:jc w:val="center"/>
              <w:rPr>
                <w:rFonts w:hint="default"/>
                <w:lang w:val="en-US" w:eastAsia="zh-CN"/>
              </w:rPr>
            </w:pPr>
            <w:r>
              <w:rPr>
                <w:rFonts w:hint="eastAsia"/>
                <w:lang w:val="en-US" w:eastAsia="zh-CN"/>
              </w:rPr>
              <w:t>0</w:t>
            </w:r>
          </w:p>
        </w:tc>
        <w:tc>
          <w:tcPr>
            <w:tcW w:w="839" w:type="pct"/>
            <w:vAlign w:val="center"/>
          </w:tcPr>
          <w:p w14:paraId="32E28A32">
            <w:pPr>
              <w:pStyle w:val="31"/>
              <w:bidi w:val="0"/>
              <w:jc w:val="center"/>
              <w:rPr>
                <w:rFonts w:hint="default"/>
                <w:lang w:val="en-US" w:eastAsia="zh-CN"/>
              </w:rPr>
            </w:pPr>
            <w:r>
              <w:rPr>
                <w:rFonts w:hint="eastAsia"/>
                <w:lang w:val="en-US" w:eastAsia="zh-CN"/>
              </w:rPr>
              <w:t>0</w:t>
            </w:r>
          </w:p>
        </w:tc>
        <w:tc>
          <w:tcPr>
            <w:tcW w:w="603" w:type="pct"/>
            <w:vAlign w:val="center"/>
          </w:tcPr>
          <w:p w14:paraId="43A39773">
            <w:pPr>
              <w:pStyle w:val="31"/>
              <w:bidi w:val="0"/>
              <w:jc w:val="center"/>
              <w:rPr>
                <w:rFonts w:hint="default"/>
                <w:lang w:val="en-US" w:eastAsia="zh-CN"/>
              </w:rPr>
            </w:pPr>
            <w:r>
              <w:rPr>
                <w:rFonts w:hint="eastAsia"/>
                <w:lang w:val="en-US" w:eastAsia="zh-CN"/>
              </w:rPr>
              <w:t>0.195</w:t>
            </w:r>
          </w:p>
        </w:tc>
        <w:tc>
          <w:tcPr>
            <w:tcW w:w="703" w:type="pct"/>
            <w:shd w:val="clear" w:color="auto" w:fill="auto"/>
            <w:vAlign w:val="center"/>
          </w:tcPr>
          <w:p w14:paraId="45D95D37">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c>
          <w:tcPr>
            <w:tcW w:w="543" w:type="pct"/>
            <w:shd w:val="clear" w:color="auto" w:fill="auto"/>
            <w:vAlign w:val="center"/>
          </w:tcPr>
          <w:p w14:paraId="401B23F9">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lang w:val="en-US" w:eastAsia="zh-CN"/>
              </w:rPr>
              <w:t>+0.195</w:t>
            </w:r>
          </w:p>
        </w:tc>
      </w:tr>
      <w:tr w14:paraId="1C20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4D92DF5B">
            <w:pPr>
              <w:pStyle w:val="31"/>
              <w:bidi w:val="0"/>
              <w:jc w:val="center"/>
              <w:rPr>
                <w:rFonts w:hint="eastAsia"/>
                <w:lang w:val="en-US" w:eastAsia="zh-CN"/>
              </w:rPr>
            </w:pPr>
          </w:p>
        </w:tc>
        <w:tc>
          <w:tcPr>
            <w:tcW w:w="568" w:type="pct"/>
            <w:vMerge w:val="continue"/>
            <w:shd w:val="clear" w:color="auto" w:fill="auto"/>
            <w:vAlign w:val="center"/>
          </w:tcPr>
          <w:p w14:paraId="4B01892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975" w:type="pct"/>
            <w:shd w:val="clear" w:color="auto" w:fill="auto"/>
            <w:vAlign w:val="center"/>
          </w:tcPr>
          <w:p w14:paraId="42747A5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废铅蓄电池</w:t>
            </w:r>
          </w:p>
        </w:tc>
        <w:tc>
          <w:tcPr>
            <w:tcW w:w="603" w:type="pct"/>
            <w:shd w:val="clear" w:color="auto" w:fill="auto"/>
            <w:vAlign w:val="center"/>
          </w:tcPr>
          <w:p w14:paraId="0E16E5F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839" w:type="pct"/>
            <w:vAlign w:val="center"/>
          </w:tcPr>
          <w:p w14:paraId="434DA8B7">
            <w:pPr>
              <w:pStyle w:val="31"/>
              <w:bidi w:val="0"/>
              <w:jc w:val="center"/>
              <w:rPr>
                <w:rFonts w:hint="default"/>
                <w:lang w:val="en-US" w:eastAsia="zh-CN"/>
              </w:rPr>
            </w:pPr>
            <w:r>
              <w:rPr>
                <w:rFonts w:hint="eastAsia"/>
                <w:lang w:val="en-US" w:eastAsia="zh-CN"/>
              </w:rPr>
              <w:t>0</w:t>
            </w:r>
          </w:p>
        </w:tc>
        <w:tc>
          <w:tcPr>
            <w:tcW w:w="603" w:type="pct"/>
            <w:vAlign w:val="center"/>
          </w:tcPr>
          <w:p w14:paraId="07C2CBF3">
            <w:pPr>
              <w:pStyle w:val="31"/>
              <w:bidi w:val="0"/>
              <w:jc w:val="center"/>
              <w:rPr>
                <w:rFonts w:hint="default"/>
                <w:lang w:val="en-US" w:eastAsia="zh-CN"/>
              </w:rPr>
            </w:pPr>
            <w:r>
              <w:rPr>
                <w:rFonts w:hint="eastAsia"/>
                <w:lang w:val="en-US" w:eastAsia="zh-CN"/>
              </w:rPr>
              <w:t>0.142</w:t>
            </w:r>
          </w:p>
        </w:tc>
        <w:tc>
          <w:tcPr>
            <w:tcW w:w="703" w:type="pct"/>
            <w:shd w:val="clear" w:color="auto" w:fill="auto"/>
            <w:vAlign w:val="center"/>
          </w:tcPr>
          <w:p w14:paraId="57D48A2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c>
          <w:tcPr>
            <w:tcW w:w="543" w:type="pct"/>
            <w:shd w:val="clear" w:color="auto" w:fill="auto"/>
            <w:vAlign w:val="center"/>
          </w:tcPr>
          <w:p w14:paraId="29E0C47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+0.142</w:t>
            </w:r>
          </w:p>
        </w:tc>
      </w:tr>
      <w:tr w14:paraId="206D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17A3E69">
            <w:pPr>
              <w:pStyle w:val="31"/>
              <w:bidi w:val="0"/>
              <w:jc w:val="center"/>
              <w:rPr>
                <w:rFonts w:hint="eastAsia"/>
                <w:lang w:val="en-US" w:eastAsia="zh-CN"/>
              </w:rPr>
            </w:pPr>
          </w:p>
        </w:tc>
        <w:tc>
          <w:tcPr>
            <w:tcW w:w="568" w:type="pct"/>
            <w:vMerge w:val="continue"/>
            <w:vAlign w:val="center"/>
          </w:tcPr>
          <w:p w14:paraId="3733693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6AF2C4E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废油箱、油柜、油泵等含油容器</w:t>
            </w:r>
          </w:p>
        </w:tc>
        <w:tc>
          <w:tcPr>
            <w:tcW w:w="0" w:type="auto"/>
            <w:vAlign w:val="center"/>
          </w:tcPr>
          <w:p w14:paraId="6A79442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6E5EE591">
            <w:pPr>
              <w:pStyle w:val="31"/>
              <w:bidi w:val="0"/>
              <w:jc w:val="center"/>
              <w:rPr>
                <w:rFonts w:hint="default"/>
                <w:lang w:val="en-US" w:eastAsia="zh-CN"/>
              </w:rPr>
            </w:pPr>
            <w:r>
              <w:rPr>
                <w:rFonts w:hint="eastAsia"/>
                <w:lang w:val="en-US" w:eastAsia="zh-CN"/>
              </w:rPr>
              <w:t>0</w:t>
            </w:r>
          </w:p>
        </w:tc>
        <w:tc>
          <w:tcPr>
            <w:tcW w:w="0" w:type="auto"/>
            <w:vAlign w:val="center"/>
          </w:tcPr>
          <w:p w14:paraId="5C527C1E">
            <w:pPr>
              <w:pStyle w:val="31"/>
              <w:bidi w:val="0"/>
              <w:jc w:val="center"/>
              <w:rPr>
                <w:rFonts w:hint="default"/>
                <w:lang w:val="en-US" w:eastAsia="zh-CN"/>
              </w:rPr>
            </w:pPr>
            <w:r>
              <w:rPr>
                <w:rFonts w:hint="eastAsia"/>
                <w:lang w:val="en-US" w:eastAsia="zh-CN"/>
              </w:rPr>
              <w:t>0.106</w:t>
            </w:r>
          </w:p>
        </w:tc>
        <w:tc>
          <w:tcPr>
            <w:tcW w:w="0" w:type="auto"/>
            <w:shd w:val="clear" w:color="auto" w:fill="auto"/>
            <w:vAlign w:val="center"/>
          </w:tcPr>
          <w:p w14:paraId="30F941E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c>
          <w:tcPr>
            <w:tcW w:w="0" w:type="auto"/>
            <w:shd w:val="clear" w:color="auto" w:fill="auto"/>
            <w:vAlign w:val="center"/>
          </w:tcPr>
          <w:p w14:paraId="2F3290E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+0.106</w:t>
            </w:r>
          </w:p>
        </w:tc>
      </w:tr>
      <w:tr w14:paraId="45523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665F0E7F">
            <w:pPr>
              <w:pStyle w:val="31"/>
              <w:bidi w:val="0"/>
              <w:jc w:val="center"/>
              <w:rPr>
                <w:rFonts w:hint="eastAsia"/>
                <w:lang w:val="en-US" w:eastAsia="zh-CN"/>
              </w:rPr>
            </w:pPr>
          </w:p>
        </w:tc>
        <w:tc>
          <w:tcPr>
            <w:tcW w:w="568" w:type="pct"/>
            <w:vMerge w:val="continue"/>
            <w:vAlign w:val="center"/>
          </w:tcPr>
          <w:p w14:paraId="0D54C4C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24C277A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废石棉保温材料</w:t>
            </w:r>
          </w:p>
        </w:tc>
        <w:tc>
          <w:tcPr>
            <w:tcW w:w="0" w:type="auto"/>
            <w:vAlign w:val="center"/>
          </w:tcPr>
          <w:p w14:paraId="3D60725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5C707795">
            <w:pPr>
              <w:pStyle w:val="31"/>
              <w:bidi w:val="0"/>
              <w:jc w:val="center"/>
              <w:rPr>
                <w:rFonts w:hint="default"/>
                <w:lang w:val="en-US" w:eastAsia="zh-CN"/>
              </w:rPr>
            </w:pPr>
            <w:r>
              <w:rPr>
                <w:rFonts w:hint="eastAsia"/>
                <w:lang w:val="en-US" w:eastAsia="zh-CN"/>
              </w:rPr>
              <w:t>0</w:t>
            </w:r>
          </w:p>
        </w:tc>
        <w:tc>
          <w:tcPr>
            <w:tcW w:w="0" w:type="auto"/>
            <w:vAlign w:val="center"/>
          </w:tcPr>
          <w:p w14:paraId="2664A18E">
            <w:pPr>
              <w:pStyle w:val="31"/>
              <w:bidi w:val="0"/>
              <w:jc w:val="center"/>
              <w:rPr>
                <w:rFonts w:hint="default"/>
                <w:lang w:val="en-US" w:eastAsia="zh-CN"/>
              </w:rPr>
            </w:pPr>
            <w:r>
              <w:rPr>
                <w:rFonts w:hint="eastAsia"/>
                <w:lang w:val="en-US" w:eastAsia="zh-CN"/>
              </w:rPr>
              <w:t>0.038</w:t>
            </w:r>
          </w:p>
        </w:tc>
        <w:tc>
          <w:tcPr>
            <w:tcW w:w="0" w:type="auto"/>
            <w:shd w:val="clear" w:color="auto" w:fill="auto"/>
            <w:vAlign w:val="center"/>
          </w:tcPr>
          <w:p w14:paraId="2AF0C75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c>
          <w:tcPr>
            <w:tcW w:w="0" w:type="auto"/>
            <w:shd w:val="clear" w:color="auto" w:fill="auto"/>
            <w:vAlign w:val="center"/>
          </w:tcPr>
          <w:p w14:paraId="6982AFB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+0.038</w:t>
            </w:r>
          </w:p>
        </w:tc>
      </w:tr>
      <w:tr w14:paraId="65BEF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07FB1E7">
            <w:pPr>
              <w:pStyle w:val="31"/>
              <w:bidi w:val="0"/>
              <w:jc w:val="center"/>
              <w:rPr>
                <w:rFonts w:hint="eastAsia"/>
                <w:lang w:val="en-US" w:eastAsia="zh-CN"/>
              </w:rPr>
            </w:pPr>
          </w:p>
        </w:tc>
        <w:tc>
          <w:tcPr>
            <w:tcW w:w="568" w:type="pct"/>
            <w:vMerge w:val="continue"/>
            <w:vAlign w:val="center"/>
          </w:tcPr>
          <w:p w14:paraId="48C6AAAA">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6E98E64D">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废电路板及电子元器件</w:t>
            </w:r>
          </w:p>
        </w:tc>
        <w:tc>
          <w:tcPr>
            <w:tcW w:w="0" w:type="auto"/>
            <w:vAlign w:val="center"/>
          </w:tcPr>
          <w:p w14:paraId="3CB47A4B">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46DB6DD1">
            <w:pPr>
              <w:pStyle w:val="31"/>
              <w:bidi w:val="0"/>
              <w:jc w:val="center"/>
              <w:rPr>
                <w:rFonts w:hint="default"/>
                <w:lang w:val="en-US" w:eastAsia="zh-CN"/>
              </w:rPr>
            </w:pPr>
            <w:r>
              <w:rPr>
                <w:rFonts w:hint="eastAsia"/>
                <w:lang w:val="en-US" w:eastAsia="zh-CN"/>
              </w:rPr>
              <w:t>0</w:t>
            </w:r>
          </w:p>
        </w:tc>
        <w:tc>
          <w:tcPr>
            <w:tcW w:w="0" w:type="auto"/>
            <w:vAlign w:val="center"/>
          </w:tcPr>
          <w:p w14:paraId="78A70E3E">
            <w:pPr>
              <w:pStyle w:val="31"/>
              <w:bidi w:val="0"/>
              <w:jc w:val="center"/>
              <w:rPr>
                <w:rFonts w:hint="default"/>
                <w:lang w:val="en-US" w:eastAsia="zh-CN"/>
              </w:rPr>
            </w:pPr>
            <w:r>
              <w:rPr>
                <w:rFonts w:hint="eastAsia"/>
                <w:lang w:val="en-US" w:eastAsia="zh-CN"/>
              </w:rPr>
              <w:t>0.006</w:t>
            </w:r>
          </w:p>
        </w:tc>
        <w:tc>
          <w:tcPr>
            <w:tcW w:w="0" w:type="auto"/>
            <w:shd w:val="clear" w:color="auto" w:fill="auto"/>
            <w:vAlign w:val="center"/>
          </w:tcPr>
          <w:p w14:paraId="7DC64FD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0" w:type="auto"/>
            <w:shd w:val="clear" w:color="auto" w:fill="auto"/>
            <w:vAlign w:val="center"/>
          </w:tcPr>
          <w:p w14:paraId="01A72F6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r>
      <w:tr w14:paraId="16AD9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50416C25">
            <w:pPr>
              <w:pStyle w:val="31"/>
              <w:bidi w:val="0"/>
              <w:jc w:val="center"/>
              <w:rPr>
                <w:rFonts w:hint="eastAsia"/>
                <w:lang w:val="en-US" w:eastAsia="zh-CN"/>
              </w:rPr>
            </w:pPr>
          </w:p>
        </w:tc>
        <w:tc>
          <w:tcPr>
            <w:tcW w:w="568" w:type="pct"/>
            <w:vMerge w:val="continue"/>
            <w:vAlign w:val="center"/>
          </w:tcPr>
          <w:p w14:paraId="395D9F9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5987552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废空调制冷剂</w:t>
            </w:r>
          </w:p>
        </w:tc>
        <w:tc>
          <w:tcPr>
            <w:tcW w:w="0" w:type="auto"/>
            <w:vAlign w:val="center"/>
          </w:tcPr>
          <w:p w14:paraId="1A279F01">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29F02814">
            <w:pPr>
              <w:pStyle w:val="31"/>
              <w:bidi w:val="0"/>
              <w:jc w:val="center"/>
              <w:rPr>
                <w:rFonts w:hint="default"/>
                <w:lang w:val="en-US" w:eastAsia="zh-CN"/>
              </w:rPr>
            </w:pPr>
            <w:r>
              <w:rPr>
                <w:rFonts w:hint="eastAsia"/>
                <w:lang w:val="en-US" w:eastAsia="zh-CN"/>
              </w:rPr>
              <w:t>0</w:t>
            </w:r>
          </w:p>
        </w:tc>
        <w:tc>
          <w:tcPr>
            <w:tcW w:w="0" w:type="auto"/>
            <w:vAlign w:val="center"/>
          </w:tcPr>
          <w:p w14:paraId="323F4149">
            <w:pPr>
              <w:pStyle w:val="31"/>
              <w:bidi w:val="0"/>
              <w:jc w:val="center"/>
              <w:rPr>
                <w:rFonts w:hint="default"/>
                <w:lang w:val="en-US" w:eastAsia="zh-CN"/>
              </w:rPr>
            </w:pPr>
            <w:r>
              <w:rPr>
                <w:rFonts w:hint="eastAsia"/>
                <w:lang w:val="en-US" w:eastAsia="zh-CN"/>
              </w:rPr>
              <w:t>0.006</w:t>
            </w:r>
          </w:p>
        </w:tc>
        <w:tc>
          <w:tcPr>
            <w:tcW w:w="0" w:type="auto"/>
            <w:shd w:val="clear" w:color="auto" w:fill="auto"/>
            <w:vAlign w:val="center"/>
          </w:tcPr>
          <w:p w14:paraId="2E583195">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c>
          <w:tcPr>
            <w:tcW w:w="0" w:type="auto"/>
            <w:shd w:val="clear" w:color="auto" w:fill="auto"/>
            <w:vAlign w:val="center"/>
          </w:tcPr>
          <w:p w14:paraId="3B12FDB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+0.006</w:t>
            </w:r>
          </w:p>
        </w:tc>
      </w:tr>
      <w:tr w14:paraId="3A94E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3D6BA4E6">
            <w:pPr>
              <w:pStyle w:val="31"/>
              <w:bidi w:val="0"/>
              <w:jc w:val="center"/>
              <w:rPr>
                <w:rFonts w:hint="eastAsia"/>
                <w:lang w:val="en-US" w:eastAsia="zh-CN"/>
              </w:rPr>
            </w:pPr>
          </w:p>
        </w:tc>
        <w:tc>
          <w:tcPr>
            <w:tcW w:w="568" w:type="pct"/>
            <w:vMerge w:val="continue"/>
            <w:vAlign w:val="center"/>
          </w:tcPr>
          <w:p w14:paraId="3BE215B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3190932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含汞灯管</w:t>
            </w:r>
          </w:p>
        </w:tc>
        <w:tc>
          <w:tcPr>
            <w:tcW w:w="0" w:type="auto"/>
            <w:vAlign w:val="center"/>
          </w:tcPr>
          <w:p w14:paraId="09404CB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552948B9">
            <w:pPr>
              <w:pStyle w:val="31"/>
              <w:bidi w:val="0"/>
              <w:jc w:val="center"/>
              <w:rPr>
                <w:rFonts w:hint="default"/>
                <w:lang w:val="en-US" w:eastAsia="zh-CN"/>
              </w:rPr>
            </w:pPr>
            <w:r>
              <w:rPr>
                <w:rFonts w:hint="eastAsia"/>
                <w:lang w:val="en-US" w:eastAsia="zh-CN"/>
              </w:rPr>
              <w:t>0</w:t>
            </w:r>
          </w:p>
        </w:tc>
        <w:tc>
          <w:tcPr>
            <w:tcW w:w="0" w:type="auto"/>
            <w:vAlign w:val="center"/>
          </w:tcPr>
          <w:p w14:paraId="6DE631BD">
            <w:pPr>
              <w:pStyle w:val="31"/>
              <w:bidi w:val="0"/>
              <w:jc w:val="center"/>
              <w:rPr>
                <w:rFonts w:hint="default"/>
                <w:lang w:val="en-US" w:eastAsia="zh-CN"/>
              </w:rPr>
            </w:pPr>
            <w:r>
              <w:rPr>
                <w:rFonts w:hint="eastAsia"/>
                <w:lang w:val="en-US" w:eastAsia="zh-CN"/>
              </w:rPr>
              <w:t>0.003</w:t>
            </w:r>
          </w:p>
        </w:tc>
        <w:tc>
          <w:tcPr>
            <w:tcW w:w="0" w:type="auto"/>
            <w:shd w:val="clear" w:color="auto" w:fill="auto"/>
            <w:vAlign w:val="center"/>
          </w:tcPr>
          <w:p w14:paraId="6F6295D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c>
          <w:tcPr>
            <w:tcW w:w="0" w:type="auto"/>
            <w:shd w:val="clear" w:color="auto" w:fill="auto"/>
            <w:vAlign w:val="center"/>
          </w:tcPr>
          <w:p w14:paraId="53A8D9F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+0.003</w:t>
            </w:r>
          </w:p>
        </w:tc>
      </w:tr>
      <w:tr w14:paraId="4B7B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C21E1E2">
            <w:pPr>
              <w:pStyle w:val="31"/>
              <w:bidi w:val="0"/>
              <w:jc w:val="center"/>
              <w:rPr>
                <w:rFonts w:hint="eastAsia"/>
                <w:lang w:val="en-US" w:eastAsia="zh-CN"/>
              </w:rPr>
            </w:pPr>
          </w:p>
        </w:tc>
        <w:tc>
          <w:tcPr>
            <w:tcW w:w="568" w:type="pct"/>
            <w:vMerge w:val="continue"/>
            <w:vAlign w:val="center"/>
          </w:tcPr>
          <w:p w14:paraId="172FA209">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490314E8">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废燃料油</w:t>
            </w:r>
          </w:p>
        </w:tc>
        <w:tc>
          <w:tcPr>
            <w:tcW w:w="0" w:type="auto"/>
            <w:vAlign w:val="center"/>
          </w:tcPr>
          <w:p w14:paraId="38FDEEA6">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4CF8820E">
            <w:pPr>
              <w:pStyle w:val="31"/>
              <w:bidi w:val="0"/>
              <w:jc w:val="center"/>
              <w:rPr>
                <w:rFonts w:hint="default"/>
                <w:lang w:val="en-US" w:eastAsia="zh-CN"/>
              </w:rPr>
            </w:pPr>
            <w:r>
              <w:rPr>
                <w:rFonts w:hint="eastAsia"/>
                <w:lang w:val="en-US" w:eastAsia="zh-CN"/>
              </w:rPr>
              <w:t>0</w:t>
            </w:r>
          </w:p>
        </w:tc>
        <w:tc>
          <w:tcPr>
            <w:tcW w:w="0" w:type="auto"/>
            <w:vAlign w:val="center"/>
          </w:tcPr>
          <w:p w14:paraId="1E994DA9">
            <w:pPr>
              <w:pStyle w:val="31"/>
              <w:bidi w:val="0"/>
              <w:jc w:val="center"/>
              <w:rPr>
                <w:rFonts w:hint="default"/>
                <w:lang w:val="en-US" w:eastAsia="zh-CN"/>
              </w:rPr>
            </w:pPr>
            <w:r>
              <w:rPr>
                <w:rFonts w:hint="eastAsia"/>
                <w:lang w:val="en-US" w:eastAsia="zh-CN"/>
              </w:rPr>
              <w:t>1.35</w:t>
            </w:r>
          </w:p>
        </w:tc>
        <w:tc>
          <w:tcPr>
            <w:tcW w:w="0" w:type="auto"/>
            <w:shd w:val="clear" w:color="auto" w:fill="auto"/>
            <w:vAlign w:val="center"/>
          </w:tcPr>
          <w:p w14:paraId="5E732590">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c>
          <w:tcPr>
            <w:tcW w:w="0" w:type="auto"/>
            <w:shd w:val="clear" w:color="auto" w:fill="auto"/>
            <w:vAlign w:val="center"/>
          </w:tcPr>
          <w:p w14:paraId="3904F05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+1.35</w:t>
            </w:r>
          </w:p>
        </w:tc>
      </w:tr>
      <w:tr w14:paraId="12C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06442A4">
            <w:pPr>
              <w:pStyle w:val="31"/>
              <w:bidi w:val="0"/>
              <w:jc w:val="center"/>
              <w:rPr>
                <w:rFonts w:hint="eastAsia"/>
                <w:lang w:val="en-US" w:eastAsia="zh-CN"/>
              </w:rPr>
            </w:pPr>
          </w:p>
        </w:tc>
        <w:tc>
          <w:tcPr>
            <w:tcW w:w="568" w:type="pct"/>
            <w:vMerge w:val="continue"/>
            <w:vAlign w:val="center"/>
          </w:tcPr>
          <w:p w14:paraId="2E5CE36E">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2846F883">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废水处理站废油、污泥</w:t>
            </w:r>
          </w:p>
        </w:tc>
        <w:tc>
          <w:tcPr>
            <w:tcW w:w="0" w:type="auto"/>
            <w:vAlign w:val="center"/>
          </w:tcPr>
          <w:p w14:paraId="50BA6B6F">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0B70B3F8">
            <w:pPr>
              <w:pStyle w:val="31"/>
              <w:bidi w:val="0"/>
              <w:jc w:val="center"/>
              <w:rPr>
                <w:rFonts w:hint="default"/>
                <w:lang w:val="en-US" w:eastAsia="zh-CN"/>
              </w:rPr>
            </w:pPr>
            <w:r>
              <w:rPr>
                <w:rFonts w:hint="eastAsia"/>
                <w:lang w:val="en-US" w:eastAsia="zh-CN"/>
              </w:rPr>
              <w:t>0</w:t>
            </w:r>
          </w:p>
        </w:tc>
        <w:tc>
          <w:tcPr>
            <w:tcW w:w="0" w:type="auto"/>
            <w:vAlign w:val="center"/>
          </w:tcPr>
          <w:p w14:paraId="5BC25D4B">
            <w:pPr>
              <w:pStyle w:val="31"/>
              <w:bidi w:val="0"/>
              <w:jc w:val="center"/>
              <w:rPr>
                <w:rFonts w:hint="default"/>
                <w:lang w:val="en-US" w:eastAsia="zh-CN"/>
              </w:rPr>
            </w:pPr>
            <w:r>
              <w:rPr>
                <w:rFonts w:hint="eastAsia"/>
                <w:lang w:val="en-US" w:eastAsia="zh-CN"/>
              </w:rPr>
              <w:t>64.34</w:t>
            </w:r>
          </w:p>
        </w:tc>
        <w:tc>
          <w:tcPr>
            <w:tcW w:w="0" w:type="auto"/>
            <w:shd w:val="clear" w:color="auto" w:fill="auto"/>
            <w:vAlign w:val="center"/>
          </w:tcPr>
          <w:p w14:paraId="5E36E384">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c>
          <w:tcPr>
            <w:tcW w:w="0" w:type="auto"/>
            <w:shd w:val="clear" w:color="auto" w:fill="auto"/>
            <w:vAlign w:val="center"/>
          </w:tcPr>
          <w:p w14:paraId="411282EC">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r>
              <w:rPr>
                <w:rFonts w:hint="eastAsia"/>
                <w:lang w:val="en-US" w:eastAsia="zh-CN"/>
              </w:rPr>
              <w:t>+64.34</w:t>
            </w:r>
          </w:p>
        </w:tc>
      </w:tr>
      <w:tr w14:paraId="48116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c>
          <w:tcPr>
            <w:tcW w:w="164" w:type="pct"/>
            <w:vMerge w:val="continue"/>
            <w:vAlign w:val="center"/>
          </w:tcPr>
          <w:p w14:paraId="0256D52E">
            <w:pPr>
              <w:pStyle w:val="31"/>
              <w:bidi w:val="0"/>
              <w:jc w:val="center"/>
              <w:rPr>
                <w:rFonts w:hint="eastAsia"/>
                <w:lang w:val="en-US" w:eastAsia="zh-CN"/>
              </w:rPr>
            </w:pPr>
          </w:p>
        </w:tc>
        <w:tc>
          <w:tcPr>
            <w:tcW w:w="568" w:type="pct"/>
            <w:vMerge w:val="continue"/>
            <w:vAlign w:val="center"/>
          </w:tcPr>
          <w:p w14:paraId="6082A9D2">
            <w:pPr>
              <w:pStyle w:val="31"/>
              <w:bidi w:val="0"/>
              <w:ind w:firstLine="0" w:firstLineChars="0"/>
              <w:jc w:val="center"/>
              <w:rPr>
                <w:rFonts w:hint="default" w:ascii="Times New Roman" w:hAnsi="Times New Roman" w:eastAsia="宋体" w:cstheme="minorBidi"/>
                <w:kern w:val="2"/>
                <w:sz w:val="21"/>
                <w:szCs w:val="21"/>
                <w:lang w:val="en-US" w:eastAsia="zh-CN" w:bidi="ar-SA"/>
                <w14:ligatures w14:val="standardContextual"/>
              </w:rPr>
            </w:pPr>
          </w:p>
        </w:tc>
        <w:tc>
          <w:tcPr>
            <w:tcW w:w="0" w:type="auto"/>
            <w:shd w:val="clear" w:color="auto" w:fill="auto"/>
            <w:vAlign w:val="center"/>
          </w:tcPr>
          <w:p w14:paraId="60A4A0A8">
            <w:pPr>
              <w:pStyle w:val="31"/>
              <w:bidi w:val="0"/>
              <w:ind w:firstLine="0" w:firstLineChars="0"/>
              <w:jc w:val="center"/>
              <w:rPr>
                <w:rFonts w:hint="eastAsia" w:ascii="Times New Roman" w:hAnsi="Times New Roman" w:eastAsia="宋体"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废活性炭</w:t>
            </w:r>
          </w:p>
        </w:tc>
        <w:tc>
          <w:tcPr>
            <w:tcW w:w="0" w:type="auto"/>
            <w:vAlign w:val="center"/>
          </w:tcPr>
          <w:p w14:paraId="4952770E">
            <w:pPr>
              <w:pStyle w:val="31"/>
              <w:bidi w:val="0"/>
              <w:ind w:firstLine="0" w:firstLineChars="0"/>
              <w:jc w:val="center"/>
              <w:rPr>
                <w:rFonts w:hint="default" w:cstheme="minorBidi"/>
                <w:kern w:val="2"/>
                <w:sz w:val="21"/>
                <w:szCs w:val="21"/>
                <w:lang w:val="en-US" w:eastAsia="zh-CN" w:bidi="ar-SA"/>
                <w14:ligatures w14:val="standardContextual"/>
              </w:rPr>
            </w:pPr>
            <w:r>
              <w:rPr>
                <w:rFonts w:hint="eastAsia" w:cstheme="minorBidi"/>
                <w:kern w:val="2"/>
                <w:sz w:val="21"/>
                <w:szCs w:val="21"/>
                <w:lang w:val="en-US" w:eastAsia="zh-CN" w:bidi="ar-SA"/>
                <w14:ligatures w14:val="standardContextual"/>
              </w:rPr>
              <w:t>0</w:t>
            </w:r>
          </w:p>
        </w:tc>
        <w:tc>
          <w:tcPr>
            <w:tcW w:w="0" w:type="auto"/>
            <w:vAlign w:val="center"/>
          </w:tcPr>
          <w:p w14:paraId="4918E717">
            <w:pPr>
              <w:pStyle w:val="31"/>
              <w:bidi w:val="0"/>
              <w:jc w:val="center"/>
              <w:rPr>
                <w:rFonts w:hint="default"/>
                <w:lang w:val="en-US" w:eastAsia="zh-CN"/>
              </w:rPr>
            </w:pPr>
            <w:r>
              <w:rPr>
                <w:rFonts w:hint="eastAsia"/>
                <w:lang w:val="en-US" w:eastAsia="zh-CN"/>
              </w:rPr>
              <w:t>0</w:t>
            </w:r>
          </w:p>
        </w:tc>
        <w:tc>
          <w:tcPr>
            <w:tcW w:w="0" w:type="auto"/>
            <w:vAlign w:val="center"/>
          </w:tcPr>
          <w:p w14:paraId="700C3E2D">
            <w:pPr>
              <w:pStyle w:val="31"/>
              <w:bidi w:val="0"/>
              <w:jc w:val="center"/>
              <w:rPr>
                <w:rFonts w:hint="default"/>
                <w:lang w:val="en-US" w:eastAsia="zh-CN"/>
              </w:rPr>
            </w:pPr>
            <w:r>
              <w:rPr>
                <w:rFonts w:hint="eastAsia"/>
                <w:lang w:val="en-US" w:eastAsia="zh-CN"/>
              </w:rPr>
              <w:t>0.2</w:t>
            </w:r>
          </w:p>
        </w:tc>
        <w:tc>
          <w:tcPr>
            <w:tcW w:w="0" w:type="auto"/>
            <w:shd w:val="clear" w:color="auto" w:fill="auto"/>
            <w:vAlign w:val="center"/>
          </w:tcPr>
          <w:p w14:paraId="7201F7D0">
            <w:pPr>
              <w:pStyle w:val="31"/>
              <w:bidi w:val="0"/>
              <w:ind w:firstLine="0" w:firstLineChars="0"/>
              <w:jc w:val="center"/>
              <w:rPr>
                <w:rFonts w:hint="default"/>
                <w:lang w:val="en-US" w:eastAsia="zh-CN"/>
              </w:rPr>
            </w:pPr>
            <w:r>
              <w:rPr>
                <w:rFonts w:hint="eastAsia"/>
                <w:lang w:val="en-US" w:eastAsia="zh-CN"/>
              </w:rPr>
              <w:t>0.2</w:t>
            </w:r>
          </w:p>
        </w:tc>
        <w:tc>
          <w:tcPr>
            <w:tcW w:w="0" w:type="auto"/>
            <w:shd w:val="clear" w:color="auto" w:fill="auto"/>
            <w:vAlign w:val="center"/>
          </w:tcPr>
          <w:p w14:paraId="39B971B9">
            <w:pPr>
              <w:pStyle w:val="31"/>
              <w:bidi w:val="0"/>
              <w:ind w:firstLine="0" w:firstLineChars="0"/>
              <w:jc w:val="center"/>
              <w:rPr>
                <w:rFonts w:hint="default"/>
                <w:lang w:val="en-US" w:eastAsia="zh-CN"/>
              </w:rPr>
            </w:pPr>
            <w:r>
              <w:rPr>
                <w:rFonts w:hint="eastAsia"/>
                <w:lang w:val="en-US" w:eastAsia="zh-CN"/>
              </w:rPr>
              <w:t>+0.2</w:t>
            </w:r>
          </w:p>
        </w:tc>
      </w:tr>
    </w:tbl>
    <w:p w14:paraId="1C28D4AF">
      <w:pPr>
        <w:pStyle w:val="21"/>
        <w:ind w:firstLine="480"/>
      </w:pPr>
    </w:p>
    <w:p w14:paraId="590878F2">
      <w:pPr>
        <w:pStyle w:val="28"/>
      </w:pPr>
      <w:bookmarkStart w:id="201" w:name="_Toc15076"/>
      <w:r>
        <w:rPr>
          <w:rFonts w:hint="eastAsia"/>
        </w:rPr>
        <w:t>8.3环境监测计划</w:t>
      </w:r>
      <w:bookmarkEnd w:id="201"/>
    </w:p>
    <w:p w14:paraId="03E7AF09">
      <w:pPr>
        <w:pStyle w:val="33"/>
      </w:pPr>
      <w:bookmarkStart w:id="202" w:name="_Toc29901874"/>
      <w:bookmarkStart w:id="203" w:name="_Toc70"/>
      <w:bookmarkStart w:id="204" w:name="_Toc20221"/>
      <w:r>
        <w:rPr>
          <w:rFonts w:hint="eastAsia"/>
        </w:rPr>
        <w:t>8.3.1监测要求和内容</w:t>
      </w:r>
      <w:bookmarkEnd w:id="202"/>
      <w:bookmarkEnd w:id="203"/>
      <w:bookmarkEnd w:id="204"/>
    </w:p>
    <w:p w14:paraId="6A329F38">
      <w:pPr>
        <w:pStyle w:val="21"/>
        <w:ind w:firstLine="480"/>
      </w:pPr>
      <w:r>
        <w:rPr>
          <w:rFonts w:hint="eastAsia"/>
        </w:rPr>
        <w:t>环境监测是环境保护的基本手段，也是掌握环境污染状况，制定环境质量的重要手段。因此负责环境管理人员的另一项任务是负责环境监测工作，主要负责与环保管理部门联系，安排监测时间、监测项目、统计监测结果，分析污染物排放变化规律，研究降低污染对策等，作为企业防治环境污染和治理措施提供必要的依据，同时也是企业环境保护资料统计上报、查阅、管理等必须做的工作内容之一</w:t>
      </w:r>
      <w:r>
        <w:t>。</w:t>
      </w:r>
    </w:p>
    <w:p w14:paraId="331314F7">
      <w:pPr>
        <w:pStyle w:val="33"/>
      </w:pPr>
      <w:bookmarkStart w:id="205" w:name="_Toc31252"/>
      <w:bookmarkStart w:id="206" w:name="_Toc29901875"/>
      <w:bookmarkStart w:id="207" w:name="_Toc26527"/>
      <w:r>
        <w:rPr>
          <w:rFonts w:hint="eastAsia"/>
        </w:rPr>
        <w:t>8.3.2 环境监测计划</w:t>
      </w:r>
      <w:bookmarkEnd w:id="205"/>
      <w:bookmarkEnd w:id="206"/>
      <w:bookmarkEnd w:id="207"/>
    </w:p>
    <w:p w14:paraId="7E18179A">
      <w:pPr>
        <w:pStyle w:val="21"/>
        <w:ind w:firstLine="480"/>
      </w:pPr>
      <w:r>
        <w:t>（1）污染物排放监测</w:t>
      </w:r>
    </w:p>
    <w:p w14:paraId="7D4E60E8">
      <w:pPr>
        <w:pStyle w:val="21"/>
        <w:ind w:firstLine="480"/>
      </w:pPr>
      <w:r>
        <w:t>本项目共设置1个废气排气筒、1个雨水排放口和1个污水排放口，参照《排污单位自行监测技术指南 总则》(HJ819-2017)、《排污许可证申请与核发技术规范 废弃资源加工工业》（HT 1034-2019）、《排污许可证申请与核发技术规范 铁路船舶航空航天和其他运输设备》（HJ 1124-2020），建设单位应对项目排放的废气、废水、厂界噪声进行自行监测。</w:t>
      </w:r>
    </w:p>
    <w:p w14:paraId="42E8AF20">
      <w:pPr>
        <w:pStyle w:val="21"/>
        <w:ind w:firstLine="480"/>
      </w:pPr>
      <w:r>
        <w:t>采样口及采样平台应按《固定污染源排气中颗粒物测定与气态污染物采样方法》（</w:t>
      </w:r>
      <w:r>
        <w:rPr>
          <w:rFonts w:eastAsia="TimesNewRoman"/>
        </w:rPr>
        <w:t>GB/T16157-1996</w:t>
      </w:r>
      <w:r>
        <w:t>）及《固定源废气监测技术规范》（</w:t>
      </w:r>
      <w:r>
        <w:rPr>
          <w:rFonts w:eastAsia="TimesNewRoman"/>
        </w:rPr>
        <w:t>HJ/T397-2007</w:t>
      </w:r>
      <w:r>
        <w:t>）等标准规范要求进行；无组织排放源监测按照《大气污染物无组织排放监测技术导则》（</w:t>
      </w:r>
      <w:r>
        <w:rPr>
          <w:rFonts w:eastAsia="TimesNewRoman"/>
        </w:rPr>
        <w:t>HJ/T55-2000</w:t>
      </w:r>
      <w:r>
        <w:t>）中的相关要求进行设置。</w:t>
      </w:r>
    </w:p>
    <w:p w14:paraId="7393286D">
      <w:pPr>
        <w:pStyle w:val="21"/>
        <w:ind w:firstLine="480"/>
      </w:pPr>
      <w:r>
        <w:t>项目废气监测计划详见下表。</w:t>
      </w:r>
    </w:p>
    <w:p w14:paraId="6F82DA93">
      <w:pPr>
        <w:pStyle w:val="23"/>
      </w:pPr>
      <w:r>
        <w:t>表</w:t>
      </w:r>
      <w:r>
        <w:rPr>
          <w:rFonts w:hint="eastAsia"/>
        </w:rPr>
        <w:t>8</w:t>
      </w:r>
      <w:r>
        <w:t>.</w:t>
      </w:r>
      <w:r>
        <w:rPr>
          <w:rFonts w:hint="eastAsia"/>
        </w:rPr>
        <w:t>3</w:t>
      </w:r>
      <w:r>
        <w:t>-1 废气污染源自行监测方案</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1090"/>
        <w:gridCol w:w="1942"/>
        <w:gridCol w:w="1298"/>
        <w:gridCol w:w="1109"/>
        <w:gridCol w:w="2117"/>
      </w:tblGrid>
      <w:tr w14:paraId="5101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564" w:type="pct"/>
            <w:vAlign w:val="center"/>
          </w:tcPr>
          <w:p w14:paraId="0A0838B6">
            <w:pPr>
              <w:pStyle w:val="31"/>
            </w:pPr>
            <w:r>
              <w:t>类别</w:t>
            </w:r>
          </w:p>
        </w:tc>
        <w:tc>
          <w:tcPr>
            <w:tcW w:w="640" w:type="pct"/>
            <w:vAlign w:val="center"/>
          </w:tcPr>
          <w:p w14:paraId="7874429B">
            <w:pPr>
              <w:pStyle w:val="31"/>
            </w:pPr>
            <w:r>
              <w:t>监测点位</w:t>
            </w:r>
          </w:p>
        </w:tc>
        <w:tc>
          <w:tcPr>
            <w:tcW w:w="1140" w:type="pct"/>
            <w:vAlign w:val="center"/>
          </w:tcPr>
          <w:p w14:paraId="1F2C1FC2">
            <w:pPr>
              <w:pStyle w:val="31"/>
            </w:pPr>
            <w:r>
              <w:t>监测指标</w:t>
            </w:r>
          </w:p>
        </w:tc>
        <w:tc>
          <w:tcPr>
            <w:tcW w:w="762" w:type="pct"/>
            <w:vAlign w:val="center"/>
          </w:tcPr>
          <w:p w14:paraId="7ACB1B3B">
            <w:pPr>
              <w:pStyle w:val="31"/>
            </w:pPr>
            <w:r>
              <w:t>监测设施</w:t>
            </w:r>
          </w:p>
        </w:tc>
        <w:tc>
          <w:tcPr>
            <w:tcW w:w="651" w:type="pct"/>
            <w:vAlign w:val="center"/>
          </w:tcPr>
          <w:p w14:paraId="5CE0AAC1">
            <w:pPr>
              <w:pStyle w:val="31"/>
            </w:pPr>
            <w:r>
              <w:t>监测频次</w:t>
            </w:r>
          </w:p>
        </w:tc>
        <w:tc>
          <w:tcPr>
            <w:tcW w:w="1242" w:type="pct"/>
            <w:vAlign w:val="center"/>
          </w:tcPr>
          <w:p w14:paraId="3203A5ED">
            <w:pPr>
              <w:pStyle w:val="31"/>
            </w:pPr>
            <w:r>
              <w:t>执行标准</w:t>
            </w:r>
          </w:p>
        </w:tc>
      </w:tr>
      <w:tr w14:paraId="3DF43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564" w:type="pct"/>
            <w:vAlign w:val="center"/>
          </w:tcPr>
          <w:p w14:paraId="370AE3B8">
            <w:pPr>
              <w:pStyle w:val="31"/>
            </w:pPr>
            <w:r>
              <w:t>无组织排放</w:t>
            </w:r>
          </w:p>
        </w:tc>
        <w:tc>
          <w:tcPr>
            <w:tcW w:w="640" w:type="pct"/>
            <w:vAlign w:val="center"/>
          </w:tcPr>
          <w:p w14:paraId="37CED479">
            <w:pPr>
              <w:pStyle w:val="31"/>
            </w:pPr>
            <w:r>
              <w:rPr>
                <w:rFonts w:hint="eastAsia"/>
              </w:rPr>
              <w:t>厂界</w:t>
            </w:r>
          </w:p>
        </w:tc>
        <w:tc>
          <w:tcPr>
            <w:tcW w:w="1140" w:type="pct"/>
            <w:vAlign w:val="center"/>
          </w:tcPr>
          <w:p w14:paraId="14B9FC81">
            <w:pPr>
              <w:pStyle w:val="31"/>
            </w:pPr>
            <w:r>
              <w:rPr>
                <w:rFonts w:hint="eastAsia"/>
              </w:rPr>
              <w:t>颗粒物、非甲烷总烃、甲苯、二甲苯</w:t>
            </w:r>
          </w:p>
        </w:tc>
        <w:tc>
          <w:tcPr>
            <w:tcW w:w="762" w:type="pct"/>
            <w:vAlign w:val="center"/>
          </w:tcPr>
          <w:p w14:paraId="3E188C79">
            <w:pPr>
              <w:pStyle w:val="31"/>
            </w:pPr>
            <w:r>
              <w:t>手工监测</w:t>
            </w:r>
          </w:p>
        </w:tc>
        <w:tc>
          <w:tcPr>
            <w:tcW w:w="651" w:type="pct"/>
            <w:vAlign w:val="center"/>
          </w:tcPr>
          <w:p w14:paraId="4ED1CCDB">
            <w:pPr>
              <w:pStyle w:val="31"/>
            </w:pPr>
            <w:r>
              <w:rPr>
                <w:color w:val="000000"/>
              </w:rPr>
              <w:t>1次/</w:t>
            </w:r>
            <w:r>
              <w:rPr>
                <w:rFonts w:hint="eastAsia"/>
                <w:color w:val="000000"/>
              </w:rPr>
              <w:t>年</w:t>
            </w:r>
          </w:p>
        </w:tc>
        <w:tc>
          <w:tcPr>
            <w:tcW w:w="1242" w:type="pct"/>
            <w:vAlign w:val="center"/>
          </w:tcPr>
          <w:p w14:paraId="61ACD1A9">
            <w:pPr>
              <w:pStyle w:val="31"/>
              <w:rPr>
                <w:color w:val="000000"/>
              </w:rPr>
            </w:pPr>
            <w:r>
              <w:t>《大气污染物综合排放标准》（GB16297-1996）</w:t>
            </w:r>
            <w:r>
              <w:rPr>
                <w:rFonts w:hint="eastAsia"/>
              </w:rPr>
              <w:t>表2中标准</w:t>
            </w:r>
          </w:p>
        </w:tc>
      </w:tr>
    </w:tbl>
    <w:p w14:paraId="346F6A45">
      <w:pPr>
        <w:pStyle w:val="21"/>
        <w:ind w:firstLine="480"/>
      </w:pPr>
      <w:r>
        <w:t>项目废水监测内容见下表</w:t>
      </w:r>
      <w:r>
        <w:rPr>
          <w:rFonts w:hint="eastAsia"/>
        </w:rPr>
        <w:t>。</w:t>
      </w:r>
    </w:p>
    <w:p w14:paraId="314CB4DB">
      <w:pPr>
        <w:pStyle w:val="23"/>
      </w:pPr>
      <w:r>
        <w:t>表</w:t>
      </w:r>
      <w:r>
        <w:rPr>
          <w:rFonts w:hint="eastAsia"/>
        </w:rPr>
        <w:t>8.3</w:t>
      </w:r>
      <w:r>
        <w:t>-2 废水监测计划表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1"/>
        <w:gridCol w:w="1753"/>
        <w:gridCol w:w="1162"/>
        <w:gridCol w:w="1162"/>
        <w:gridCol w:w="3159"/>
      </w:tblGrid>
      <w:tr w14:paraId="20508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752" w:type="pct"/>
            <w:tcBorders>
              <w:tl2br w:val="nil"/>
              <w:tr2bl w:val="nil"/>
            </w:tcBorders>
            <w:vAlign w:val="center"/>
          </w:tcPr>
          <w:p w14:paraId="66C2FC97">
            <w:pPr>
              <w:pStyle w:val="31"/>
            </w:pPr>
            <w:r>
              <w:t>监测点位</w:t>
            </w:r>
          </w:p>
        </w:tc>
        <w:tc>
          <w:tcPr>
            <w:tcW w:w="1029" w:type="pct"/>
            <w:tcBorders>
              <w:tl2br w:val="nil"/>
              <w:tr2bl w:val="nil"/>
            </w:tcBorders>
            <w:vAlign w:val="center"/>
          </w:tcPr>
          <w:p w14:paraId="61610E30">
            <w:pPr>
              <w:pStyle w:val="31"/>
            </w:pPr>
            <w:r>
              <w:t>监测指标</w:t>
            </w:r>
          </w:p>
        </w:tc>
        <w:tc>
          <w:tcPr>
            <w:tcW w:w="682" w:type="pct"/>
            <w:tcBorders>
              <w:tl2br w:val="nil"/>
              <w:tr2bl w:val="nil"/>
            </w:tcBorders>
            <w:vAlign w:val="center"/>
          </w:tcPr>
          <w:p w14:paraId="636A1F67">
            <w:pPr>
              <w:pStyle w:val="31"/>
            </w:pPr>
            <w:r>
              <w:t>监测设施</w:t>
            </w:r>
          </w:p>
        </w:tc>
        <w:tc>
          <w:tcPr>
            <w:tcW w:w="682" w:type="pct"/>
            <w:tcBorders>
              <w:tl2br w:val="nil"/>
              <w:tr2bl w:val="nil"/>
            </w:tcBorders>
            <w:vAlign w:val="center"/>
          </w:tcPr>
          <w:p w14:paraId="794395B2">
            <w:pPr>
              <w:pStyle w:val="31"/>
            </w:pPr>
            <w:r>
              <w:t>监测频次</w:t>
            </w:r>
          </w:p>
        </w:tc>
        <w:tc>
          <w:tcPr>
            <w:tcW w:w="1854" w:type="pct"/>
            <w:tcBorders>
              <w:tl2br w:val="nil"/>
              <w:tr2bl w:val="nil"/>
            </w:tcBorders>
            <w:vAlign w:val="center"/>
          </w:tcPr>
          <w:p w14:paraId="30D2C15B">
            <w:pPr>
              <w:pStyle w:val="31"/>
            </w:pPr>
            <w:r>
              <w:t>执行标准</w:t>
            </w:r>
          </w:p>
        </w:tc>
      </w:tr>
      <w:tr w14:paraId="6E8BA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752" w:type="pct"/>
            <w:tcBorders>
              <w:tl2br w:val="nil"/>
              <w:tr2bl w:val="nil"/>
            </w:tcBorders>
            <w:vAlign w:val="center"/>
          </w:tcPr>
          <w:p w14:paraId="4C080270">
            <w:pPr>
              <w:pStyle w:val="31"/>
            </w:pPr>
            <w:r>
              <w:t>废水总排口</w:t>
            </w:r>
          </w:p>
        </w:tc>
        <w:tc>
          <w:tcPr>
            <w:tcW w:w="1029" w:type="pct"/>
            <w:tcBorders>
              <w:tl2br w:val="nil"/>
              <w:tr2bl w:val="nil"/>
            </w:tcBorders>
            <w:vAlign w:val="center"/>
          </w:tcPr>
          <w:p w14:paraId="6A525F12">
            <w:pPr>
              <w:pStyle w:val="31"/>
            </w:pPr>
            <w:r>
              <w:rPr>
                <w:color w:val="000000"/>
                <w:kern w:val="0"/>
              </w:rPr>
              <w:t>流量、pH、COD、BOD</w:t>
            </w:r>
            <w:r>
              <w:rPr>
                <w:color w:val="000000"/>
                <w:kern w:val="0"/>
                <w:vertAlign w:val="subscript"/>
              </w:rPr>
              <w:t>5</w:t>
            </w:r>
            <w:r>
              <w:rPr>
                <w:color w:val="000000"/>
                <w:kern w:val="0"/>
              </w:rPr>
              <w:t>、氨氮、SS</w:t>
            </w:r>
            <w:r>
              <w:rPr>
                <w:rFonts w:hint="eastAsia"/>
                <w:color w:val="000000"/>
                <w:kern w:val="0"/>
              </w:rPr>
              <w:t>、石油类</w:t>
            </w:r>
          </w:p>
        </w:tc>
        <w:tc>
          <w:tcPr>
            <w:tcW w:w="682" w:type="pct"/>
            <w:tcBorders>
              <w:tl2br w:val="nil"/>
              <w:tr2bl w:val="nil"/>
            </w:tcBorders>
            <w:vAlign w:val="center"/>
          </w:tcPr>
          <w:p w14:paraId="75163451">
            <w:pPr>
              <w:pStyle w:val="31"/>
            </w:pPr>
            <w:r>
              <w:t>手工监测</w:t>
            </w:r>
          </w:p>
        </w:tc>
        <w:tc>
          <w:tcPr>
            <w:tcW w:w="682" w:type="pct"/>
            <w:tcBorders>
              <w:tl2br w:val="nil"/>
              <w:tr2bl w:val="nil"/>
            </w:tcBorders>
            <w:vAlign w:val="center"/>
          </w:tcPr>
          <w:p w14:paraId="6FE1EE26">
            <w:pPr>
              <w:pStyle w:val="31"/>
            </w:pPr>
            <w:r>
              <w:rPr>
                <w:color w:val="000000"/>
              </w:rPr>
              <w:t>1次/半年</w:t>
            </w:r>
          </w:p>
        </w:tc>
        <w:tc>
          <w:tcPr>
            <w:tcW w:w="1854" w:type="pct"/>
            <w:tcBorders>
              <w:tl2br w:val="nil"/>
              <w:tr2bl w:val="nil"/>
            </w:tcBorders>
            <w:vAlign w:val="center"/>
          </w:tcPr>
          <w:p w14:paraId="497A2935">
            <w:pPr>
              <w:pStyle w:val="31"/>
            </w:pPr>
            <w:r>
              <w:t>《污水综合排放标准》（GB8978-1996）三级标准与</w:t>
            </w:r>
            <w:r>
              <w:rPr>
                <w:rFonts w:hint="eastAsia"/>
              </w:rPr>
              <w:t>三樟镇</w:t>
            </w:r>
            <w:r>
              <w:t>污水处理厂进水水质标准较严值</w:t>
            </w:r>
          </w:p>
        </w:tc>
      </w:tr>
    </w:tbl>
    <w:p w14:paraId="7E2EEE90">
      <w:pPr>
        <w:autoSpaceDE w:val="0"/>
        <w:autoSpaceDN w:val="0"/>
        <w:adjustRightInd w:val="0"/>
        <w:snapToGrid w:val="0"/>
        <w:ind w:firstLine="480"/>
        <w:rPr>
          <w:rFonts w:ascii="Times New Roman" w:hAnsi="Times New Roman" w:cs="Times New Roman"/>
          <w:szCs w:val="24"/>
        </w:rPr>
      </w:pPr>
      <w:r>
        <w:rPr>
          <w:rFonts w:cs="Times New Roman"/>
          <w:szCs w:val="24"/>
        </w:rPr>
        <w:t>项目噪声监测内容见下表</w:t>
      </w:r>
      <w:r>
        <w:rPr>
          <w:rFonts w:hint="eastAsia" w:cs="Times New Roman"/>
          <w:szCs w:val="24"/>
        </w:rPr>
        <w:t>。</w:t>
      </w:r>
    </w:p>
    <w:p w14:paraId="698300EC">
      <w:pPr>
        <w:pStyle w:val="23"/>
      </w:pPr>
      <w:r>
        <w:t>表</w:t>
      </w:r>
      <w:r>
        <w:rPr>
          <w:rFonts w:hint="eastAsia"/>
        </w:rPr>
        <w:t>8.3</w:t>
      </w:r>
      <w:r>
        <w:t>-3 噪声监测计划表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529"/>
        <w:gridCol w:w="1803"/>
        <w:gridCol w:w="1292"/>
        <w:gridCol w:w="3148"/>
      </w:tblGrid>
      <w:tr w14:paraId="56C47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tcBorders>
              <w:top w:val="single" w:color="auto" w:sz="4" w:space="0"/>
              <w:left w:val="single" w:color="auto" w:sz="4" w:space="0"/>
              <w:bottom w:val="single" w:color="auto" w:sz="4" w:space="0"/>
              <w:right w:val="single" w:color="auto" w:sz="4" w:space="0"/>
            </w:tcBorders>
            <w:vAlign w:val="center"/>
          </w:tcPr>
          <w:p w14:paraId="61C74C40">
            <w:pPr>
              <w:pStyle w:val="31"/>
            </w:pPr>
            <w:r>
              <w:t>项目</w:t>
            </w:r>
          </w:p>
        </w:tc>
        <w:tc>
          <w:tcPr>
            <w:tcW w:w="897" w:type="pct"/>
            <w:tcBorders>
              <w:top w:val="single" w:color="auto" w:sz="4" w:space="0"/>
              <w:left w:val="nil"/>
              <w:bottom w:val="single" w:color="auto" w:sz="4" w:space="0"/>
              <w:right w:val="single" w:color="auto" w:sz="4" w:space="0"/>
            </w:tcBorders>
            <w:vAlign w:val="center"/>
          </w:tcPr>
          <w:p w14:paraId="35C53062">
            <w:pPr>
              <w:pStyle w:val="31"/>
            </w:pPr>
            <w:r>
              <w:t>监测点位</w:t>
            </w:r>
          </w:p>
        </w:tc>
        <w:tc>
          <w:tcPr>
            <w:tcW w:w="1058" w:type="pct"/>
            <w:tcBorders>
              <w:top w:val="single" w:color="auto" w:sz="4" w:space="0"/>
              <w:left w:val="nil"/>
              <w:bottom w:val="single" w:color="auto" w:sz="4" w:space="0"/>
              <w:right w:val="single" w:color="auto" w:sz="4" w:space="0"/>
            </w:tcBorders>
            <w:vAlign w:val="center"/>
          </w:tcPr>
          <w:p w14:paraId="68DDE01D">
            <w:pPr>
              <w:pStyle w:val="31"/>
            </w:pPr>
            <w:r>
              <w:t>监测项目</w:t>
            </w:r>
          </w:p>
        </w:tc>
        <w:tc>
          <w:tcPr>
            <w:tcW w:w="758" w:type="pct"/>
            <w:tcBorders>
              <w:top w:val="single" w:color="auto" w:sz="4" w:space="0"/>
              <w:left w:val="nil"/>
              <w:bottom w:val="single" w:color="auto" w:sz="4" w:space="0"/>
              <w:right w:val="single" w:color="auto" w:sz="4" w:space="0"/>
            </w:tcBorders>
            <w:vAlign w:val="center"/>
          </w:tcPr>
          <w:p w14:paraId="22EBA170">
            <w:pPr>
              <w:pStyle w:val="31"/>
            </w:pPr>
            <w:r>
              <w:t>监测频次</w:t>
            </w:r>
          </w:p>
        </w:tc>
        <w:tc>
          <w:tcPr>
            <w:tcW w:w="1847" w:type="pct"/>
            <w:tcBorders>
              <w:top w:val="single" w:color="auto" w:sz="4" w:space="0"/>
              <w:left w:val="nil"/>
              <w:bottom w:val="single" w:color="auto" w:sz="4" w:space="0"/>
              <w:right w:val="single" w:color="auto" w:sz="4" w:space="0"/>
            </w:tcBorders>
            <w:vAlign w:val="center"/>
          </w:tcPr>
          <w:p w14:paraId="449D048D">
            <w:pPr>
              <w:pStyle w:val="31"/>
            </w:pPr>
            <w:r>
              <w:t>执行标准</w:t>
            </w:r>
          </w:p>
        </w:tc>
      </w:tr>
      <w:tr w14:paraId="33C1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8" w:type="pct"/>
            <w:tcBorders>
              <w:top w:val="single" w:color="auto" w:sz="4" w:space="0"/>
              <w:left w:val="single" w:color="auto" w:sz="4" w:space="0"/>
              <w:bottom w:val="single" w:color="auto" w:sz="4" w:space="0"/>
              <w:right w:val="single" w:color="auto" w:sz="4" w:space="0"/>
            </w:tcBorders>
            <w:vAlign w:val="center"/>
          </w:tcPr>
          <w:p w14:paraId="4B2D103B">
            <w:pPr>
              <w:pStyle w:val="31"/>
            </w:pPr>
            <w:r>
              <w:t>厂界</w:t>
            </w:r>
          </w:p>
          <w:p w14:paraId="1AD4883E">
            <w:pPr>
              <w:pStyle w:val="31"/>
            </w:pPr>
            <w:r>
              <w:t>噪声</w:t>
            </w:r>
          </w:p>
        </w:tc>
        <w:tc>
          <w:tcPr>
            <w:tcW w:w="897" w:type="pct"/>
            <w:tcBorders>
              <w:top w:val="single" w:color="auto" w:sz="4" w:space="0"/>
              <w:left w:val="nil"/>
              <w:bottom w:val="single" w:color="auto" w:sz="4" w:space="0"/>
              <w:right w:val="single" w:color="auto" w:sz="4" w:space="0"/>
            </w:tcBorders>
            <w:vAlign w:val="center"/>
          </w:tcPr>
          <w:p w14:paraId="667B8012">
            <w:pPr>
              <w:pStyle w:val="31"/>
            </w:pPr>
            <w:r>
              <w:t>厂界四周外 1m、高度 1.2m</w:t>
            </w:r>
          </w:p>
        </w:tc>
        <w:tc>
          <w:tcPr>
            <w:tcW w:w="1058" w:type="pct"/>
            <w:tcBorders>
              <w:top w:val="single" w:color="auto" w:sz="4" w:space="0"/>
              <w:left w:val="nil"/>
              <w:bottom w:val="single" w:color="auto" w:sz="4" w:space="0"/>
              <w:right w:val="single" w:color="auto" w:sz="4" w:space="0"/>
            </w:tcBorders>
            <w:vAlign w:val="center"/>
          </w:tcPr>
          <w:p w14:paraId="2AED32AB">
            <w:pPr>
              <w:pStyle w:val="31"/>
            </w:pPr>
            <w:r>
              <w:t>昼夜等效连续A声级</w:t>
            </w:r>
          </w:p>
        </w:tc>
        <w:tc>
          <w:tcPr>
            <w:tcW w:w="758" w:type="pct"/>
            <w:tcBorders>
              <w:top w:val="single" w:color="auto" w:sz="4" w:space="0"/>
              <w:left w:val="nil"/>
              <w:bottom w:val="single" w:color="auto" w:sz="4" w:space="0"/>
              <w:right w:val="single" w:color="auto" w:sz="4" w:space="0"/>
            </w:tcBorders>
            <w:vAlign w:val="center"/>
          </w:tcPr>
          <w:p w14:paraId="68BD94D3">
            <w:pPr>
              <w:pStyle w:val="31"/>
            </w:pPr>
            <w:r>
              <w:t>每季度一次</w:t>
            </w:r>
          </w:p>
        </w:tc>
        <w:tc>
          <w:tcPr>
            <w:tcW w:w="1847" w:type="pct"/>
            <w:tcBorders>
              <w:top w:val="single" w:color="auto" w:sz="4" w:space="0"/>
              <w:left w:val="nil"/>
              <w:bottom w:val="single" w:color="auto" w:sz="4" w:space="0"/>
              <w:right w:val="single" w:color="auto" w:sz="4" w:space="0"/>
            </w:tcBorders>
            <w:vAlign w:val="center"/>
          </w:tcPr>
          <w:p w14:paraId="4C03402A">
            <w:pPr>
              <w:pStyle w:val="31"/>
            </w:pPr>
            <w:r>
              <w:t>《工业企业厂界环境噪声排放标准》（GB12348-2008）</w:t>
            </w:r>
            <w:r>
              <w:rPr>
                <w:rFonts w:hint="eastAsia"/>
              </w:rPr>
              <w:t>2</w:t>
            </w:r>
            <w:r>
              <w:t>类标准</w:t>
            </w:r>
          </w:p>
        </w:tc>
      </w:tr>
    </w:tbl>
    <w:p w14:paraId="1B845673">
      <w:pPr>
        <w:pStyle w:val="21"/>
        <w:ind w:firstLine="480"/>
      </w:pPr>
      <w:r>
        <w:rPr>
          <w:rFonts w:hint="eastAsia"/>
        </w:rPr>
        <w:t>（2）环境质量监测</w:t>
      </w:r>
    </w:p>
    <w:p w14:paraId="3EF533FF">
      <w:pPr>
        <w:pStyle w:val="21"/>
        <w:ind w:firstLine="480"/>
      </w:pPr>
      <w:r>
        <w:rPr>
          <w:rFonts w:hint="eastAsia"/>
        </w:rPr>
        <w:t>项目大气环境质量监测计划见下表。</w:t>
      </w:r>
    </w:p>
    <w:p w14:paraId="5FD89CA5">
      <w:pPr>
        <w:pStyle w:val="23"/>
      </w:pPr>
      <w:r>
        <w:t>表</w:t>
      </w:r>
      <w:r>
        <w:rPr>
          <w:rFonts w:hint="eastAsia"/>
        </w:rPr>
        <w:t>8.3</w:t>
      </w:r>
      <w:r>
        <w:t>-4 环境空气质量监测方案</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93"/>
        <w:gridCol w:w="1350"/>
        <w:gridCol w:w="1100"/>
        <w:gridCol w:w="4679"/>
      </w:tblGrid>
      <w:tr w14:paraId="1A99D17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7" w:type="pct"/>
            <w:tcBorders>
              <w:top w:val="single" w:color="auto" w:sz="4" w:space="0"/>
              <w:left w:val="single" w:color="auto" w:sz="4" w:space="0"/>
              <w:bottom w:val="single" w:color="auto" w:sz="6" w:space="0"/>
              <w:right w:val="single" w:color="auto" w:sz="6" w:space="0"/>
            </w:tcBorders>
            <w:vAlign w:val="center"/>
          </w:tcPr>
          <w:p w14:paraId="13FE4C12">
            <w:pPr>
              <w:pStyle w:val="31"/>
            </w:pPr>
            <w:r>
              <w:t>监测内容</w:t>
            </w:r>
          </w:p>
        </w:tc>
        <w:tc>
          <w:tcPr>
            <w:tcW w:w="792" w:type="pct"/>
            <w:tcBorders>
              <w:top w:val="single" w:color="auto" w:sz="4" w:space="0"/>
              <w:left w:val="single" w:color="auto" w:sz="6" w:space="0"/>
              <w:bottom w:val="single" w:color="auto" w:sz="6" w:space="0"/>
              <w:right w:val="single" w:color="auto" w:sz="6" w:space="0"/>
            </w:tcBorders>
            <w:vAlign w:val="center"/>
          </w:tcPr>
          <w:p w14:paraId="1DB9181F">
            <w:pPr>
              <w:pStyle w:val="31"/>
            </w:pPr>
            <w:r>
              <w:t>监测点位</w:t>
            </w:r>
          </w:p>
        </w:tc>
        <w:tc>
          <w:tcPr>
            <w:tcW w:w="645" w:type="pct"/>
            <w:tcBorders>
              <w:top w:val="single" w:color="auto" w:sz="4" w:space="0"/>
              <w:left w:val="single" w:color="auto" w:sz="6" w:space="0"/>
              <w:bottom w:val="single" w:color="auto" w:sz="6" w:space="0"/>
              <w:right w:val="single" w:color="auto" w:sz="6" w:space="0"/>
            </w:tcBorders>
            <w:vAlign w:val="center"/>
          </w:tcPr>
          <w:p w14:paraId="60DF1EF9">
            <w:pPr>
              <w:pStyle w:val="31"/>
            </w:pPr>
            <w:r>
              <w:t>监测频率</w:t>
            </w:r>
          </w:p>
        </w:tc>
        <w:tc>
          <w:tcPr>
            <w:tcW w:w="2744" w:type="pct"/>
            <w:tcBorders>
              <w:top w:val="single" w:color="auto" w:sz="4" w:space="0"/>
              <w:left w:val="single" w:color="auto" w:sz="6" w:space="0"/>
              <w:bottom w:val="single" w:color="auto" w:sz="6" w:space="0"/>
              <w:right w:val="single" w:color="auto" w:sz="4" w:space="0"/>
            </w:tcBorders>
            <w:vAlign w:val="center"/>
          </w:tcPr>
          <w:p w14:paraId="6AB41BC2">
            <w:pPr>
              <w:pStyle w:val="31"/>
            </w:pPr>
            <w:r>
              <w:t>执行标准</w:t>
            </w:r>
          </w:p>
        </w:tc>
      </w:tr>
      <w:tr w14:paraId="7B8937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7" w:type="pct"/>
            <w:tcBorders>
              <w:top w:val="single" w:color="auto" w:sz="6" w:space="0"/>
              <w:left w:val="single" w:color="auto" w:sz="4" w:space="0"/>
              <w:bottom w:val="single" w:color="auto" w:sz="6" w:space="0"/>
              <w:right w:val="single" w:color="auto" w:sz="6" w:space="0"/>
            </w:tcBorders>
            <w:vAlign w:val="center"/>
          </w:tcPr>
          <w:p w14:paraId="1A06BDD2">
            <w:pPr>
              <w:pStyle w:val="31"/>
            </w:pPr>
            <w:r>
              <w:t>TSP、非甲烷总烃</w:t>
            </w:r>
          </w:p>
        </w:tc>
        <w:tc>
          <w:tcPr>
            <w:tcW w:w="792" w:type="pct"/>
            <w:tcBorders>
              <w:top w:val="single" w:color="auto" w:sz="6" w:space="0"/>
              <w:left w:val="single" w:color="auto" w:sz="6" w:space="0"/>
              <w:bottom w:val="single" w:color="auto" w:sz="6" w:space="0"/>
              <w:right w:val="single" w:color="auto" w:sz="6" w:space="0"/>
            </w:tcBorders>
            <w:vAlign w:val="center"/>
          </w:tcPr>
          <w:p w14:paraId="0FACDC1C">
            <w:pPr>
              <w:pStyle w:val="31"/>
            </w:pPr>
            <w:r>
              <w:rPr>
                <w:color w:val="000000"/>
              </w:rPr>
              <w:t>厂界外下风向敏感点布设1个点</w:t>
            </w:r>
          </w:p>
        </w:tc>
        <w:tc>
          <w:tcPr>
            <w:tcW w:w="645" w:type="pct"/>
            <w:tcBorders>
              <w:top w:val="single" w:color="auto" w:sz="6" w:space="0"/>
              <w:left w:val="single" w:color="auto" w:sz="6" w:space="0"/>
              <w:bottom w:val="single" w:color="auto" w:sz="6" w:space="0"/>
              <w:right w:val="single" w:color="auto" w:sz="6" w:space="0"/>
            </w:tcBorders>
            <w:vAlign w:val="center"/>
          </w:tcPr>
          <w:p w14:paraId="7584E833">
            <w:pPr>
              <w:pStyle w:val="31"/>
            </w:pPr>
            <w:r>
              <w:t>1次/年</w:t>
            </w:r>
          </w:p>
        </w:tc>
        <w:tc>
          <w:tcPr>
            <w:tcW w:w="2744" w:type="pct"/>
            <w:tcBorders>
              <w:top w:val="single" w:color="auto" w:sz="6" w:space="0"/>
              <w:left w:val="single" w:color="auto" w:sz="6" w:space="0"/>
              <w:bottom w:val="single" w:color="auto" w:sz="6" w:space="0"/>
              <w:right w:val="single" w:color="auto" w:sz="4" w:space="0"/>
            </w:tcBorders>
            <w:vAlign w:val="center"/>
          </w:tcPr>
          <w:p w14:paraId="06CCD80E">
            <w:pPr>
              <w:pStyle w:val="31"/>
            </w:pPr>
            <w:r>
              <w:t>TSP执行《环境空气质量标准》（GB3095-2012）中的二级标准；非甲烷总烃参照《大气污染物综合排放标准详解》中2.0mg/m</w:t>
            </w:r>
            <w:r>
              <w:rPr>
                <w:vertAlign w:val="superscript"/>
              </w:rPr>
              <w:t>3</w:t>
            </w:r>
            <w:r>
              <w:t>的限值</w:t>
            </w:r>
          </w:p>
        </w:tc>
      </w:tr>
    </w:tbl>
    <w:p w14:paraId="5A1E30BF">
      <w:pPr>
        <w:pStyle w:val="21"/>
        <w:ind w:firstLine="480"/>
      </w:pPr>
      <w:r>
        <w:rPr>
          <w:bCs/>
          <w:color w:val="000000"/>
        </w:rPr>
        <w:t>根据导则的要求</w:t>
      </w:r>
      <w:r>
        <w:t>，项目土壤和地下水环境监控计划见下表。</w:t>
      </w:r>
    </w:p>
    <w:p w14:paraId="5340E554">
      <w:pPr>
        <w:pStyle w:val="23"/>
      </w:pPr>
      <w:r>
        <w:t>表</w:t>
      </w:r>
      <w:r>
        <w:rPr>
          <w:rFonts w:hint="eastAsia"/>
        </w:rPr>
        <w:t>8.3</w:t>
      </w:r>
      <w:r>
        <w:t>-5 土壤和地下水监控计划表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4"/>
        <w:gridCol w:w="2549"/>
        <w:gridCol w:w="2006"/>
        <w:gridCol w:w="1225"/>
        <w:gridCol w:w="1553"/>
      </w:tblGrid>
      <w:tr w14:paraId="70E03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695" w:type="pct"/>
            <w:tcBorders>
              <w:top w:val="single" w:color="auto" w:sz="4" w:space="0"/>
              <w:left w:val="single" w:color="auto" w:sz="4" w:space="0"/>
              <w:bottom w:val="single" w:color="auto" w:sz="4" w:space="0"/>
              <w:right w:val="single" w:color="auto" w:sz="4" w:space="0"/>
            </w:tcBorders>
            <w:vAlign w:val="center"/>
          </w:tcPr>
          <w:p w14:paraId="7BAAAE77">
            <w:pPr>
              <w:pStyle w:val="31"/>
            </w:pPr>
            <w:r>
              <w:t>监测内容</w:t>
            </w:r>
          </w:p>
        </w:tc>
        <w:tc>
          <w:tcPr>
            <w:tcW w:w="1496" w:type="pct"/>
            <w:tcBorders>
              <w:top w:val="single" w:color="auto" w:sz="4" w:space="0"/>
              <w:left w:val="nil"/>
              <w:bottom w:val="single" w:color="auto" w:sz="4" w:space="0"/>
              <w:right w:val="single" w:color="auto" w:sz="4" w:space="0"/>
            </w:tcBorders>
            <w:vAlign w:val="center"/>
          </w:tcPr>
          <w:p w14:paraId="5DF3FB19">
            <w:pPr>
              <w:pStyle w:val="31"/>
            </w:pPr>
            <w:r>
              <w:t>监测点位</w:t>
            </w:r>
          </w:p>
        </w:tc>
        <w:tc>
          <w:tcPr>
            <w:tcW w:w="1177" w:type="pct"/>
            <w:tcBorders>
              <w:top w:val="single" w:color="auto" w:sz="4" w:space="0"/>
              <w:left w:val="nil"/>
              <w:bottom w:val="single" w:color="auto" w:sz="4" w:space="0"/>
              <w:right w:val="single" w:color="auto" w:sz="4" w:space="0"/>
            </w:tcBorders>
            <w:vAlign w:val="center"/>
          </w:tcPr>
          <w:p w14:paraId="73F4CF43">
            <w:pPr>
              <w:pStyle w:val="31"/>
            </w:pPr>
            <w:r>
              <w:t>监测指标</w:t>
            </w:r>
          </w:p>
        </w:tc>
        <w:tc>
          <w:tcPr>
            <w:tcW w:w="719" w:type="pct"/>
            <w:tcBorders>
              <w:top w:val="single" w:color="auto" w:sz="4" w:space="0"/>
              <w:left w:val="nil"/>
              <w:bottom w:val="single" w:color="auto" w:sz="4" w:space="0"/>
              <w:right w:val="single" w:color="auto" w:sz="4" w:space="0"/>
            </w:tcBorders>
            <w:vAlign w:val="center"/>
          </w:tcPr>
          <w:p w14:paraId="11C02DBC">
            <w:pPr>
              <w:pStyle w:val="31"/>
            </w:pPr>
            <w:r>
              <w:t>监测频次</w:t>
            </w:r>
          </w:p>
        </w:tc>
        <w:tc>
          <w:tcPr>
            <w:tcW w:w="911" w:type="pct"/>
            <w:tcBorders>
              <w:top w:val="single" w:color="auto" w:sz="4" w:space="0"/>
              <w:left w:val="nil"/>
              <w:bottom w:val="single" w:color="auto" w:sz="4" w:space="0"/>
              <w:right w:val="single" w:color="auto" w:sz="4" w:space="0"/>
            </w:tcBorders>
            <w:vAlign w:val="center"/>
          </w:tcPr>
          <w:p w14:paraId="14A74A75">
            <w:pPr>
              <w:pStyle w:val="31"/>
            </w:pPr>
            <w:r>
              <w:t>执行标准</w:t>
            </w:r>
          </w:p>
        </w:tc>
      </w:tr>
      <w:tr w14:paraId="66430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695" w:type="pct"/>
            <w:tcBorders>
              <w:top w:val="single" w:color="auto" w:sz="4" w:space="0"/>
              <w:left w:val="single" w:color="auto" w:sz="4" w:space="0"/>
              <w:bottom w:val="single" w:color="auto" w:sz="4" w:space="0"/>
              <w:right w:val="single" w:color="auto" w:sz="4" w:space="0"/>
            </w:tcBorders>
            <w:vAlign w:val="center"/>
          </w:tcPr>
          <w:p w14:paraId="64ADEC88">
            <w:pPr>
              <w:pStyle w:val="31"/>
              <w:rPr>
                <w:color w:val="000000"/>
              </w:rPr>
            </w:pPr>
            <w:r>
              <w:rPr>
                <w:color w:val="000000"/>
              </w:rPr>
              <w:t>地下水</w:t>
            </w:r>
          </w:p>
          <w:p w14:paraId="7F57F764">
            <w:pPr>
              <w:pStyle w:val="31"/>
              <w:rPr>
                <w:color w:val="000000"/>
              </w:rPr>
            </w:pPr>
            <w:r>
              <w:rPr>
                <w:color w:val="000000"/>
              </w:rPr>
              <w:t>环境</w:t>
            </w:r>
          </w:p>
        </w:tc>
        <w:tc>
          <w:tcPr>
            <w:tcW w:w="2693" w:type="dxa"/>
            <w:tcBorders>
              <w:top w:val="single" w:color="auto" w:sz="4" w:space="0"/>
              <w:left w:val="nil"/>
              <w:bottom w:val="single" w:color="auto" w:sz="4" w:space="0"/>
              <w:right w:val="single" w:color="auto" w:sz="4" w:space="0"/>
            </w:tcBorders>
            <w:vAlign w:val="center"/>
          </w:tcPr>
          <w:p w14:paraId="6CBABD4C">
            <w:pPr>
              <w:pStyle w:val="31"/>
              <w:rPr>
                <w:color w:val="000000"/>
              </w:rPr>
            </w:pPr>
            <w:r>
              <w:rPr>
                <w:color w:val="000000"/>
              </w:rPr>
              <w:t>共设置3个监测点：危废间、污水收集池原料仓库附近</w:t>
            </w:r>
          </w:p>
        </w:tc>
        <w:tc>
          <w:tcPr>
            <w:tcW w:w="2119" w:type="dxa"/>
            <w:tcBorders>
              <w:top w:val="single" w:color="auto" w:sz="4" w:space="0"/>
              <w:left w:val="nil"/>
              <w:bottom w:val="single" w:color="auto" w:sz="4" w:space="0"/>
              <w:right w:val="single" w:color="auto" w:sz="4" w:space="0"/>
            </w:tcBorders>
            <w:vAlign w:val="center"/>
          </w:tcPr>
          <w:p w14:paraId="52FD041F">
            <w:pPr>
              <w:pStyle w:val="31"/>
              <w:rPr>
                <w:color w:val="000000"/>
              </w:rPr>
            </w:pPr>
            <w:r>
              <w:rPr>
                <w:color w:val="000000"/>
              </w:rPr>
              <w:t>pH、</w:t>
            </w:r>
            <w:r>
              <w:t>耗氧量、氨氮、总硬度、溶解性总固体、石油类、甲苯、二甲苯等</w:t>
            </w:r>
          </w:p>
        </w:tc>
        <w:tc>
          <w:tcPr>
            <w:tcW w:w="719" w:type="pct"/>
            <w:tcBorders>
              <w:top w:val="single" w:color="auto" w:sz="4" w:space="0"/>
              <w:left w:val="nil"/>
              <w:bottom w:val="single" w:color="auto" w:sz="4" w:space="0"/>
              <w:right w:val="single" w:color="auto" w:sz="4" w:space="0"/>
            </w:tcBorders>
            <w:vAlign w:val="center"/>
          </w:tcPr>
          <w:p w14:paraId="4F93E84F">
            <w:pPr>
              <w:pStyle w:val="31"/>
              <w:rPr>
                <w:color w:val="000000"/>
              </w:rPr>
            </w:pPr>
            <w:r>
              <w:rPr>
                <w:color w:val="000000"/>
              </w:rPr>
              <w:t>每年一次</w:t>
            </w:r>
          </w:p>
        </w:tc>
        <w:tc>
          <w:tcPr>
            <w:tcW w:w="911" w:type="pct"/>
            <w:tcBorders>
              <w:top w:val="single" w:color="auto" w:sz="4" w:space="0"/>
              <w:left w:val="nil"/>
              <w:bottom w:val="single" w:color="auto" w:sz="4" w:space="0"/>
              <w:right w:val="single" w:color="auto" w:sz="4" w:space="0"/>
            </w:tcBorders>
            <w:vAlign w:val="center"/>
          </w:tcPr>
          <w:p w14:paraId="784410BD">
            <w:pPr>
              <w:pStyle w:val="31"/>
              <w:rPr>
                <w:color w:val="000000"/>
              </w:rPr>
            </w:pPr>
            <w:r>
              <w:rPr>
                <w:color w:val="000000"/>
              </w:rPr>
              <w:t>GB14848-2017</w:t>
            </w:r>
          </w:p>
        </w:tc>
      </w:tr>
      <w:tr w14:paraId="0D639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695" w:type="pct"/>
            <w:tcBorders>
              <w:top w:val="single" w:color="auto" w:sz="4" w:space="0"/>
              <w:left w:val="single" w:color="auto" w:sz="4" w:space="0"/>
              <w:bottom w:val="single" w:color="auto" w:sz="4" w:space="0"/>
              <w:right w:val="single" w:color="auto" w:sz="4" w:space="0"/>
            </w:tcBorders>
            <w:vAlign w:val="center"/>
          </w:tcPr>
          <w:p w14:paraId="357E2DFC">
            <w:pPr>
              <w:pStyle w:val="31"/>
              <w:rPr>
                <w:color w:val="000000"/>
              </w:rPr>
            </w:pPr>
            <w:r>
              <w:rPr>
                <w:color w:val="000000"/>
              </w:rPr>
              <w:t>土壤环境</w:t>
            </w:r>
          </w:p>
        </w:tc>
        <w:tc>
          <w:tcPr>
            <w:tcW w:w="2693" w:type="dxa"/>
            <w:tcBorders>
              <w:top w:val="single" w:color="auto" w:sz="4" w:space="0"/>
              <w:left w:val="nil"/>
              <w:bottom w:val="single" w:color="auto" w:sz="4" w:space="0"/>
              <w:right w:val="single" w:color="auto" w:sz="4" w:space="0"/>
            </w:tcBorders>
            <w:vAlign w:val="center"/>
          </w:tcPr>
          <w:p w14:paraId="44B6F7A9">
            <w:pPr>
              <w:pStyle w:val="31"/>
              <w:rPr>
                <w:color w:val="000000"/>
              </w:rPr>
            </w:pPr>
            <w:r>
              <w:rPr>
                <w:color w:val="000000"/>
              </w:rPr>
              <w:t>污水收集池附近</w:t>
            </w:r>
          </w:p>
        </w:tc>
        <w:tc>
          <w:tcPr>
            <w:tcW w:w="2119" w:type="dxa"/>
            <w:tcBorders>
              <w:top w:val="single" w:color="auto" w:sz="4" w:space="0"/>
              <w:left w:val="nil"/>
              <w:bottom w:val="single" w:color="auto" w:sz="4" w:space="0"/>
              <w:right w:val="single" w:color="auto" w:sz="4" w:space="0"/>
            </w:tcBorders>
            <w:vAlign w:val="center"/>
          </w:tcPr>
          <w:p w14:paraId="3A47E370">
            <w:pPr>
              <w:pStyle w:val="31"/>
              <w:rPr>
                <w:color w:val="000000"/>
              </w:rPr>
            </w:pPr>
            <w:r>
              <w:rPr>
                <w:color w:val="000000"/>
              </w:rPr>
              <w:t>pH、石油烃、甲苯、二甲苯</w:t>
            </w:r>
          </w:p>
        </w:tc>
        <w:tc>
          <w:tcPr>
            <w:tcW w:w="719" w:type="pct"/>
            <w:tcBorders>
              <w:top w:val="single" w:color="auto" w:sz="4" w:space="0"/>
              <w:left w:val="nil"/>
              <w:bottom w:val="single" w:color="auto" w:sz="4" w:space="0"/>
              <w:right w:val="single" w:color="auto" w:sz="4" w:space="0"/>
            </w:tcBorders>
            <w:vAlign w:val="center"/>
          </w:tcPr>
          <w:p w14:paraId="72ED1FBE">
            <w:pPr>
              <w:pStyle w:val="31"/>
              <w:rPr>
                <w:color w:val="000000"/>
              </w:rPr>
            </w:pPr>
            <w:r>
              <w:rPr>
                <w:color w:val="000000"/>
              </w:rPr>
              <w:t>每3年一次</w:t>
            </w:r>
          </w:p>
        </w:tc>
        <w:tc>
          <w:tcPr>
            <w:tcW w:w="911" w:type="pct"/>
            <w:tcBorders>
              <w:top w:val="single" w:color="auto" w:sz="4" w:space="0"/>
              <w:left w:val="nil"/>
              <w:bottom w:val="single" w:color="auto" w:sz="4" w:space="0"/>
              <w:right w:val="single" w:color="auto" w:sz="4" w:space="0"/>
            </w:tcBorders>
            <w:vAlign w:val="center"/>
          </w:tcPr>
          <w:p w14:paraId="0DE7B6FC">
            <w:pPr>
              <w:pStyle w:val="31"/>
              <w:rPr>
                <w:color w:val="000000"/>
              </w:rPr>
            </w:pPr>
            <w:r>
              <w:rPr>
                <w:color w:val="000000"/>
              </w:rPr>
              <w:t>GB36600-2018</w:t>
            </w:r>
          </w:p>
        </w:tc>
      </w:tr>
    </w:tbl>
    <w:p w14:paraId="40C613F0">
      <w:pPr>
        <w:pStyle w:val="33"/>
      </w:pPr>
      <w:bookmarkStart w:id="208" w:name="_Toc29901876"/>
      <w:bookmarkStart w:id="209" w:name="_Toc24263"/>
      <w:bookmarkStart w:id="210" w:name="_Toc7739"/>
      <w:r>
        <w:rPr>
          <w:rFonts w:hint="eastAsia"/>
        </w:rPr>
        <w:t>8.2.3 应急监测计划</w:t>
      </w:r>
      <w:bookmarkEnd w:id="208"/>
      <w:bookmarkEnd w:id="209"/>
      <w:bookmarkEnd w:id="210"/>
    </w:p>
    <w:p w14:paraId="09F7B46F">
      <w:pPr>
        <w:pStyle w:val="21"/>
        <w:ind w:firstLine="480"/>
      </w:pPr>
      <w:r>
        <w:t>为及时有效的了解本项目事故排放对外界环境的影响，便于上级部门的指挥和调度，发生较大污染事件时，项目厂区发生事故时进行环境应急监测，具体监测计划如下：</w:t>
      </w:r>
    </w:p>
    <w:p w14:paraId="7ED1BC6B">
      <w:pPr>
        <w:pStyle w:val="21"/>
        <w:ind w:firstLine="480"/>
      </w:pPr>
      <w:r>
        <w:rPr>
          <w:rFonts w:hint="eastAsia"/>
        </w:rPr>
        <w:t>1、</w:t>
      </w:r>
      <w:r>
        <w:t>快速监测</w:t>
      </w:r>
    </w:p>
    <w:p w14:paraId="4F365A9E">
      <w:pPr>
        <w:pStyle w:val="21"/>
        <w:ind w:firstLine="480"/>
      </w:pPr>
      <w:r>
        <w:rPr>
          <w:rFonts w:hint="eastAsia"/>
        </w:rPr>
        <w:t>（1）</w:t>
      </w:r>
      <w:r>
        <w:t>监测人员接到事故通报后立即赶赴事故现场，实施快速监测，及时将监测结果报告指挥部，快测快报，必要时，可以采用先口头报告，后书面报告的形式。</w:t>
      </w:r>
    </w:p>
    <w:p w14:paraId="733F4214">
      <w:pPr>
        <w:pStyle w:val="21"/>
        <w:ind w:firstLine="480"/>
      </w:pPr>
      <w:r>
        <w:rPr>
          <w:rFonts w:hint="eastAsia"/>
        </w:rPr>
        <w:t>（2）</w:t>
      </w:r>
      <w:r>
        <w:t>指挥部依据快速监测的结果，结合事故初步调查评估的结论，确定进一步行动布置以及是否启动精确监测程度。</w:t>
      </w:r>
    </w:p>
    <w:p w14:paraId="5CD6DB92">
      <w:pPr>
        <w:pStyle w:val="21"/>
        <w:ind w:firstLine="480"/>
      </w:pPr>
      <w:r>
        <w:rPr>
          <w:rFonts w:hint="eastAsia"/>
        </w:rPr>
        <w:t>2、</w:t>
      </w:r>
      <w:r>
        <w:t>精确监测</w:t>
      </w:r>
    </w:p>
    <w:p w14:paraId="39B255DE">
      <w:pPr>
        <w:pStyle w:val="21"/>
        <w:ind w:firstLine="480"/>
      </w:pPr>
      <w:r>
        <w:t>精确监测程序一旦启动，监测单位应立即着手采样准备，实验分析，确保以最快的速度实施监测、报告结果。</w:t>
      </w:r>
    </w:p>
    <w:p w14:paraId="0994F9B9">
      <w:pPr>
        <w:pStyle w:val="21"/>
        <w:ind w:firstLine="480"/>
      </w:pPr>
      <w:r>
        <w:t>根据现场情况和监测结果，采取有效的防治措施，控制可能被污染的人数、范围，并及时通知相关部门采取应急措施，对物料泄漏进行排险。</w:t>
      </w:r>
    </w:p>
    <w:p w14:paraId="333CDA0B">
      <w:pPr>
        <w:pStyle w:val="21"/>
        <w:ind w:firstLine="480"/>
      </w:pPr>
      <w:r>
        <w:t>事故得到控制，紧急情况解除后，污染事故应急处理人员立即进入现场，配合消防、卫生等部门指导相关人员清除泄漏现场遗留危险物质，消除物料泄漏对环境产生的影响，同时检测核实没有隐患、空气环境质量达标后，通知被疏散群众返回，恢复正常生产和生活。</w:t>
      </w:r>
    </w:p>
    <w:p w14:paraId="40859570">
      <w:pPr>
        <w:pStyle w:val="21"/>
        <w:ind w:firstLine="480"/>
      </w:pPr>
      <w:r>
        <w:rPr>
          <w:rFonts w:hint="eastAsia"/>
        </w:rPr>
        <w:t>3、</w:t>
      </w:r>
      <w:r>
        <w:t>监测人员的防护和监护措施</w:t>
      </w:r>
    </w:p>
    <w:p w14:paraId="5FC2C16D">
      <w:pPr>
        <w:pStyle w:val="21"/>
        <w:ind w:firstLine="480"/>
      </w:pPr>
      <w:r>
        <w:rPr>
          <w:rFonts w:hint="eastAsia"/>
        </w:rPr>
        <w:t>（1）</w:t>
      </w:r>
      <w:r>
        <w:t>危险化学品事故发生后，通信警戒组人员根据事故性质、发展趋势，联系当地环保、卫生监督等部门来厂协助进行现场监测。</w:t>
      </w:r>
    </w:p>
    <w:p w14:paraId="63DBBEF2">
      <w:pPr>
        <w:pStyle w:val="21"/>
        <w:ind w:firstLine="480"/>
      </w:pPr>
      <w:r>
        <w:rPr>
          <w:rFonts w:hint="eastAsia"/>
        </w:rPr>
        <w:t>（2）</w:t>
      </w:r>
      <w:r>
        <w:t>监测人员必须正确佩带好防护用具，进入事故波及区必须登记。监测人员不得单独行动，需2</w:t>
      </w:r>
      <w:r>
        <w:rPr>
          <w:rFonts w:hint="eastAsia"/>
        </w:rPr>
        <w:t>~</w:t>
      </w:r>
      <w:r>
        <w:t>3人一起进行监测。必须相互间能够联络、监护。可能发生更大事故时应立即撤离监测区域。</w:t>
      </w:r>
    </w:p>
    <w:p w14:paraId="2B389808">
      <w:pPr>
        <w:pStyle w:val="28"/>
      </w:pPr>
      <w:bookmarkStart w:id="211" w:name="_Toc28356"/>
      <w:r>
        <w:rPr>
          <w:rFonts w:hint="eastAsia"/>
        </w:rPr>
        <w:t>8.4排污许可制度衔接</w:t>
      </w:r>
      <w:bookmarkEnd w:id="211"/>
    </w:p>
    <w:p w14:paraId="6CDD797F">
      <w:pPr>
        <w:pStyle w:val="33"/>
        <w:rPr>
          <w:u w:val="none"/>
        </w:rPr>
      </w:pPr>
      <w:bookmarkStart w:id="212" w:name="_Toc29901879"/>
      <w:bookmarkStart w:id="213" w:name="_Toc12574"/>
      <w:bookmarkStart w:id="214" w:name="_Toc620"/>
      <w:r>
        <w:rPr>
          <w:rFonts w:hint="eastAsia"/>
          <w:u w:val="none"/>
        </w:rPr>
        <w:t>8.5.1 排污许可制度</w:t>
      </w:r>
      <w:bookmarkEnd w:id="212"/>
      <w:bookmarkEnd w:id="213"/>
      <w:bookmarkEnd w:id="214"/>
    </w:p>
    <w:p w14:paraId="078AFFF7">
      <w:pPr>
        <w:pStyle w:val="21"/>
        <w:ind w:firstLine="480"/>
        <w:rPr>
          <w:u w:val="none"/>
        </w:rPr>
      </w:pPr>
      <w:r>
        <w:rPr>
          <w:rFonts w:hint="eastAsia"/>
          <w:u w:val="none"/>
        </w:rPr>
        <w:t>《国务院办公厅关于印发控制污染物排放许可制实施方案的通知》（国办发〔</w:t>
      </w:r>
      <w:r>
        <w:rPr>
          <w:u w:val="none"/>
        </w:rPr>
        <w:t>2016</w:t>
      </w:r>
      <w:r>
        <w:rPr>
          <w:rFonts w:hint="eastAsia"/>
          <w:u w:val="none"/>
        </w:rPr>
        <w:t>〕</w:t>
      </w:r>
      <w:r>
        <w:rPr>
          <w:u w:val="none"/>
        </w:rPr>
        <w:t xml:space="preserve">81 </w:t>
      </w:r>
      <w:r>
        <w:rPr>
          <w:rFonts w:hint="eastAsia"/>
          <w:u w:val="none"/>
        </w:rPr>
        <w:t>号）明确将排污许可制建设成为固定污染源环境管理的核心制度，作为企业守法、部门执法、社会监督的依据，为提高环境管理效能和改善环境质量奠定坚实基础。</w:t>
      </w:r>
    </w:p>
    <w:p w14:paraId="7A8A5FE6">
      <w:pPr>
        <w:pStyle w:val="21"/>
        <w:ind w:firstLine="480"/>
        <w:rPr>
          <w:u w:val="none"/>
        </w:rPr>
      </w:pPr>
      <w:r>
        <w:rPr>
          <w:rFonts w:hint="eastAsia"/>
          <w:u w:val="none"/>
        </w:rPr>
        <w:t>项目应严格按照国家和地方排污许可制度的要求，推进排污及污染源“一证式”管理工作，并作为建设单位在生产运营期接受环境监管和环境保护部门实施监管的主要法律文书，单位依法变更排污许可证，按证排污，自证守法。</w:t>
      </w:r>
    </w:p>
    <w:p w14:paraId="298DEB19">
      <w:pPr>
        <w:pStyle w:val="21"/>
        <w:ind w:firstLine="480"/>
        <w:rPr>
          <w:u w:val="none"/>
        </w:rPr>
      </w:pPr>
      <w:r>
        <w:rPr>
          <w:rFonts w:hint="eastAsia"/>
          <w:u w:val="none"/>
        </w:rPr>
        <w:t>环境影响评价技术文件及批复中与污染物排放相关的主要内容应当纳入排污许可证，项目建设内容、产品方案、建设规模，采用的工艺流程、工艺技术方案，污染预防和清洁生产措施，环保设施和治理措施，各类污染物排放总量，自行监测要求，环境风险防范体系等，将生产装置、产排污设施载入排污许可证，具体内容见报告书各章节。</w:t>
      </w:r>
    </w:p>
    <w:p w14:paraId="4480F154">
      <w:pPr>
        <w:pStyle w:val="21"/>
        <w:ind w:firstLine="480"/>
        <w:rPr>
          <w:u w:val="none"/>
          <w:lang w:val="zh-CN"/>
        </w:rPr>
      </w:pPr>
      <w:r>
        <w:rPr>
          <w:u w:val="none"/>
          <w:lang w:val="zh-CN"/>
        </w:rPr>
        <w:t>根据《固定污染源排污许可分类管理名录（201</w:t>
      </w:r>
      <w:r>
        <w:rPr>
          <w:rFonts w:hint="eastAsia"/>
          <w:u w:val="none"/>
          <w:lang w:val="zh-CN"/>
        </w:rPr>
        <w:t>9</w:t>
      </w:r>
      <w:r>
        <w:rPr>
          <w:u w:val="none"/>
          <w:lang w:val="zh-CN"/>
        </w:rPr>
        <w:t>年版）》，本项目属于</w:t>
      </w:r>
      <w:r>
        <w:rPr>
          <w:rFonts w:hint="eastAsia"/>
          <w:u w:val="none"/>
          <w:lang w:val="zh-CN"/>
        </w:rPr>
        <w:t>“</w:t>
      </w:r>
      <w:r>
        <w:rPr>
          <w:rFonts w:hint="eastAsia"/>
          <w:u w:val="none"/>
        </w:rPr>
        <w:t>三十二、</w:t>
      </w:r>
      <w:r>
        <w:rPr>
          <w:rFonts w:hint="eastAsia"/>
          <w:u w:val="none"/>
          <w:lang w:val="zh-CN"/>
        </w:rPr>
        <w:t>铁路、船舶、航空航天和其他运输设备制造 37”</w:t>
      </w:r>
      <w:r>
        <w:rPr>
          <w:rFonts w:hint="eastAsia"/>
          <w:u w:val="none"/>
        </w:rPr>
        <w:t>中的“除重点管理以外的年使用10吨及以上溶剂型涂料或者胶粘剂(含稀释剂、固化剂、清洗溶剂)的”</w:t>
      </w:r>
      <w:r>
        <w:rPr>
          <w:rFonts w:hint="eastAsia"/>
          <w:u w:val="none"/>
          <w:lang w:val="zh-CN"/>
        </w:rPr>
        <w:t>，为</w:t>
      </w:r>
      <w:r>
        <w:rPr>
          <w:rFonts w:hint="eastAsia"/>
          <w:u w:val="none"/>
        </w:rPr>
        <w:t>简化</w:t>
      </w:r>
      <w:r>
        <w:rPr>
          <w:rFonts w:hint="eastAsia"/>
          <w:u w:val="none"/>
          <w:lang w:val="zh-CN"/>
        </w:rPr>
        <w:t>管理</w:t>
      </w:r>
      <w:r>
        <w:rPr>
          <w:u w:val="none"/>
          <w:lang w:val="zh-CN"/>
        </w:rPr>
        <w:t>。企业应在</w:t>
      </w:r>
      <w:r>
        <w:rPr>
          <w:rFonts w:hint="eastAsia"/>
          <w:u w:val="none"/>
          <w:lang w:val="zh-CN"/>
        </w:rPr>
        <w:t>启动</w:t>
      </w:r>
      <w:r>
        <w:rPr>
          <w:rFonts w:hint="eastAsia"/>
          <w:u w:val="none"/>
        </w:rPr>
        <w:t>本项目</w:t>
      </w:r>
      <w:r>
        <w:rPr>
          <w:rFonts w:hint="eastAsia"/>
          <w:u w:val="none"/>
          <w:lang w:val="zh-CN"/>
        </w:rPr>
        <w:t>生产设施或在实际排污之前向有核发权的生态环境主管部门申</w:t>
      </w:r>
      <w:r>
        <w:rPr>
          <w:rFonts w:hint="eastAsia"/>
          <w:u w:val="none"/>
        </w:rPr>
        <w:t>请</w:t>
      </w:r>
      <w:r>
        <w:rPr>
          <w:u w:val="none"/>
          <w:lang w:val="zh-CN"/>
        </w:rPr>
        <w:t>排污许可证。</w:t>
      </w:r>
    </w:p>
    <w:p w14:paraId="21B6F5CA">
      <w:pPr>
        <w:pStyle w:val="33"/>
        <w:rPr>
          <w:u w:val="none"/>
          <w:lang w:val="zh-CN"/>
        </w:rPr>
      </w:pPr>
      <w:bookmarkStart w:id="215" w:name="_Toc19807"/>
      <w:bookmarkStart w:id="216" w:name="_Toc673"/>
      <w:bookmarkStart w:id="217" w:name="_Toc29901880"/>
      <w:r>
        <w:rPr>
          <w:rFonts w:hint="eastAsia"/>
          <w:u w:val="none"/>
        </w:rPr>
        <w:t>8</w:t>
      </w:r>
      <w:r>
        <w:rPr>
          <w:rFonts w:hint="eastAsia"/>
          <w:u w:val="none"/>
          <w:lang w:val="zh-CN"/>
        </w:rPr>
        <w:t>.5.2 信息公开制度</w:t>
      </w:r>
      <w:bookmarkEnd w:id="215"/>
      <w:bookmarkEnd w:id="216"/>
      <w:bookmarkEnd w:id="217"/>
    </w:p>
    <w:p w14:paraId="03000ACC">
      <w:pPr>
        <w:pStyle w:val="21"/>
        <w:ind w:firstLine="480"/>
        <w:rPr>
          <w:u w:val="none"/>
          <w:lang w:val="zh-CN"/>
        </w:rPr>
      </w:pPr>
      <w:r>
        <w:rPr>
          <w:u w:val="none"/>
          <w:lang w:val="zh-CN"/>
        </w:rPr>
        <w:t>排污许可要求企业应对相关信息予以公开</w:t>
      </w:r>
      <w:r>
        <w:rPr>
          <w:rFonts w:hint="eastAsia"/>
          <w:u w:val="none"/>
          <w:lang w:val="zh-CN"/>
        </w:rPr>
        <w:t>，相关要求如下：</w:t>
      </w:r>
    </w:p>
    <w:p w14:paraId="33AAE15E">
      <w:pPr>
        <w:pStyle w:val="21"/>
        <w:ind w:firstLine="480"/>
        <w:rPr>
          <w:snapToGrid w:val="0"/>
          <w:kern w:val="0"/>
          <w:u w:val="none"/>
        </w:rPr>
      </w:pPr>
      <w:r>
        <w:rPr>
          <w:snapToGrid w:val="0"/>
          <w:kern w:val="0"/>
          <w:u w:val="none"/>
        </w:rPr>
        <w:t>1、公布方式：企业通过对外网站或报纸、广播、电视、厂区外的电子屏幕等便于公众知晓的方式公开自行监测信息。</w:t>
      </w:r>
    </w:p>
    <w:p w14:paraId="3D94A1E7">
      <w:pPr>
        <w:pStyle w:val="21"/>
        <w:ind w:firstLine="480"/>
        <w:rPr>
          <w:snapToGrid w:val="0"/>
          <w:kern w:val="0"/>
          <w:u w:val="none"/>
        </w:rPr>
      </w:pPr>
      <w:r>
        <w:rPr>
          <w:snapToGrid w:val="0"/>
          <w:kern w:val="0"/>
          <w:u w:val="none"/>
        </w:rPr>
        <w:t>2、公开内容</w:t>
      </w:r>
    </w:p>
    <w:p w14:paraId="0A13E1BB">
      <w:pPr>
        <w:pStyle w:val="21"/>
        <w:ind w:firstLine="480"/>
        <w:rPr>
          <w:snapToGrid w:val="0"/>
          <w:kern w:val="0"/>
          <w:u w:val="none"/>
        </w:rPr>
      </w:pPr>
      <w:r>
        <w:rPr>
          <w:rFonts w:hint="eastAsia" w:ascii="宋体" w:hAnsi="宋体" w:cs="宋体"/>
          <w:snapToGrid w:val="0"/>
          <w:kern w:val="0"/>
          <w:u w:val="none"/>
        </w:rPr>
        <w:t>①</w:t>
      </w:r>
      <w:r>
        <w:rPr>
          <w:snapToGrid w:val="0"/>
          <w:kern w:val="0"/>
          <w:u w:val="none"/>
        </w:rPr>
        <w:t>基础信息：企业名称、法人代表、所属行业、地理位置、生产周期、联系方式、委托监测机构名称等。</w:t>
      </w:r>
    </w:p>
    <w:p w14:paraId="37C768FF">
      <w:pPr>
        <w:pStyle w:val="21"/>
        <w:ind w:firstLine="480"/>
        <w:rPr>
          <w:snapToGrid w:val="0"/>
          <w:kern w:val="0"/>
          <w:u w:val="none"/>
        </w:rPr>
      </w:pPr>
      <w:r>
        <w:rPr>
          <w:rFonts w:hint="eastAsia" w:ascii="宋体" w:hAnsi="宋体" w:cs="宋体"/>
          <w:snapToGrid w:val="0"/>
          <w:kern w:val="0"/>
          <w:u w:val="none"/>
        </w:rPr>
        <w:t>②</w:t>
      </w:r>
      <w:r>
        <w:rPr>
          <w:snapToGrid w:val="0"/>
          <w:kern w:val="0"/>
          <w:u w:val="none"/>
        </w:rPr>
        <w:t>自行监测方案。</w:t>
      </w:r>
    </w:p>
    <w:p w14:paraId="7813E2F6">
      <w:pPr>
        <w:pStyle w:val="21"/>
        <w:ind w:firstLine="480"/>
        <w:rPr>
          <w:snapToGrid w:val="0"/>
          <w:kern w:val="0"/>
          <w:u w:val="none"/>
        </w:rPr>
      </w:pPr>
      <w:r>
        <w:rPr>
          <w:rFonts w:hint="eastAsia" w:ascii="宋体" w:hAnsi="宋体" w:cs="宋体"/>
          <w:snapToGrid w:val="0"/>
          <w:kern w:val="0"/>
          <w:u w:val="none"/>
        </w:rPr>
        <w:t>③</w:t>
      </w:r>
      <w:r>
        <w:rPr>
          <w:snapToGrid w:val="0"/>
          <w:kern w:val="0"/>
          <w:u w:val="none"/>
        </w:rPr>
        <w:t>自行监测结果：全部监测点位、监测时间、污染物种类及浓度、标准限值、达标情况、污染物排放方式及排放去向等。</w:t>
      </w:r>
    </w:p>
    <w:p w14:paraId="2DF6FFE3">
      <w:pPr>
        <w:pStyle w:val="21"/>
        <w:ind w:firstLine="480"/>
        <w:rPr>
          <w:snapToGrid w:val="0"/>
          <w:kern w:val="0"/>
          <w:u w:val="none"/>
        </w:rPr>
      </w:pPr>
      <w:r>
        <w:rPr>
          <w:rFonts w:hint="eastAsia" w:ascii="宋体" w:hAnsi="宋体" w:cs="宋体"/>
          <w:snapToGrid w:val="0"/>
          <w:kern w:val="0"/>
          <w:u w:val="none"/>
        </w:rPr>
        <w:t>④</w:t>
      </w:r>
      <w:r>
        <w:rPr>
          <w:snapToGrid w:val="0"/>
          <w:kern w:val="0"/>
          <w:u w:val="none"/>
        </w:rPr>
        <w:t>未开展自行监测的原因。</w:t>
      </w:r>
    </w:p>
    <w:p w14:paraId="77C37F81">
      <w:pPr>
        <w:pStyle w:val="21"/>
        <w:ind w:firstLine="480"/>
        <w:rPr>
          <w:snapToGrid w:val="0"/>
          <w:kern w:val="0"/>
          <w:u w:val="none"/>
        </w:rPr>
      </w:pPr>
      <w:r>
        <w:rPr>
          <w:rFonts w:hint="eastAsia" w:ascii="宋体" w:hAnsi="宋体" w:cs="宋体"/>
          <w:snapToGrid w:val="0"/>
          <w:kern w:val="0"/>
          <w:u w:val="none"/>
        </w:rPr>
        <w:t>⑤</w:t>
      </w:r>
      <w:r>
        <w:rPr>
          <w:snapToGrid w:val="0"/>
          <w:kern w:val="0"/>
          <w:u w:val="none"/>
        </w:rPr>
        <w:t>污染源监测年度报告。</w:t>
      </w:r>
    </w:p>
    <w:p w14:paraId="21FF621D">
      <w:pPr>
        <w:pStyle w:val="21"/>
        <w:ind w:firstLine="480"/>
        <w:rPr>
          <w:snapToGrid w:val="0"/>
          <w:kern w:val="0"/>
          <w:u w:val="none"/>
        </w:rPr>
      </w:pPr>
      <w:r>
        <w:rPr>
          <w:snapToGrid w:val="0"/>
          <w:kern w:val="0"/>
          <w:u w:val="none"/>
        </w:rPr>
        <w:t>3、公布时限：企业基础信息应随监测数据一并公布，基础信息、监测方案如有调整变化时，应于变更后的5日内公布最新内容。</w:t>
      </w:r>
    </w:p>
    <w:p w14:paraId="7779210F">
      <w:pPr>
        <w:pStyle w:val="21"/>
        <w:ind w:firstLine="480"/>
        <w:rPr>
          <w:snapToGrid w:val="0"/>
          <w:kern w:val="0"/>
          <w:u w:val="none"/>
        </w:rPr>
      </w:pPr>
      <w:r>
        <w:rPr>
          <w:snapToGrid w:val="0"/>
          <w:kern w:val="0"/>
          <w:u w:val="none"/>
        </w:rPr>
        <w:t>每年一月底公布上年度自行监测年度报告。</w:t>
      </w:r>
    </w:p>
    <w:p w14:paraId="555FE953">
      <w:pPr>
        <w:pStyle w:val="33"/>
        <w:bidi w:val="0"/>
        <w:rPr>
          <w:rFonts w:hint="eastAsia"/>
          <w:lang w:val="en-US" w:eastAsia="zh-CN"/>
        </w:rPr>
      </w:pPr>
      <w:bookmarkStart w:id="218" w:name="_Toc4385"/>
      <w:r>
        <w:rPr>
          <w:rFonts w:hint="eastAsia"/>
          <w:lang w:val="en-US" w:eastAsia="zh-CN"/>
        </w:rPr>
        <w:t>8.5.2排污口规范化设置</w:t>
      </w:r>
      <w:bookmarkEnd w:id="218"/>
    </w:p>
    <w:p w14:paraId="2C1D37D6">
      <w:pPr>
        <w:pStyle w:val="21"/>
        <w:bidi w:val="0"/>
      </w:pPr>
      <w:r>
        <w:t>排污口规范化根据《关于开展排放口规范化整治工作的通知》(国家环境保护总局环发[1999]24号)文件的要求，一切新建、改建的排污单位以及限期治理的排污单位，必须在建设污染治理设施的同时，建设规范化排污口。因此，建设单位在投产时，各类排污口必须规范化建设和管理，而且规范化工作应于污染治理同步实施，即治理设施完工时，规范化工作必须同时完成，并列入污染物治理设施的验收内容。同时要求按照国家环保总局制定的《环境保护图形标志实施细则(试行)》的规定，设置与排污口相应的图形标志牌。</w:t>
      </w:r>
    </w:p>
    <w:p w14:paraId="77F3D1D3">
      <w:pPr>
        <w:pStyle w:val="21"/>
        <w:bidi w:val="0"/>
      </w:pPr>
      <w:r>
        <w:rPr>
          <w:rFonts w:hint="eastAsia"/>
        </w:rPr>
        <w:t>（1）废水排放口</w:t>
      </w:r>
    </w:p>
    <w:p w14:paraId="5FC5779F">
      <w:pPr>
        <w:pStyle w:val="21"/>
        <w:bidi w:val="0"/>
      </w:pPr>
      <w:r>
        <w:rPr>
          <w:rFonts w:hint="eastAsia"/>
        </w:rPr>
        <w:t>排污单位的废水排放口应按照《污染源监测技术规范》设置规范的、便于测量流量的测流段和采样点。</w:t>
      </w:r>
    </w:p>
    <w:p w14:paraId="358B0539">
      <w:pPr>
        <w:pStyle w:val="21"/>
        <w:bidi w:val="0"/>
      </w:pPr>
      <w:r>
        <w:rPr>
          <w:rFonts w:hint="eastAsia"/>
        </w:rPr>
        <w:t>（2）废气排放口</w:t>
      </w:r>
    </w:p>
    <w:p w14:paraId="31543C37">
      <w:pPr>
        <w:pStyle w:val="21"/>
        <w:bidi w:val="0"/>
      </w:pPr>
      <w:r>
        <w:t>废气排气筒应设置便于采样、监测的采样口和采样监测平台。当采样平台设置在离地面高度</w:t>
      </w:r>
      <w:r>
        <w:rPr>
          <w:rFonts w:hint="eastAsia"/>
        </w:rPr>
        <w:t>超过</w:t>
      </w:r>
      <w:r>
        <w:t>5m的位置时，应有通往平台的Z字梯/旋梯/升降梯；</w:t>
      </w:r>
    </w:p>
    <w:p w14:paraId="0796E206">
      <w:pPr>
        <w:pStyle w:val="21"/>
        <w:bidi w:val="0"/>
      </w:pPr>
      <w:r>
        <w:t>采样孔、点数目和位置应按《固定污染源排气中颗粒物测定与气态污染物采样方法》（GB/T16157－1996）的规定设置；当采样位置无法满足规范要求时，其位置应由当地环境监测部门确认。</w:t>
      </w:r>
    </w:p>
    <w:p w14:paraId="4269C411">
      <w:pPr>
        <w:pStyle w:val="21"/>
        <w:bidi w:val="0"/>
      </w:pPr>
      <w:r>
        <w:t>废气排气筒附近地面醒目处应设置环境保护图形标志牌。</w:t>
      </w:r>
    </w:p>
    <w:p w14:paraId="6E938961">
      <w:pPr>
        <w:pStyle w:val="21"/>
        <w:bidi w:val="0"/>
      </w:pPr>
      <w:r>
        <w:rPr>
          <w:rFonts w:hint="eastAsia"/>
        </w:rPr>
        <w:t>（3）固定噪声源</w:t>
      </w:r>
    </w:p>
    <w:p w14:paraId="2D0A39D6">
      <w:pPr>
        <w:pStyle w:val="21"/>
        <w:bidi w:val="0"/>
      </w:pPr>
      <w:r>
        <w:rPr>
          <w:rFonts w:hint="eastAsia"/>
        </w:rPr>
        <w:t>按规定对固定噪声源进行治理，并在对外界影响最大处设置标志牌。</w:t>
      </w:r>
    </w:p>
    <w:p w14:paraId="7C599A49">
      <w:pPr>
        <w:pStyle w:val="21"/>
        <w:bidi w:val="0"/>
      </w:pPr>
      <w:r>
        <w:rPr>
          <w:rFonts w:hint="eastAsia"/>
        </w:rPr>
        <w:t>（4）固体废物储存场</w:t>
      </w:r>
    </w:p>
    <w:p w14:paraId="1480D0AB">
      <w:pPr>
        <w:pStyle w:val="21"/>
        <w:bidi w:val="0"/>
      </w:pPr>
      <w:r>
        <w:rPr>
          <w:rFonts w:hint="eastAsia"/>
        </w:rPr>
        <w:t>一般固体废物、危险废物应设置专用贮存、堆放场地，并符合国家标准的要求，采取防止二次扬尘措施。</w:t>
      </w:r>
    </w:p>
    <w:p w14:paraId="2CD1E433">
      <w:pPr>
        <w:pStyle w:val="21"/>
        <w:bidi w:val="0"/>
      </w:pPr>
      <w:r>
        <w:rPr>
          <w:rFonts w:hint="eastAsia"/>
        </w:rPr>
        <w:t>（5）设置标志牌要求</w:t>
      </w:r>
    </w:p>
    <w:p w14:paraId="0B2C3539">
      <w:pPr>
        <w:pStyle w:val="21"/>
        <w:bidi w:val="0"/>
      </w:pPr>
      <w:r>
        <w:t>排放一般污染物排污口（源），设置提示式标志牌，排放有毒有害等污染物的排污口设置警告式标志牌。标志牌设置位置在排污口（采样点）附近且醒目处，高度为标志牌上缘离地面2m。排污口附近1m范围内有建筑物的，设平面式标志牌，无建筑物的设立式标志牌。</w:t>
      </w:r>
    </w:p>
    <w:p w14:paraId="6B76265E">
      <w:pPr>
        <w:pStyle w:val="21"/>
        <w:rPr>
          <w:rFonts w:hint="default"/>
          <w:lang w:val="en-US" w:eastAsia="zh-CN"/>
        </w:rPr>
      </w:pPr>
      <w:r>
        <w:rPr>
          <w:rFonts w:hint="eastAsia" w:cs="Times New Roman"/>
          <w:bCs/>
          <w:color w:val="000000"/>
          <w:szCs w:val="24"/>
        </w:rPr>
        <w:t>规范化排污口的有关设置（如图形标志牌、计量装置、监控装置等）属环保设施，排污单位必须负责日常的维护保养，任何单位和个人不得擅自拆除，如需变更的须报相关部门同意并办理变更手续。</w:t>
      </w:r>
    </w:p>
    <w:p w14:paraId="60D7D7AC">
      <w:pPr>
        <w:pStyle w:val="28"/>
      </w:pPr>
      <w:bookmarkStart w:id="219" w:name="_Toc29946"/>
      <w:r>
        <w:rPr>
          <w:rFonts w:hint="eastAsia"/>
        </w:rPr>
        <w:t>8.5竣工环境保护验收要求</w:t>
      </w:r>
      <w:bookmarkEnd w:id="219"/>
    </w:p>
    <w:p w14:paraId="6B148C33">
      <w:pPr>
        <w:pStyle w:val="21"/>
        <w:bidi w:val="0"/>
      </w:pPr>
      <w:r>
        <w:t>项目竣工环保验收主要内容见下表。</w:t>
      </w:r>
    </w:p>
    <w:p w14:paraId="0E537B57">
      <w:pPr>
        <w:pStyle w:val="23"/>
      </w:pPr>
      <w:r>
        <w:t>表</w:t>
      </w:r>
      <w:r>
        <w:rPr>
          <w:rFonts w:hint="eastAsia"/>
        </w:rPr>
        <w:t>8.</w:t>
      </w:r>
      <w:r>
        <w:rPr>
          <w:rFonts w:hint="eastAsia"/>
          <w:lang w:val="en-US" w:eastAsia="zh-CN"/>
        </w:rPr>
        <w:t>6</w:t>
      </w:r>
      <w:r>
        <w:rPr>
          <w:rFonts w:hint="eastAsia"/>
        </w:rPr>
        <w:t>-</w:t>
      </w:r>
      <w:r>
        <w:t>1 建设项目竣工环保验收一览表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2"/>
        <w:gridCol w:w="1797"/>
        <w:gridCol w:w="3067"/>
        <w:gridCol w:w="3066"/>
      </w:tblGrid>
      <w:tr w14:paraId="172B7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47" w:type="pct"/>
            <w:vAlign w:val="center"/>
          </w:tcPr>
          <w:p w14:paraId="33AF60FE">
            <w:pPr>
              <w:pStyle w:val="31"/>
            </w:pPr>
            <w:r>
              <w:t>类别</w:t>
            </w:r>
          </w:p>
        </w:tc>
        <w:tc>
          <w:tcPr>
            <w:tcW w:w="1054" w:type="pct"/>
            <w:vAlign w:val="center"/>
          </w:tcPr>
          <w:p w14:paraId="6A28C670">
            <w:pPr>
              <w:pStyle w:val="31"/>
            </w:pPr>
            <w:r>
              <w:t>项目</w:t>
            </w:r>
          </w:p>
        </w:tc>
        <w:tc>
          <w:tcPr>
            <w:tcW w:w="1799" w:type="pct"/>
            <w:vAlign w:val="center"/>
          </w:tcPr>
          <w:p w14:paraId="3951B28B">
            <w:pPr>
              <w:pStyle w:val="31"/>
            </w:pPr>
            <w:r>
              <w:t>治理措施</w:t>
            </w:r>
          </w:p>
        </w:tc>
        <w:tc>
          <w:tcPr>
            <w:tcW w:w="1798" w:type="pct"/>
            <w:vAlign w:val="center"/>
          </w:tcPr>
          <w:p w14:paraId="0E3B6201">
            <w:pPr>
              <w:pStyle w:val="31"/>
            </w:pPr>
            <w:r>
              <w:t>验收标准和要求</w:t>
            </w:r>
          </w:p>
        </w:tc>
      </w:tr>
      <w:tr w14:paraId="27D0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Align w:val="center"/>
          </w:tcPr>
          <w:p w14:paraId="7A49C24A">
            <w:pPr>
              <w:pStyle w:val="31"/>
            </w:pPr>
            <w:r>
              <w:t>废气</w:t>
            </w:r>
          </w:p>
        </w:tc>
        <w:tc>
          <w:tcPr>
            <w:tcW w:w="1054" w:type="pct"/>
            <w:vAlign w:val="center"/>
          </w:tcPr>
          <w:p w14:paraId="7AAF8F6F">
            <w:pPr>
              <w:pStyle w:val="31"/>
            </w:pPr>
            <w:r>
              <w:rPr>
                <w:rFonts w:hint="eastAsia"/>
              </w:rPr>
              <w:t>厂界无组织废气（</w:t>
            </w:r>
            <w:r>
              <w:t>船舶切割</w:t>
            </w:r>
            <w:r>
              <w:rPr>
                <w:rFonts w:hint="eastAsia"/>
              </w:rPr>
              <w:t>废气、残油抽取、危险废物暂存间等）</w:t>
            </w:r>
          </w:p>
        </w:tc>
        <w:tc>
          <w:tcPr>
            <w:tcW w:w="1799" w:type="pct"/>
            <w:vAlign w:val="center"/>
          </w:tcPr>
          <w:p w14:paraId="3C1E8D96">
            <w:pPr>
              <w:pStyle w:val="31"/>
            </w:pPr>
            <w:r>
              <w:t>船台四周设置防风网</w:t>
            </w:r>
            <w:r>
              <w:rPr>
                <w:rFonts w:hint="eastAsia"/>
              </w:rPr>
              <w:t>、</w:t>
            </w:r>
            <w:r>
              <w:t>移动式烟尘净化装置</w:t>
            </w:r>
          </w:p>
        </w:tc>
        <w:tc>
          <w:tcPr>
            <w:tcW w:w="1798" w:type="pct"/>
            <w:vAlign w:val="center"/>
          </w:tcPr>
          <w:p w14:paraId="7B2A7B7F">
            <w:pPr>
              <w:pStyle w:val="31"/>
            </w:pPr>
            <w:r>
              <w:t>《大气污染物综合排放标准》（GB16297-1996）</w:t>
            </w:r>
            <w:r>
              <w:rPr>
                <w:rFonts w:hint="eastAsia"/>
              </w:rPr>
              <w:t>表2中标准</w:t>
            </w:r>
          </w:p>
        </w:tc>
      </w:tr>
      <w:tr w14:paraId="5E77F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restart"/>
            <w:vAlign w:val="center"/>
          </w:tcPr>
          <w:p w14:paraId="14F83CC2">
            <w:pPr>
              <w:pStyle w:val="31"/>
            </w:pPr>
            <w:r>
              <w:t>废水</w:t>
            </w:r>
          </w:p>
        </w:tc>
        <w:tc>
          <w:tcPr>
            <w:tcW w:w="1054" w:type="pct"/>
            <w:vAlign w:val="center"/>
          </w:tcPr>
          <w:p w14:paraId="123F9AE0">
            <w:pPr>
              <w:pStyle w:val="31"/>
            </w:pPr>
            <w:r>
              <w:t>生产废水</w:t>
            </w:r>
          </w:p>
        </w:tc>
        <w:tc>
          <w:tcPr>
            <w:tcW w:w="1799" w:type="pct"/>
            <w:vAlign w:val="center"/>
          </w:tcPr>
          <w:p w14:paraId="2D2536ED">
            <w:pPr>
              <w:pStyle w:val="31"/>
              <w:rPr>
                <w:rFonts w:hint="default" w:eastAsia="宋体"/>
                <w:lang w:val="en-US" w:eastAsia="zh-CN"/>
              </w:rPr>
            </w:pPr>
            <w:r>
              <w:rPr>
                <w:rFonts w:hint="eastAsia"/>
              </w:rPr>
              <w:t>170</w:t>
            </w:r>
            <w:r>
              <w:t>m</w:t>
            </w:r>
            <w:r>
              <w:rPr>
                <w:vertAlign w:val="superscript"/>
              </w:rPr>
              <w:t>3</w:t>
            </w:r>
            <w:r>
              <w:t>污水</w:t>
            </w:r>
            <w:r>
              <w:rPr>
                <w:rFonts w:hint="eastAsia"/>
              </w:rPr>
              <w:t>隔油沉淀池</w:t>
            </w:r>
            <w:r>
              <w:rPr>
                <w:rFonts w:hint="eastAsia"/>
                <w:lang w:val="en-US" w:eastAsia="zh-CN"/>
              </w:rPr>
              <w:t>+30t/d废水处理站</w:t>
            </w:r>
          </w:p>
        </w:tc>
        <w:tc>
          <w:tcPr>
            <w:tcW w:w="1798" w:type="pct"/>
            <w:vMerge w:val="restart"/>
            <w:vAlign w:val="center"/>
          </w:tcPr>
          <w:p w14:paraId="07B8FABE">
            <w:pPr>
              <w:pStyle w:val="31"/>
            </w:pPr>
            <w:r>
              <w:t>《污水综合排放标准》（GB8978-1996）</w:t>
            </w:r>
            <w:r>
              <w:rPr>
                <w:rFonts w:hint="eastAsia"/>
                <w:lang w:val="en-US" w:eastAsia="zh-CN"/>
              </w:rPr>
              <w:t>一</w:t>
            </w:r>
            <w:r>
              <w:t>级标准与</w:t>
            </w:r>
            <w:r>
              <w:rPr>
                <w:rFonts w:hint="eastAsia"/>
              </w:rPr>
              <w:t>三樟镇</w:t>
            </w:r>
            <w:r>
              <w:t>污水处理厂进水水质标准较严值</w:t>
            </w:r>
          </w:p>
        </w:tc>
      </w:tr>
      <w:tr w14:paraId="4737B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48E11953">
            <w:pPr>
              <w:pStyle w:val="31"/>
            </w:pPr>
          </w:p>
        </w:tc>
        <w:tc>
          <w:tcPr>
            <w:tcW w:w="1054" w:type="pct"/>
            <w:vAlign w:val="center"/>
          </w:tcPr>
          <w:p w14:paraId="7E955998">
            <w:pPr>
              <w:pStyle w:val="31"/>
            </w:pPr>
            <w:r>
              <w:rPr>
                <w:rFonts w:hint="eastAsia"/>
              </w:rPr>
              <w:t>初期</w:t>
            </w:r>
            <w:r>
              <w:t>雨水</w:t>
            </w:r>
          </w:p>
        </w:tc>
        <w:tc>
          <w:tcPr>
            <w:tcW w:w="1799" w:type="pct"/>
            <w:vAlign w:val="center"/>
          </w:tcPr>
          <w:p w14:paraId="429B1142">
            <w:pPr>
              <w:pStyle w:val="31"/>
            </w:pPr>
            <w:r>
              <w:t>雨污分流系统、</w:t>
            </w:r>
            <w:r>
              <w:rPr>
                <w:rFonts w:hint="eastAsia"/>
              </w:rPr>
              <w:t>隔油沉淀池170m</w:t>
            </w:r>
            <w:r>
              <w:rPr>
                <w:rFonts w:hint="eastAsia"/>
                <w:vertAlign w:val="superscript"/>
              </w:rPr>
              <w:t>3</w:t>
            </w:r>
            <w:r>
              <w:t>、雨水排口截止阀</w:t>
            </w:r>
          </w:p>
        </w:tc>
        <w:tc>
          <w:tcPr>
            <w:tcW w:w="1798" w:type="pct"/>
            <w:vMerge w:val="continue"/>
            <w:vAlign w:val="center"/>
          </w:tcPr>
          <w:p w14:paraId="51F1E053">
            <w:pPr>
              <w:pStyle w:val="31"/>
            </w:pPr>
          </w:p>
        </w:tc>
      </w:tr>
      <w:tr w14:paraId="58DAF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4194A85A">
            <w:pPr>
              <w:pStyle w:val="31"/>
            </w:pPr>
          </w:p>
        </w:tc>
        <w:tc>
          <w:tcPr>
            <w:tcW w:w="1054" w:type="pct"/>
            <w:vAlign w:val="center"/>
          </w:tcPr>
          <w:p w14:paraId="03274649">
            <w:pPr>
              <w:pStyle w:val="31"/>
              <w:rPr>
                <w:rFonts w:hint="default" w:eastAsia="宋体"/>
                <w:lang w:val="en-US" w:eastAsia="zh-CN"/>
              </w:rPr>
            </w:pPr>
            <w:r>
              <w:rPr>
                <w:rFonts w:hint="eastAsia"/>
                <w:lang w:val="en-US" w:eastAsia="zh-CN"/>
              </w:rPr>
              <w:t>生活污水</w:t>
            </w:r>
          </w:p>
        </w:tc>
        <w:tc>
          <w:tcPr>
            <w:tcW w:w="1799" w:type="pct"/>
            <w:vAlign w:val="center"/>
          </w:tcPr>
          <w:p w14:paraId="0FED46DC">
            <w:pPr>
              <w:pStyle w:val="31"/>
              <w:rPr>
                <w:rFonts w:hint="default" w:eastAsia="宋体"/>
                <w:lang w:val="en-US" w:eastAsia="zh-CN"/>
              </w:rPr>
            </w:pPr>
            <w:r>
              <w:rPr>
                <w:rFonts w:hint="eastAsia"/>
                <w:lang w:val="en-US" w:eastAsia="zh-CN"/>
              </w:rPr>
              <w:t>隔油池、化粪池</w:t>
            </w:r>
          </w:p>
        </w:tc>
        <w:tc>
          <w:tcPr>
            <w:tcW w:w="1798" w:type="pct"/>
            <w:vAlign w:val="center"/>
          </w:tcPr>
          <w:p w14:paraId="7BFA8DFD">
            <w:pPr>
              <w:pStyle w:val="31"/>
              <w:rPr>
                <w:rFonts w:hint="default" w:eastAsia="宋体"/>
                <w:lang w:val="en-US" w:eastAsia="zh-CN"/>
              </w:rPr>
            </w:pPr>
            <w:r>
              <w:rPr>
                <w:rFonts w:hint="eastAsia"/>
                <w:lang w:val="en-US" w:eastAsia="zh-CN"/>
              </w:rPr>
              <w:t>处理后定期清掏用于周边农田施肥，不外排</w:t>
            </w:r>
          </w:p>
        </w:tc>
      </w:tr>
      <w:tr w14:paraId="767B9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restart"/>
            <w:vAlign w:val="center"/>
          </w:tcPr>
          <w:p w14:paraId="3F8F4F47">
            <w:pPr>
              <w:pStyle w:val="31"/>
            </w:pPr>
            <w:r>
              <w:t>固体废物</w:t>
            </w:r>
          </w:p>
        </w:tc>
        <w:tc>
          <w:tcPr>
            <w:tcW w:w="1054" w:type="pct"/>
            <w:vAlign w:val="center"/>
          </w:tcPr>
          <w:p w14:paraId="77E13D4B">
            <w:pPr>
              <w:pStyle w:val="31"/>
            </w:pPr>
            <w:r>
              <w:t>危险废物</w:t>
            </w:r>
          </w:p>
        </w:tc>
        <w:tc>
          <w:tcPr>
            <w:tcW w:w="1799" w:type="pct"/>
            <w:vAlign w:val="center"/>
          </w:tcPr>
          <w:p w14:paraId="16F952AC">
            <w:pPr>
              <w:pStyle w:val="31"/>
            </w:pPr>
            <w:r>
              <w:rPr>
                <w:color w:val="000000"/>
              </w:rPr>
              <w:t>危险废物暂存间，面积约</w:t>
            </w:r>
            <w:r>
              <w:rPr>
                <w:rFonts w:hint="eastAsia"/>
                <w:color w:val="000000"/>
              </w:rPr>
              <w:t>100</w:t>
            </w:r>
            <w:r>
              <w:rPr>
                <w:color w:val="000000"/>
              </w:rPr>
              <w:t>m</w:t>
            </w:r>
            <w:r>
              <w:rPr>
                <w:color w:val="000000"/>
                <w:vertAlign w:val="superscript"/>
              </w:rPr>
              <w:t>2</w:t>
            </w:r>
            <w:r>
              <w:rPr>
                <w:color w:val="000000"/>
              </w:rPr>
              <w:t>，</w:t>
            </w:r>
            <w:r>
              <w:rPr>
                <w:rFonts w:hint="eastAsia"/>
                <w:color w:val="000000"/>
                <w:lang w:val="en-US" w:eastAsia="zh-CN"/>
              </w:rPr>
              <w:t>建设位于防洪堤内侧，</w:t>
            </w:r>
            <w:r>
              <w:rPr>
                <w:color w:val="000000"/>
              </w:rPr>
              <w:t>满足《危险废物贮存污染控制标准》(GB18597-2023）</w:t>
            </w:r>
          </w:p>
        </w:tc>
        <w:tc>
          <w:tcPr>
            <w:tcW w:w="1798" w:type="pct"/>
            <w:vMerge w:val="restart"/>
            <w:vAlign w:val="center"/>
          </w:tcPr>
          <w:p w14:paraId="75E53DAA">
            <w:pPr>
              <w:pStyle w:val="31"/>
            </w:pPr>
            <w:r>
              <w:t>妥善处置，不产生二次污染</w:t>
            </w:r>
          </w:p>
        </w:tc>
      </w:tr>
      <w:tr w14:paraId="6941E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7D72C85A">
            <w:pPr>
              <w:pStyle w:val="31"/>
            </w:pPr>
          </w:p>
        </w:tc>
        <w:tc>
          <w:tcPr>
            <w:tcW w:w="1054" w:type="pct"/>
            <w:vAlign w:val="center"/>
          </w:tcPr>
          <w:p w14:paraId="377D2E31">
            <w:pPr>
              <w:pStyle w:val="31"/>
            </w:pPr>
            <w:r>
              <w:t>一般工业固废</w:t>
            </w:r>
          </w:p>
        </w:tc>
        <w:tc>
          <w:tcPr>
            <w:tcW w:w="1799" w:type="pct"/>
            <w:vAlign w:val="center"/>
          </w:tcPr>
          <w:p w14:paraId="5861CD44">
            <w:pPr>
              <w:pStyle w:val="31"/>
              <w:rPr>
                <w:color w:val="000000"/>
              </w:rPr>
            </w:pPr>
            <w:r>
              <w:rPr>
                <w:color w:val="000000"/>
              </w:rPr>
              <w:t>一般固废暂存间</w:t>
            </w:r>
            <w:r>
              <w:rPr>
                <w:rFonts w:hint="eastAsia"/>
                <w:color w:val="000000"/>
              </w:rPr>
              <w:t>20</w:t>
            </w:r>
            <w:r>
              <w:rPr>
                <w:color w:val="000000"/>
              </w:rPr>
              <w:t>m</w:t>
            </w:r>
            <w:r>
              <w:rPr>
                <w:color w:val="000000"/>
                <w:vertAlign w:val="superscript"/>
              </w:rPr>
              <w:t>2</w:t>
            </w:r>
            <w:r>
              <w:rPr>
                <w:color w:val="000000"/>
              </w:rPr>
              <w:t>，</w:t>
            </w:r>
            <w:r>
              <w:rPr>
                <w:rFonts w:hint="eastAsia"/>
                <w:color w:val="000000"/>
                <w:lang w:val="en-US" w:eastAsia="zh-CN"/>
              </w:rPr>
              <w:t>建设位于防洪堤内侧，</w:t>
            </w:r>
            <w:r>
              <w:rPr>
                <w:color w:val="000000"/>
              </w:rPr>
              <w:t>满足《一般工业固体废物贮存和填埋污染控制标准》(GB 18599-2020)要求</w:t>
            </w:r>
          </w:p>
        </w:tc>
        <w:tc>
          <w:tcPr>
            <w:tcW w:w="1798" w:type="pct"/>
            <w:vMerge w:val="continue"/>
            <w:vAlign w:val="center"/>
          </w:tcPr>
          <w:p w14:paraId="3B0C7DC6">
            <w:pPr>
              <w:pStyle w:val="31"/>
            </w:pPr>
          </w:p>
        </w:tc>
      </w:tr>
      <w:tr w14:paraId="30E6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204C9A6F">
            <w:pPr>
              <w:pStyle w:val="31"/>
            </w:pPr>
          </w:p>
        </w:tc>
        <w:tc>
          <w:tcPr>
            <w:tcW w:w="1054" w:type="pct"/>
            <w:vAlign w:val="center"/>
          </w:tcPr>
          <w:p w14:paraId="35CD45B4">
            <w:pPr>
              <w:pStyle w:val="31"/>
            </w:pPr>
            <w:r>
              <w:t>生活垃圾</w:t>
            </w:r>
          </w:p>
        </w:tc>
        <w:tc>
          <w:tcPr>
            <w:tcW w:w="1799" w:type="pct"/>
            <w:vAlign w:val="center"/>
          </w:tcPr>
          <w:p w14:paraId="1EF7D8C5">
            <w:pPr>
              <w:pStyle w:val="31"/>
            </w:pPr>
            <w:r>
              <w:t>交环卫部门处理</w:t>
            </w:r>
          </w:p>
        </w:tc>
        <w:tc>
          <w:tcPr>
            <w:tcW w:w="1798" w:type="pct"/>
            <w:vMerge w:val="continue"/>
            <w:vAlign w:val="center"/>
          </w:tcPr>
          <w:p w14:paraId="2543B0E5">
            <w:pPr>
              <w:pStyle w:val="31"/>
            </w:pPr>
          </w:p>
        </w:tc>
      </w:tr>
      <w:tr w14:paraId="17D5C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Align w:val="center"/>
          </w:tcPr>
          <w:p w14:paraId="0357D9BC">
            <w:pPr>
              <w:pStyle w:val="31"/>
            </w:pPr>
            <w:r>
              <w:t>噪声</w:t>
            </w:r>
          </w:p>
        </w:tc>
        <w:tc>
          <w:tcPr>
            <w:tcW w:w="1054" w:type="pct"/>
            <w:vAlign w:val="center"/>
          </w:tcPr>
          <w:p w14:paraId="5C48A868">
            <w:pPr>
              <w:pStyle w:val="31"/>
            </w:pPr>
            <w:r>
              <w:t>噪声</w:t>
            </w:r>
          </w:p>
        </w:tc>
        <w:tc>
          <w:tcPr>
            <w:tcW w:w="1799" w:type="pct"/>
            <w:vAlign w:val="center"/>
          </w:tcPr>
          <w:p w14:paraId="6A7196F0">
            <w:pPr>
              <w:pStyle w:val="31"/>
            </w:pPr>
            <w:r>
              <w:t>隔声、减振</w:t>
            </w:r>
            <w:r>
              <w:rPr>
                <w:rFonts w:hint="eastAsia"/>
              </w:rPr>
              <w:t>、消声</w:t>
            </w:r>
          </w:p>
        </w:tc>
        <w:tc>
          <w:tcPr>
            <w:tcW w:w="1798" w:type="pct"/>
            <w:vAlign w:val="center"/>
          </w:tcPr>
          <w:p w14:paraId="22B86A61">
            <w:pPr>
              <w:pStyle w:val="31"/>
            </w:pPr>
            <w:r>
              <w:t>《工业企业厂界环境噪声排放标准》（GB12348-2008）</w:t>
            </w:r>
            <w:r>
              <w:rPr>
                <w:rFonts w:hint="eastAsia"/>
                <w:lang w:val="en-US" w:eastAsia="zh-CN"/>
              </w:rPr>
              <w:t>2</w:t>
            </w:r>
            <w:r>
              <w:t>类标准</w:t>
            </w:r>
          </w:p>
        </w:tc>
      </w:tr>
      <w:tr w14:paraId="13988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Align w:val="center"/>
          </w:tcPr>
          <w:p w14:paraId="7E80BE75">
            <w:pPr>
              <w:pStyle w:val="31"/>
            </w:pPr>
            <w:r>
              <w:t>土壤和地下水</w:t>
            </w:r>
          </w:p>
        </w:tc>
        <w:tc>
          <w:tcPr>
            <w:tcW w:w="2853" w:type="pct"/>
            <w:gridSpan w:val="2"/>
            <w:vAlign w:val="center"/>
          </w:tcPr>
          <w:p w14:paraId="2C1798C0">
            <w:pPr>
              <w:pStyle w:val="31"/>
            </w:pPr>
            <w:r>
              <w:rPr>
                <w:color w:val="000000"/>
              </w:rPr>
              <w:t>分区防渗措施，</w:t>
            </w:r>
            <w:r>
              <w:t>地下水监测井</w:t>
            </w:r>
            <w:r>
              <w:rPr>
                <w:rFonts w:hint="eastAsia"/>
              </w:rPr>
              <w:t>，地面开裂部分修复等</w:t>
            </w:r>
          </w:p>
        </w:tc>
        <w:tc>
          <w:tcPr>
            <w:tcW w:w="1798" w:type="pct"/>
            <w:vAlign w:val="center"/>
          </w:tcPr>
          <w:p w14:paraId="204BB62C">
            <w:pPr>
              <w:pStyle w:val="31"/>
            </w:pPr>
            <w:r>
              <w:rPr>
                <w:color w:val="000000"/>
              </w:rPr>
              <w:t>满足相应级别防渗要求</w:t>
            </w:r>
          </w:p>
        </w:tc>
      </w:tr>
      <w:tr w14:paraId="335ED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restart"/>
            <w:vAlign w:val="center"/>
          </w:tcPr>
          <w:p w14:paraId="5D87D232">
            <w:pPr>
              <w:pStyle w:val="31"/>
            </w:pPr>
            <w:r>
              <w:t>环境风险</w:t>
            </w:r>
          </w:p>
        </w:tc>
        <w:tc>
          <w:tcPr>
            <w:tcW w:w="2853" w:type="pct"/>
            <w:gridSpan w:val="2"/>
            <w:vAlign w:val="center"/>
          </w:tcPr>
          <w:p w14:paraId="3E97AF1E">
            <w:pPr>
              <w:pStyle w:val="31"/>
            </w:pPr>
            <w:r>
              <w:t>初期雨水收集池</w:t>
            </w:r>
            <w:r>
              <w:rPr>
                <w:rFonts w:hint="eastAsia"/>
              </w:rPr>
              <w:t>（含事故应急池）120</w:t>
            </w:r>
            <w:r>
              <w:t>m</w:t>
            </w:r>
            <w:r>
              <w:rPr>
                <w:vertAlign w:val="superscript"/>
              </w:rPr>
              <w:t>3</w:t>
            </w:r>
          </w:p>
        </w:tc>
        <w:tc>
          <w:tcPr>
            <w:tcW w:w="1798" w:type="pct"/>
            <w:vMerge w:val="restart"/>
            <w:vAlign w:val="center"/>
          </w:tcPr>
          <w:p w14:paraId="5C25DB67">
            <w:pPr>
              <w:pStyle w:val="31"/>
            </w:pPr>
            <w:r>
              <w:t>环境风险可控</w:t>
            </w:r>
          </w:p>
        </w:tc>
      </w:tr>
      <w:tr w14:paraId="15F70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59B2011A">
            <w:pPr>
              <w:pStyle w:val="31"/>
            </w:pPr>
          </w:p>
        </w:tc>
        <w:tc>
          <w:tcPr>
            <w:tcW w:w="2853" w:type="pct"/>
            <w:gridSpan w:val="2"/>
            <w:vAlign w:val="center"/>
          </w:tcPr>
          <w:p w14:paraId="1CE13217">
            <w:pPr>
              <w:pStyle w:val="31"/>
            </w:pPr>
            <w:r>
              <w:t>按要求编制应急预案并备案</w:t>
            </w:r>
          </w:p>
        </w:tc>
        <w:tc>
          <w:tcPr>
            <w:tcW w:w="1798" w:type="pct"/>
            <w:vMerge w:val="continue"/>
            <w:vAlign w:val="center"/>
          </w:tcPr>
          <w:p w14:paraId="064B6890">
            <w:pPr>
              <w:pStyle w:val="31"/>
            </w:pPr>
          </w:p>
        </w:tc>
      </w:tr>
      <w:tr w14:paraId="77096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71429CEB">
            <w:pPr>
              <w:pStyle w:val="31"/>
            </w:pPr>
          </w:p>
        </w:tc>
        <w:tc>
          <w:tcPr>
            <w:tcW w:w="2853" w:type="pct"/>
            <w:gridSpan w:val="2"/>
            <w:vAlign w:val="center"/>
          </w:tcPr>
          <w:p w14:paraId="5078BD85">
            <w:pPr>
              <w:pStyle w:val="31"/>
              <w:rPr>
                <w:rFonts w:hint="default" w:eastAsia="宋体"/>
                <w:lang w:val="en-US" w:eastAsia="zh-CN"/>
              </w:rPr>
            </w:pPr>
            <w:r>
              <w:rPr>
                <w:rFonts w:hint="eastAsia"/>
                <w:lang w:val="en-US" w:eastAsia="zh-CN"/>
              </w:rPr>
              <w:t>一般固废暂存间、危险废物暂存间位于防洪堤内侧</w:t>
            </w:r>
          </w:p>
        </w:tc>
        <w:tc>
          <w:tcPr>
            <w:tcW w:w="1798" w:type="pct"/>
            <w:vMerge w:val="continue"/>
            <w:vAlign w:val="center"/>
          </w:tcPr>
          <w:p w14:paraId="6F428D86">
            <w:pPr>
              <w:pStyle w:val="31"/>
            </w:pPr>
          </w:p>
        </w:tc>
      </w:tr>
      <w:tr w14:paraId="3B6E5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47" w:type="pct"/>
            <w:vMerge w:val="continue"/>
            <w:vAlign w:val="center"/>
          </w:tcPr>
          <w:p w14:paraId="47C9DF68">
            <w:pPr>
              <w:pStyle w:val="31"/>
            </w:pPr>
          </w:p>
        </w:tc>
        <w:tc>
          <w:tcPr>
            <w:tcW w:w="2853" w:type="pct"/>
            <w:gridSpan w:val="2"/>
            <w:vAlign w:val="center"/>
          </w:tcPr>
          <w:p w14:paraId="3D0A0BE5">
            <w:pPr>
              <w:pStyle w:val="31"/>
              <w:rPr>
                <w:rFonts w:hint="default"/>
                <w:lang w:val="en-US" w:eastAsia="zh-CN"/>
              </w:rPr>
            </w:pPr>
            <w:r>
              <w:rPr>
                <w:rFonts w:hint="eastAsia"/>
                <w:lang w:val="en-US" w:eastAsia="zh-CN"/>
              </w:rPr>
              <w:t>隔油沉淀池设置了自动水泵及液位控制装置，根据液位自动将废水抽至废水处理站处理</w:t>
            </w:r>
          </w:p>
        </w:tc>
        <w:tc>
          <w:tcPr>
            <w:tcW w:w="1798" w:type="pct"/>
            <w:vMerge w:val="continue"/>
            <w:vAlign w:val="center"/>
          </w:tcPr>
          <w:p w14:paraId="28B79FC9">
            <w:pPr>
              <w:pStyle w:val="31"/>
            </w:pPr>
          </w:p>
        </w:tc>
      </w:tr>
      <w:tr w14:paraId="2B4D8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347" w:type="pct"/>
            <w:vAlign w:val="center"/>
          </w:tcPr>
          <w:p w14:paraId="4095FC08">
            <w:pPr>
              <w:pStyle w:val="31"/>
            </w:pPr>
            <w:r>
              <w:t>环境管理</w:t>
            </w:r>
          </w:p>
        </w:tc>
        <w:tc>
          <w:tcPr>
            <w:tcW w:w="2853" w:type="pct"/>
            <w:gridSpan w:val="2"/>
            <w:vAlign w:val="center"/>
          </w:tcPr>
          <w:p w14:paraId="54F295AC">
            <w:pPr>
              <w:pStyle w:val="31"/>
            </w:pPr>
            <w:r>
              <w:t>有相应环境管理和监测制度，各排污口设置标识标牌等</w:t>
            </w:r>
          </w:p>
        </w:tc>
        <w:tc>
          <w:tcPr>
            <w:tcW w:w="1798" w:type="pct"/>
            <w:vAlign w:val="center"/>
          </w:tcPr>
          <w:p w14:paraId="7964CE5C">
            <w:pPr>
              <w:pStyle w:val="31"/>
            </w:pPr>
            <w:r>
              <w:t>/</w:t>
            </w:r>
          </w:p>
        </w:tc>
      </w:tr>
    </w:tbl>
    <w:p w14:paraId="127E1563">
      <w:pPr>
        <w:pStyle w:val="28"/>
      </w:pPr>
      <w:bookmarkStart w:id="220" w:name="_Toc4617"/>
      <w:r>
        <w:rPr>
          <w:rFonts w:hint="eastAsia"/>
        </w:rPr>
        <w:t>8.6总量控制要求</w:t>
      </w:r>
      <w:bookmarkEnd w:id="220"/>
    </w:p>
    <w:p w14:paraId="2BBE7557">
      <w:pPr>
        <w:pStyle w:val="21"/>
        <w:ind w:firstLine="480"/>
      </w:pPr>
      <w:r>
        <w:rPr>
          <w:rFonts w:hint="eastAsia"/>
        </w:rPr>
        <w:t>根据项目污染物排放情况，确定本项目的总量控制因子。水污染物总量控制因子包括</w:t>
      </w:r>
      <w:r>
        <w:t>COD、氨氮</w:t>
      </w:r>
      <w:r>
        <w:rPr>
          <w:rFonts w:hint="eastAsia"/>
        </w:rPr>
        <w:t>；大气污染物总量控制因子包括VOCs</w:t>
      </w:r>
      <w:r>
        <w:t>。总量指标详见下表。</w:t>
      </w:r>
    </w:p>
    <w:p w14:paraId="480340AC">
      <w:pPr>
        <w:pStyle w:val="21"/>
        <w:ind w:firstLine="480"/>
      </w:pPr>
    </w:p>
    <w:p w14:paraId="3B6E0E86">
      <w:pPr>
        <w:pStyle w:val="21"/>
        <w:ind w:firstLine="480"/>
      </w:pPr>
    </w:p>
    <w:p w14:paraId="44A84AAB">
      <w:pPr>
        <w:pStyle w:val="23"/>
        <w:ind w:firstLine="480"/>
      </w:pPr>
      <w:r>
        <w:rPr>
          <w:rFonts w:hint="eastAsia"/>
        </w:rPr>
        <w:t>表8.</w:t>
      </w:r>
      <w:r>
        <w:rPr>
          <w:rFonts w:hint="eastAsia"/>
          <w:lang w:val="en-US" w:eastAsia="zh-CN"/>
        </w:rPr>
        <w:t>6</w:t>
      </w:r>
      <w:r>
        <w:rPr>
          <w:rFonts w:hint="eastAsia"/>
        </w:rPr>
        <w:t>-1  污染物总量控制表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553C2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07456794">
            <w:pPr>
              <w:pStyle w:val="31"/>
              <w:rPr>
                <w:rFonts w:cs="Times New Roman"/>
                <w:kern w:val="0"/>
              </w:rPr>
            </w:pPr>
            <w:r>
              <w:rPr>
                <w:rFonts w:hint="eastAsia" w:cs="Times New Roman"/>
                <w:kern w:val="0"/>
              </w:rPr>
              <w:t>污染物</w:t>
            </w:r>
          </w:p>
        </w:tc>
        <w:tc>
          <w:tcPr>
            <w:tcW w:w="999" w:type="pct"/>
            <w:vAlign w:val="center"/>
          </w:tcPr>
          <w:p w14:paraId="0CA349FF">
            <w:pPr>
              <w:pStyle w:val="31"/>
              <w:rPr>
                <w:rFonts w:cs="Times New Roman"/>
                <w:kern w:val="0"/>
              </w:rPr>
            </w:pPr>
            <w:r>
              <w:rPr>
                <w:rFonts w:hint="eastAsia" w:cs="Times New Roman"/>
                <w:kern w:val="0"/>
              </w:rPr>
              <w:t>现有工程总量t/a</w:t>
            </w:r>
          </w:p>
        </w:tc>
        <w:tc>
          <w:tcPr>
            <w:tcW w:w="999" w:type="pct"/>
            <w:vAlign w:val="center"/>
          </w:tcPr>
          <w:p w14:paraId="6F5A7C13">
            <w:pPr>
              <w:pStyle w:val="31"/>
              <w:rPr>
                <w:rFonts w:cs="Times New Roman"/>
                <w:kern w:val="0"/>
              </w:rPr>
            </w:pPr>
            <w:r>
              <w:rPr>
                <w:rFonts w:hint="eastAsia" w:cs="Times New Roman"/>
                <w:kern w:val="0"/>
              </w:rPr>
              <w:t>扩建后工程总量t/a</w:t>
            </w:r>
          </w:p>
        </w:tc>
        <w:tc>
          <w:tcPr>
            <w:tcW w:w="1000" w:type="pct"/>
            <w:vAlign w:val="center"/>
          </w:tcPr>
          <w:p w14:paraId="7D56C6D5">
            <w:pPr>
              <w:pStyle w:val="31"/>
              <w:rPr>
                <w:rFonts w:cs="Times New Roman"/>
                <w:kern w:val="0"/>
              </w:rPr>
            </w:pPr>
            <w:r>
              <w:rPr>
                <w:rFonts w:hint="eastAsia" w:cs="Times New Roman"/>
                <w:kern w:val="0"/>
              </w:rPr>
              <w:t>需要新增购买量t/a</w:t>
            </w:r>
          </w:p>
        </w:tc>
        <w:tc>
          <w:tcPr>
            <w:tcW w:w="1000" w:type="pct"/>
            <w:vAlign w:val="center"/>
          </w:tcPr>
          <w:p w14:paraId="0516C2CF">
            <w:pPr>
              <w:pStyle w:val="31"/>
              <w:rPr>
                <w:rFonts w:cs="Times New Roman"/>
                <w:kern w:val="0"/>
              </w:rPr>
            </w:pPr>
            <w:r>
              <w:rPr>
                <w:rFonts w:hint="eastAsia" w:cs="Times New Roman"/>
                <w:kern w:val="0"/>
              </w:rPr>
              <w:t>全厂建议控制指标量t/a</w:t>
            </w:r>
          </w:p>
        </w:tc>
      </w:tr>
      <w:tr w14:paraId="5538B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7EF884F8">
            <w:pPr>
              <w:pStyle w:val="31"/>
              <w:rPr>
                <w:rFonts w:cs="Times New Roman"/>
                <w:kern w:val="0"/>
              </w:rPr>
            </w:pPr>
            <w:r>
              <w:rPr>
                <w:rFonts w:hint="eastAsia" w:cs="Times New Roman"/>
                <w:kern w:val="0"/>
              </w:rPr>
              <w:t>COD</w:t>
            </w:r>
          </w:p>
        </w:tc>
        <w:tc>
          <w:tcPr>
            <w:tcW w:w="999" w:type="pct"/>
            <w:vAlign w:val="center"/>
          </w:tcPr>
          <w:p w14:paraId="1F120FC3">
            <w:pPr>
              <w:pStyle w:val="31"/>
              <w:rPr>
                <w:rFonts w:cs="Times New Roman"/>
                <w:kern w:val="0"/>
              </w:rPr>
            </w:pPr>
            <w:r>
              <w:rPr>
                <w:rFonts w:hint="eastAsia" w:cs="Times New Roman"/>
                <w:kern w:val="0"/>
              </w:rPr>
              <w:t>0</w:t>
            </w:r>
          </w:p>
        </w:tc>
        <w:tc>
          <w:tcPr>
            <w:tcW w:w="999" w:type="pct"/>
            <w:vAlign w:val="center"/>
          </w:tcPr>
          <w:p w14:paraId="12F37473">
            <w:pPr>
              <w:pStyle w:val="31"/>
              <w:rPr>
                <w:rFonts w:hint="default" w:eastAsia="宋体" w:cs="Times New Roman"/>
                <w:kern w:val="0"/>
                <w:lang w:val="en-US" w:eastAsia="zh-CN"/>
              </w:rPr>
            </w:pPr>
            <w:r>
              <w:rPr>
                <w:rFonts w:hint="eastAsia" w:cs="Times New Roman"/>
                <w:kern w:val="0"/>
                <w:lang w:val="en-US" w:eastAsia="zh-CN"/>
              </w:rPr>
              <w:t>0.208</w:t>
            </w:r>
          </w:p>
        </w:tc>
        <w:tc>
          <w:tcPr>
            <w:tcW w:w="1000" w:type="pct"/>
            <w:shd w:val="clear" w:color="auto" w:fill="auto"/>
            <w:vAlign w:val="center"/>
          </w:tcPr>
          <w:p w14:paraId="20C713A1">
            <w:pPr>
              <w:pStyle w:val="31"/>
              <w:ind w:firstLine="0" w:firstLineChars="0"/>
              <w:rPr>
                <w:rFonts w:hint="default" w:ascii="Times New Roman" w:hAnsi="Times New Roman" w:eastAsia="宋体" w:cs="Times New Roman"/>
                <w:kern w:val="0"/>
                <w:sz w:val="21"/>
                <w:szCs w:val="21"/>
                <w:lang w:val="en-US" w:eastAsia="zh-CN" w:bidi="ar-SA"/>
                <w14:ligatures w14:val="none"/>
              </w:rPr>
            </w:pPr>
            <w:r>
              <w:rPr>
                <w:rFonts w:hint="eastAsia" w:cs="Times New Roman"/>
                <w:kern w:val="0"/>
                <w:lang w:val="en-US" w:eastAsia="zh-CN"/>
              </w:rPr>
              <w:t>0.208</w:t>
            </w:r>
          </w:p>
        </w:tc>
        <w:tc>
          <w:tcPr>
            <w:tcW w:w="1000" w:type="pct"/>
            <w:shd w:val="clear" w:color="auto" w:fill="auto"/>
            <w:vAlign w:val="center"/>
          </w:tcPr>
          <w:p w14:paraId="1048D5A4">
            <w:pPr>
              <w:pStyle w:val="31"/>
              <w:ind w:firstLine="0" w:firstLineChars="0"/>
              <w:rPr>
                <w:rFonts w:hint="default" w:ascii="Times New Roman" w:hAnsi="Times New Roman" w:eastAsia="宋体" w:cs="Times New Roman"/>
                <w:kern w:val="0"/>
                <w:sz w:val="21"/>
                <w:szCs w:val="21"/>
                <w:lang w:val="en-US" w:eastAsia="zh-CN" w:bidi="ar-SA"/>
                <w14:ligatures w14:val="none"/>
              </w:rPr>
            </w:pPr>
            <w:r>
              <w:rPr>
                <w:rFonts w:hint="eastAsia" w:cs="Times New Roman"/>
                <w:kern w:val="0"/>
                <w:lang w:val="en-US" w:eastAsia="zh-CN"/>
              </w:rPr>
              <w:t>0.208</w:t>
            </w:r>
          </w:p>
        </w:tc>
      </w:tr>
      <w:tr w14:paraId="0DE63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7C2BF4E1">
            <w:pPr>
              <w:pStyle w:val="31"/>
              <w:rPr>
                <w:rFonts w:cs="Times New Roman"/>
                <w:kern w:val="0"/>
              </w:rPr>
            </w:pPr>
            <w:r>
              <w:rPr>
                <w:rFonts w:hint="eastAsia" w:cs="Times New Roman"/>
                <w:kern w:val="0"/>
              </w:rPr>
              <w:t>氨氮</w:t>
            </w:r>
          </w:p>
        </w:tc>
        <w:tc>
          <w:tcPr>
            <w:tcW w:w="999" w:type="pct"/>
            <w:vAlign w:val="center"/>
          </w:tcPr>
          <w:p w14:paraId="3D5E629C">
            <w:pPr>
              <w:pStyle w:val="31"/>
              <w:rPr>
                <w:rFonts w:cs="Times New Roman"/>
                <w:kern w:val="0"/>
              </w:rPr>
            </w:pPr>
            <w:r>
              <w:rPr>
                <w:rFonts w:hint="eastAsia" w:cs="Times New Roman"/>
                <w:kern w:val="0"/>
              </w:rPr>
              <w:t>0</w:t>
            </w:r>
          </w:p>
        </w:tc>
        <w:tc>
          <w:tcPr>
            <w:tcW w:w="999" w:type="pct"/>
            <w:vAlign w:val="center"/>
          </w:tcPr>
          <w:p w14:paraId="68F9D2B6">
            <w:pPr>
              <w:pStyle w:val="31"/>
              <w:rPr>
                <w:rFonts w:hint="default" w:eastAsia="宋体" w:cs="Times New Roman"/>
                <w:kern w:val="0"/>
                <w:lang w:val="en-US" w:eastAsia="zh-CN"/>
              </w:rPr>
            </w:pPr>
            <w:r>
              <w:rPr>
                <w:rFonts w:hint="eastAsia" w:cs="Times New Roman"/>
                <w:kern w:val="0"/>
                <w:lang w:val="en-US" w:eastAsia="zh-CN"/>
              </w:rPr>
              <w:t>0.033</w:t>
            </w:r>
          </w:p>
        </w:tc>
        <w:tc>
          <w:tcPr>
            <w:tcW w:w="1000" w:type="pct"/>
            <w:shd w:val="clear" w:color="auto" w:fill="auto"/>
            <w:vAlign w:val="center"/>
          </w:tcPr>
          <w:p w14:paraId="53157A5D">
            <w:pPr>
              <w:pStyle w:val="31"/>
              <w:ind w:firstLine="0" w:firstLineChars="0"/>
              <w:rPr>
                <w:rFonts w:hint="default" w:ascii="Times New Roman" w:hAnsi="Times New Roman" w:eastAsia="宋体" w:cs="Times New Roman"/>
                <w:kern w:val="0"/>
                <w:sz w:val="21"/>
                <w:szCs w:val="21"/>
                <w:lang w:val="en-US" w:eastAsia="zh-CN" w:bidi="ar-SA"/>
                <w14:ligatures w14:val="none"/>
              </w:rPr>
            </w:pPr>
            <w:r>
              <w:rPr>
                <w:rFonts w:hint="eastAsia" w:cs="Times New Roman"/>
                <w:kern w:val="0"/>
                <w:lang w:val="en-US" w:eastAsia="zh-CN"/>
              </w:rPr>
              <w:t>0.033</w:t>
            </w:r>
          </w:p>
        </w:tc>
        <w:tc>
          <w:tcPr>
            <w:tcW w:w="1000" w:type="pct"/>
            <w:shd w:val="clear" w:color="auto" w:fill="auto"/>
            <w:vAlign w:val="center"/>
          </w:tcPr>
          <w:p w14:paraId="7A04315A">
            <w:pPr>
              <w:pStyle w:val="31"/>
              <w:ind w:firstLine="0" w:firstLineChars="0"/>
              <w:rPr>
                <w:rFonts w:hint="default" w:ascii="Times New Roman" w:hAnsi="Times New Roman" w:eastAsia="宋体" w:cs="Times New Roman"/>
                <w:kern w:val="0"/>
                <w:sz w:val="21"/>
                <w:szCs w:val="21"/>
                <w:lang w:val="en-US" w:eastAsia="zh-CN" w:bidi="ar-SA"/>
                <w14:ligatures w14:val="none"/>
              </w:rPr>
            </w:pPr>
            <w:r>
              <w:rPr>
                <w:rFonts w:hint="eastAsia" w:cs="Times New Roman"/>
                <w:kern w:val="0"/>
                <w:lang w:val="en-US" w:eastAsia="zh-CN"/>
              </w:rPr>
              <w:t>0.033</w:t>
            </w:r>
          </w:p>
        </w:tc>
      </w:tr>
      <w:tr w14:paraId="65F4B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14:paraId="352B640C">
            <w:pPr>
              <w:pStyle w:val="31"/>
              <w:rPr>
                <w:rFonts w:cs="Times New Roman"/>
                <w:kern w:val="0"/>
              </w:rPr>
            </w:pPr>
            <w:r>
              <w:rPr>
                <w:rFonts w:hint="eastAsia" w:cs="Times New Roman"/>
                <w:kern w:val="0"/>
              </w:rPr>
              <w:t>VOCs</w:t>
            </w:r>
          </w:p>
        </w:tc>
        <w:tc>
          <w:tcPr>
            <w:tcW w:w="999" w:type="pct"/>
            <w:vAlign w:val="center"/>
          </w:tcPr>
          <w:p w14:paraId="5CA9DEEC">
            <w:pPr>
              <w:pStyle w:val="31"/>
              <w:rPr>
                <w:rFonts w:hint="default" w:eastAsia="宋体" w:cs="Times New Roman"/>
                <w:kern w:val="0"/>
                <w:lang w:val="en-US" w:eastAsia="zh-CN"/>
              </w:rPr>
            </w:pPr>
            <w:r>
              <w:rPr>
                <w:rFonts w:hint="eastAsia" w:cs="Times New Roman"/>
                <w:kern w:val="0"/>
                <w:lang w:val="en-US" w:eastAsia="zh-CN"/>
              </w:rPr>
              <w:t>0.31</w:t>
            </w:r>
          </w:p>
        </w:tc>
        <w:tc>
          <w:tcPr>
            <w:tcW w:w="999" w:type="pct"/>
            <w:vAlign w:val="center"/>
          </w:tcPr>
          <w:p w14:paraId="7BD9F745">
            <w:pPr>
              <w:pStyle w:val="31"/>
              <w:rPr>
                <w:rFonts w:hint="default" w:eastAsia="宋体" w:cs="Times New Roman"/>
                <w:kern w:val="0"/>
                <w:lang w:val="en-US" w:eastAsia="zh-CN"/>
              </w:rPr>
            </w:pPr>
            <w:r>
              <w:rPr>
                <w:rFonts w:hint="eastAsia" w:cs="Times New Roman"/>
                <w:kern w:val="0"/>
                <w:lang w:val="en-US" w:eastAsia="zh-CN"/>
              </w:rPr>
              <w:t>0.311</w:t>
            </w:r>
          </w:p>
        </w:tc>
        <w:tc>
          <w:tcPr>
            <w:tcW w:w="1000" w:type="pct"/>
            <w:vAlign w:val="center"/>
          </w:tcPr>
          <w:p w14:paraId="73F015B6">
            <w:pPr>
              <w:pStyle w:val="31"/>
              <w:rPr>
                <w:rFonts w:hint="default" w:eastAsia="宋体" w:cs="Times New Roman"/>
                <w:kern w:val="0"/>
                <w:lang w:val="en-US" w:eastAsia="zh-CN"/>
              </w:rPr>
            </w:pPr>
            <w:r>
              <w:rPr>
                <w:rFonts w:hint="eastAsia" w:cs="Times New Roman"/>
                <w:kern w:val="0"/>
                <w:lang w:val="en-US" w:eastAsia="zh-CN"/>
              </w:rPr>
              <w:t>0.01</w:t>
            </w:r>
          </w:p>
        </w:tc>
        <w:tc>
          <w:tcPr>
            <w:tcW w:w="1000" w:type="pct"/>
            <w:vAlign w:val="center"/>
          </w:tcPr>
          <w:p w14:paraId="5C7DECDD">
            <w:pPr>
              <w:pStyle w:val="31"/>
              <w:rPr>
                <w:rFonts w:hint="default" w:eastAsia="宋体" w:cs="Times New Roman"/>
                <w:kern w:val="0"/>
                <w:lang w:val="en-US" w:eastAsia="zh-CN"/>
              </w:rPr>
            </w:pPr>
            <w:r>
              <w:rPr>
                <w:rFonts w:hint="eastAsia" w:cs="Times New Roman"/>
                <w:kern w:val="0"/>
                <w:lang w:val="en-US" w:eastAsia="zh-CN"/>
              </w:rPr>
              <w:t>0.32</w:t>
            </w:r>
          </w:p>
        </w:tc>
      </w:tr>
    </w:tbl>
    <w:p w14:paraId="2DF8FE77">
      <w:pPr>
        <w:pStyle w:val="21"/>
        <w:ind w:firstLine="480"/>
      </w:pPr>
    </w:p>
    <w:p w14:paraId="36D637DF">
      <w:pPr>
        <w:pStyle w:val="21"/>
        <w:ind w:firstLine="480"/>
        <w:sectPr>
          <w:pgSz w:w="11906" w:h="16838"/>
          <w:pgMar w:top="1440" w:right="1800" w:bottom="1440" w:left="1800" w:header="851" w:footer="992" w:gutter="0"/>
          <w:pgNumType w:fmt="decimal"/>
          <w:cols w:space="425" w:num="1"/>
          <w:docGrid w:type="lines" w:linePitch="312" w:charSpace="0"/>
        </w:sectPr>
      </w:pPr>
    </w:p>
    <w:p w14:paraId="5F2FBDE7">
      <w:pPr>
        <w:pStyle w:val="25"/>
      </w:pPr>
      <w:bookmarkStart w:id="221" w:name="_Toc7998"/>
      <w:r>
        <w:rPr>
          <w:rFonts w:hint="eastAsia"/>
        </w:rPr>
        <w:t>9环境影响评价结论</w:t>
      </w:r>
      <w:bookmarkEnd w:id="221"/>
    </w:p>
    <w:p w14:paraId="400D3523">
      <w:pPr>
        <w:pStyle w:val="28"/>
      </w:pPr>
      <w:bookmarkStart w:id="222" w:name="_Toc20454"/>
      <w:r>
        <w:rPr>
          <w:rFonts w:hint="eastAsia"/>
        </w:rPr>
        <w:t>9.1建设项目的建设概况</w:t>
      </w:r>
      <w:bookmarkEnd w:id="222"/>
    </w:p>
    <w:p w14:paraId="2A120497">
      <w:pPr>
        <w:pStyle w:val="21"/>
        <w:ind w:firstLine="480"/>
        <w:rPr>
          <w:rFonts w:hint="eastAsia"/>
          <w:lang w:val="en-US" w:eastAsia="zh-CN"/>
        </w:rPr>
      </w:pPr>
      <w:r>
        <w:rPr>
          <w:rFonts w:hint="eastAsia"/>
          <w:lang w:val="en-US" w:eastAsia="zh-CN"/>
        </w:rPr>
        <w:t>项目名称：衡东兴泰船舶维修有限公司船舶拆解建设项目</w:t>
      </w:r>
    </w:p>
    <w:p w14:paraId="3284C6DD">
      <w:pPr>
        <w:pStyle w:val="21"/>
        <w:ind w:firstLine="480"/>
        <w:rPr>
          <w:rFonts w:hint="eastAsia"/>
          <w:lang w:val="en-US" w:eastAsia="zh-CN"/>
        </w:rPr>
      </w:pPr>
      <w:r>
        <w:rPr>
          <w:rFonts w:hint="eastAsia"/>
          <w:lang w:val="en-US" w:eastAsia="zh-CN"/>
        </w:rPr>
        <w:t>建设单位：衡东兴泰船舶维修有限公司</w:t>
      </w:r>
    </w:p>
    <w:p w14:paraId="2F9AD4DD">
      <w:pPr>
        <w:pStyle w:val="21"/>
        <w:ind w:firstLine="480"/>
        <w:rPr>
          <w:rFonts w:hint="default"/>
          <w:lang w:val="en-US" w:eastAsia="zh-CN"/>
        </w:rPr>
      </w:pPr>
      <w:r>
        <w:rPr>
          <w:rFonts w:hint="eastAsia"/>
          <w:lang w:val="en-US" w:eastAsia="zh-CN"/>
        </w:rPr>
        <w:t>建设地点：衡阳市衡东县三樟镇长江村湘江滩涂地，厂址中心坐标为：东经112°55′19.653″，北纬27°23′52.940″</w:t>
      </w:r>
    </w:p>
    <w:p w14:paraId="54411E0C">
      <w:pPr>
        <w:pStyle w:val="21"/>
        <w:ind w:firstLine="480"/>
        <w:rPr>
          <w:rFonts w:hint="eastAsia"/>
          <w:lang w:val="en-US" w:eastAsia="zh-CN"/>
        </w:rPr>
      </w:pPr>
      <w:r>
        <w:rPr>
          <w:rFonts w:hint="eastAsia"/>
          <w:lang w:val="en-US" w:eastAsia="zh-CN"/>
        </w:rPr>
        <w:t>建设性质：扩建</w:t>
      </w:r>
    </w:p>
    <w:p w14:paraId="11D212FC">
      <w:pPr>
        <w:pStyle w:val="21"/>
        <w:ind w:firstLine="480"/>
        <w:rPr>
          <w:rFonts w:hint="default"/>
          <w:vertAlign w:val="baseline"/>
          <w:lang w:val="en-US" w:eastAsia="zh-CN"/>
        </w:rPr>
      </w:pPr>
      <w:r>
        <w:rPr>
          <w:rFonts w:hint="eastAsia"/>
          <w:lang w:val="en-US" w:eastAsia="zh-CN"/>
        </w:rPr>
        <w:t>占地面积：现有工程占地面积6000m</w:t>
      </w:r>
      <w:r>
        <w:rPr>
          <w:rFonts w:hint="eastAsia"/>
          <w:vertAlign w:val="superscript"/>
          <w:lang w:val="en-US" w:eastAsia="zh-CN"/>
        </w:rPr>
        <w:t>2</w:t>
      </w:r>
      <w:r>
        <w:rPr>
          <w:rFonts w:hint="eastAsia"/>
          <w:vertAlign w:val="baseline"/>
          <w:lang w:val="en-US" w:eastAsia="zh-CN"/>
        </w:rPr>
        <w:t>，本项目不新增占地面积，在现有工程范围内建设。</w:t>
      </w:r>
    </w:p>
    <w:p w14:paraId="4F36A7AB">
      <w:pPr>
        <w:pStyle w:val="21"/>
        <w:ind w:firstLine="480"/>
        <w:rPr>
          <w:rFonts w:hint="eastAsia"/>
          <w:vertAlign w:val="baseline"/>
          <w:lang w:val="en-US" w:eastAsia="zh-CN"/>
        </w:rPr>
      </w:pPr>
      <w:r>
        <w:rPr>
          <w:rFonts w:hint="eastAsia"/>
          <w:lang w:val="en-US" w:eastAsia="zh-CN"/>
        </w:rPr>
        <w:t>主要建设内容及建设规模：（1）将现有船台进行调整，调整为3个船台，其中2个船台保留现有功能，用于传播维修，1个船台调整为船舶拆解船台；（2）拆除现有一般固废暂存间及危废暂存间，在防洪堤内侧新建1间10m</w:t>
      </w:r>
      <w:r>
        <w:rPr>
          <w:rFonts w:hint="eastAsia"/>
          <w:vertAlign w:val="superscript"/>
          <w:lang w:val="en-US" w:eastAsia="zh-CN"/>
        </w:rPr>
        <w:t>2</w:t>
      </w:r>
      <w:r>
        <w:rPr>
          <w:rFonts w:hint="eastAsia"/>
          <w:vertAlign w:val="baseline"/>
          <w:lang w:val="en-US" w:eastAsia="zh-CN"/>
        </w:rPr>
        <w:t>危废暂存间及20m</w:t>
      </w:r>
      <w:r>
        <w:rPr>
          <w:rFonts w:hint="eastAsia"/>
          <w:vertAlign w:val="superscript"/>
          <w:lang w:val="en-US" w:eastAsia="zh-CN"/>
        </w:rPr>
        <w:t>2</w:t>
      </w:r>
      <w:r>
        <w:rPr>
          <w:rFonts w:hint="eastAsia"/>
          <w:vertAlign w:val="baseline"/>
          <w:lang w:val="en-US" w:eastAsia="zh-CN"/>
        </w:rPr>
        <w:t>一般固废暂存间；（3）在防洪堤内侧新建一套废水处理设施，处理船台工作区废水及初期雨水，将废水处理达到《污水综合排放标准》（GB8978-1996）一级标准后通过罐车运输至三樟镇污水处理厂处理。</w:t>
      </w:r>
    </w:p>
    <w:p w14:paraId="3101FB37">
      <w:pPr>
        <w:pStyle w:val="21"/>
        <w:ind w:firstLine="480"/>
        <w:rPr>
          <w:rFonts w:hint="default"/>
          <w:lang w:val="en-US"/>
        </w:rPr>
      </w:pPr>
      <w:r>
        <w:rPr>
          <w:rFonts w:hint="eastAsia"/>
          <w:vertAlign w:val="baseline"/>
          <w:lang w:val="en-US" w:eastAsia="zh-CN"/>
        </w:rPr>
        <w:t>总投资：500万元，其中环保投资101万元，环保投资占比20.2%。</w:t>
      </w:r>
    </w:p>
    <w:p w14:paraId="0F8FAA89">
      <w:pPr>
        <w:pStyle w:val="28"/>
      </w:pPr>
      <w:bookmarkStart w:id="223" w:name="_Toc25796"/>
      <w:r>
        <w:rPr>
          <w:rFonts w:hint="eastAsia"/>
        </w:rPr>
        <w:t>9.2环境质量现状</w:t>
      </w:r>
      <w:bookmarkEnd w:id="223"/>
    </w:p>
    <w:p w14:paraId="757F1C70">
      <w:pPr>
        <w:pStyle w:val="21"/>
        <w:ind w:firstLine="480"/>
      </w:pPr>
      <w:r>
        <w:rPr>
          <w:rFonts w:hint="eastAsia"/>
        </w:rPr>
        <w:t>（1）环境空气</w:t>
      </w:r>
    </w:p>
    <w:p w14:paraId="64156A4D">
      <w:pPr>
        <w:pStyle w:val="21"/>
        <w:ind w:firstLine="480"/>
        <w:rPr>
          <w:szCs w:val="32"/>
        </w:rPr>
      </w:pPr>
      <w:r>
        <w:rPr>
          <w:szCs w:val="32"/>
        </w:rPr>
        <w:t>经判定PM</w:t>
      </w:r>
      <w:r>
        <w:rPr>
          <w:szCs w:val="32"/>
          <w:vertAlign w:val="subscript"/>
        </w:rPr>
        <w:t>2.5</w:t>
      </w:r>
      <w:r>
        <w:rPr>
          <w:szCs w:val="32"/>
        </w:rPr>
        <w:t>、PM</w:t>
      </w:r>
      <w:r>
        <w:rPr>
          <w:szCs w:val="32"/>
          <w:vertAlign w:val="subscript"/>
        </w:rPr>
        <w:t>10</w:t>
      </w:r>
      <w:r>
        <w:rPr>
          <w:szCs w:val="32"/>
        </w:rPr>
        <w:t>、SO</w:t>
      </w:r>
      <w:r>
        <w:rPr>
          <w:szCs w:val="32"/>
          <w:vertAlign w:val="subscript"/>
        </w:rPr>
        <w:t>2</w:t>
      </w:r>
      <w:r>
        <w:rPr>
          <w:szCs w:val="32"/>
        </w:rPr>
        <w:t>、NO</w:t>
      </w:r>
      <w:r>
        <w:rPr>
          <w:szCs w:val="32"/>
          <w:vertAlign w:val="subscript"/>
        </w:rPr>
        <w:t>2</w:t>
      </w:r>
      <w:r>
        <w:rPr>
          <w:szCs w:val="32"/>
        </w:rPr>
        <w:t>年平均浓度、CO</w:t>
      </w:r>
      <w:r>
        <w:rPr>
          <w:szCs w:val="32"/>
          <w:vertAlign w:val="subscript"/>
        </w:rPr>
        <w:t>2</w:t>
      </w:r>
      <w:r>
        <w:rPr>
          <w:szCs w:val="32"/>
        </w:rPr>
        <w:t xml:space="preserve"> 4小时平均浓度、O</w:t>
      </w:r>
      <w:r>
        <w:rPr>
          <w:szCs w:val="32"/>
          <w:vertAlign w:val="subscript"/>
        </w:rPr>
        <w:t>3</w:t>
      </w:r>
      <w:r>
        <w:rPr>
          <w:szCs w:val="32"/>
        </w:rPr>
        <w:t>最大8小时平均浓度执行《环境空气质量标准》（GB3095-2012）二级标准，因此判定项目所在区域为达标区。</w:t>
      </w:r>
    </w:p>
    <w:p w14:paraId="384EC4F3">
      <w:pPr>
        <w:pStyle w:val="21"/>
        <w:ind w:firstLine="480"/>
      </w:pPr>
      <w:r>
        <w:t>监测结果表明，本</w:t>
      </w:r>
      <w:r>
        <w:rPr>
          <w:rFonts w:hint="eastAsia"/>
        </w:rPr>
        <w:t>次扩建项目</w:t>
      </w:r>
      <w:r>
        <w:t>的</w:t>
      </w:r>
      <w:r>
        <w:rPr>
          <w:rFonts w:hint="eastAsia"/>
        </w:rPr>
        <w:t>上风向1个、下风向2个附近居民点的总悬浮颗粒物监测值满足</w:t>
      </w:r>
      <w:r>
        <w:rPr>
          <w:szCs w:val="32"/>
        </w:rPr>
        <w:t>《环境空气质量标准》（GB3095-2012）</w:t>
      </w:r>
      <w:r>
        <w:rPr>
          <w:rFonts w:hint="eastAsia"/>
          <w:szCs w:val="32"/>
        </w:rPr>
        <w:t>中二级标准</w:t>
      </w:r>
      <w:r>
        <w:rPr>
          <w:rFonts w:hint="eastAsia"/>
        </w:rPr>
        <w:t>，</w:t>
      </w:r>
      <w:r>
        <w:rPr>
          <w:rFonts w:hint="eastAsia"/>
          <w:lang w:val="en-US" w:eastAsia="zh-CN"/>
        </w:rPr>
        <w:t>NMHC</w:t>
      </w:r>
      <w:r>
        <w:rPr>
          <w:rFonts w:hint="eastAsia"/>
        </w:rPr>
        <w:t>监测浓度满足《</w:t>
      </w:r>
      <w:r>
        <w:rPr>
          <w:rFonts w:hint="eastAsia"/>
          <w:lang w:val="en-US" w:eastAsia="zh-CN"/>
        </w:rPr>
        <w:t>大气污染物综合排放标准详解</w:t>
      </w:r>
      <w:r>
        <w:rPr>
          <w:rFonts w:hint="eastAsia"/>
        </w:rPr>
        <w:t>》中推荐标准要求。</w:t>
      </w:r>
    </w:p>
    <w:p w14:paraId="152DCB2C">
      <w:pPr>
        <w:pStyle w:val="21"/>
        <w:ind w:firstLine="480"/>
      </w:pPr>
      <w:r>
        <w:rPr>
          <w:rFonts w:hint="eastAsia"/>
        </w:rPr>
        <w:t>（2）地表水环境</w:t>
      </w:r>
    </w:p>
    <w:p w14:paraId="53E1D70E">
      <w:pPr>
        <w:pStyle w:val="21"/>
        <w:ind w:firstLine="480"/>
        <w:rPr>
          <w:szCs w:val="32"/>
        </w:rPr>
      </w:pPr>
      <w:r>
        <w:rPr>
          <w:szCs w:val="32"/>
        </w:rPr>
        <w:t>根据公布结果显示，</w:t>
      </w:r>
      <w:r>
        <w:rPr>
          <w:rFonts w:hint="eastAsia"/>
          <w:szCs w:val="32"/>
        </w:rPr>
        <w:t>湘江-熬洲断面</w:t>
      </w:r>
      <w:r>
        <w:rPr>
          <w:szCs w:val="32"/>
        </w:rPr>
        <w:t>（位于项目</w:t>
      </w:r>
      <w:r>
        <w:rPr>
          <w:rFonts w:hint="eastAsia"/>
          <w:szCs w:val="32"/>
        </w:rPr>
        <w:t>南侧上游</w:t>
      </w:r>
      <w:r>
        <w:rPr>
          <w:szCs w:val="32"/>
        </w:rPr>
        <w:t>5km处）水质监测结果各项指标均</w:t>
      </w:r>
      <w:r>
        <w:rPr>
          <w:rFonts w:hint="eastAsia"/>
          <w:szCs w:val="32"/>
        </w:rPr>
        <w:t>满足</w:t>
      </w:r>
      <w:r>
        <w:rPr>
          <w:szCs w:val="32"/>
        </w:rPr>
        <w:t>《地表水环境质量标准》（GB3838-2002）中</w:t>
      </w:r>
      <w:r>
        <w:rPr>
          <w:rFonts w:hint="eastAsia"/>
          <w:szCs w:val="32"/>
        </w:rPr>
        <w:t>Ⅲ</w:t>
      </w:r>
      <w:r>
        <w:rPr>
          <w:szCs w:val="32"/>
        </w:rPr>
        <w:t>类标准</w:t>
      </w:r>
      <w:r>
        <w:rPr>
          <w:rFonts w:hint="eastAsia"/>
          <w:szCs w:val="32"/>
        </w:rPr>
        <w:t>，三樟水厂断面满足</w:t>
      </w:r>
      <w:r>
        <w:rPr>
          <w:szCs w:val="32"/>
        </w:rPr>
        <w:t>GB3838-2002</w:t>
      </w:r>
      <w:r>
        <w:rPr>
          <w:rFonts w:hint="eastAsia"/>
          <w:szCs w:val="32"/>
        </w:rPr>
        <w:t>中Ⅲ</w:t>
      </w:r>
      <w:r>
        <w:rPr>
          <w:szCs w:val="32"/>
        </w:rPr>
        <w:t>类标准，水质</w:t>
      </w:r>
      <w:r>
        <w:rPr>
          <w:rFonts w:hint="eastAsia"/>
          <w:szCs w:val="32"/>
        </w:rPr>
        <w:t>良</w:t>
      </w:r>
      <w:r>
        <w:rPr>
          <w:szCs w:val="32"/>
        </w:rPr>
        <w:t>好。</w:t>
      </w:r>
    </w:p>
    <w:p w14:paraId="1404D0A5">
      <w:pPr>
        <w:pStyle w:val="21"/>
        <w:ind w:firstLine="480"/>
        <w:rPr>
          <w:rFonts w:hint="eastAsia" w:eastAsia="宋体"/>
          <w:szCs w:val="32"/>
          <w:lang w:val="en-US" w:eastAsia="zh-CN"/>
        </w:rPr>
      </w:pPr>
      <w:r>
        <w:rPr>
          <w:rFonts w:hint="eastAsia"/>
          <w:szCs w:val="32"/>
          <w:lang w:val="en-US" w:eastAsia="zh-CN"/>
        </w:rPr>
        <w:t>根据引用监测数据，本项目上下游湘江断面水质均能满足</w:t>
      </w:r>
      <w:r>
        <w:rPr>
          <w:szCs w:val="32"/>
        </w:rPr>
        <w:t>《地表水环境质量标准》（GB3838-2002）中</w:t>
      </w:r>
      <w:r>
        <w:rPr>
          <w:rFonts w:hint="eastAsia"/>
          <w:szCs w:val="32"/>
        </w:rPr>
        <w:t>Ⅲ</w:t>
      </w:r>
      <w:r>
        <w:rPr>
          <w:szCs w:val="32"/>
        </w:rPr>
        <w:t>类标准</w:t>
      </w:r>
      <w:r>
        <w:rPr>
          <w:rFonts w:hint="eastAsia"/>
          <w:szCs w:val="32"/>
          <w:lang w:eastAsia="zh-CN"/>
        </w:rPr>
        <w:t>。</w:t>
      </w:r>
    </w:p>
    <w:p w14:paraId="6A563F79">
      <w:pPr>
        <w:pStyle w:val="21"/>
        <w:ind w:firstLine="480"/>
        <w:rPr>
          <w:szCs w:val="32"/>
        </w:rPr>
      </w:pPr>
      <w:r>
        <w:rPr>
          <w:rFonts w:hint="eastAsia"/>
          <w:szCs w:val="32"/>
        </w:rPr>
        <w:t>（3）地下水环境</w:t>
      </w:r>
    </w:p>
    <w:p w14:paraId="51D45576">
      <w:pPr>
        <w:pStyle w:val="21"/>
        <w:ind w:firstLine="480"/>
      </w:pPr>
      <w:r>
        <w:rPr>
          <w:rFonts w:hint="eastAsia"/>
        </w:rPr>
        <w:t>根据上述监测结果可知，本次评价共设置3个地下水监测点位，</w:t>
      </w:r>
      <w:r>
        <w:rPr>
          <w:rFonts w:hint="eastAsia"/>
          <w:lang w:val="en-US" w:eastAsia="zh-CN"/>
        </w:rPr>
        <w:t>所有监测点位各监测因子</w:t>
      </w:r>
      <w:r>
        <w:rPr>
          <w:rFonts w:hint="eastAsia"/>
        </w:rPr>
        <w:t>监测值均满足《地下水质量标准》（GB/T</w:t>
      </w:r>
      <w:r>
        <w:t xml:space="preserve"> </w:t>
      </w:r>
      <w:r>
        <w:rPr>
          <w:rFonts w:hint="eastAsia"/>
        </w:rPr>
        <w:t>14848-2017）中Ⅲ类标准限值要求，质量较好。</w:t>
      </w:r>
    </w:p>
    <w:p w14:paraId="144A6FC7">
      <w:pPr>
        <w:pStyle w:val="21"/>
        <w:ind w:firstLine="480"/>
      </w:pPr>
      <w:r>
        <w:rPr>
          <w:rFonts w:hint="eastAsia"/>
        </w:rPr>
        <w:t>（4）声环境</w:t>
      </w:r>
    </w:p>
    <w:p w14:paraId="49FE2209">
      <w:pPr>
        <w:pStyle w:val="21"/>
        <w:ind w:firstLine="480"/>
      </w:pPr>
      <w:r>
        <w:rPr>
          <w:rFonts w:hint="eastAsia"/>
          <w:lang w:val="en-US" w:eastAsia="zh-CN"/>
        </w:rPr>
        <w:t>根据监测结果可知，项目四侧厂界昼间噪声监测结果均能满足</w:t>
      </w:r>
      <w:r>
        <w:rPr>
          <w:rFonts w:hint="default"/>
        </w:rPr>
        <w:t>《工业企业厂界环境噪声排放标准》（GB12348-2008）中</w:t>
      </w:r>
      <w:r>
        <w:rPr>
          <w:rFonts w:hint="eastAsia"/>
          <w:lang w:val="en-US" w:eastAsia="zh-CN"/>
        </w:rPr>
        <w:t>2</w:t>
      </w:r>
      <w:r>
        <w:rPr>
          <w:rFonts w:hint="default"/>
        </w:rPr>
        <w:t>类标准限值</w:t>
      </w:r>
      <w:r>
        <w:rPr>
          <w:rFonts w:hint="eastAsia"/>
          <w:lang w:eastAsia="zh-CN"/>
        </w:rPr>
        <w:t>（</w:t>
      </w:r>
      <w:r>
        <w:rPr>
          <w:rFonts w:hint="eastAsia"/>
          <w:lang w:val="en-US" w:eastAsia="zh-CN"/>
        </w:rPr>
        <w:t>监测期间，现有项目昼间正常运行，因此厂界噪声执行排放标准</w:t>
      </w:r>
      <w:r>
        <w:rPr>
          <w:rFonts w:hint="eastAsia"/>
          <w:lang w:eastAsia="zh-CN"/>
        </w:rPr>
        <w:t>）；</w:t>
      </w:r>
      <w:r>
        <w:rPr>
          <w:rFonts w:hint="eastAsia"/>
          <w:lang w:val="en-US" w:eastAsia="zh-CN"/>
        </w:rPr>
        <w:t>项目四侧厂界夜间噪声监测结果均能满足</w:t>
      </w:r>
      <w:r>
        <w:t>《声环境质量标准》（GB3096-2008）中的2类标准</w:t>
      </w:r>
      <w:r>
        <w:rPr>
          <w:rFonts w:hint="eastAsia"/>
          <w:lang w:val="en-US" w:eastAsia="zh-CN"/>
        </w:rPr>
        <w:t>限值</w:t>
      </w:r>
      <w:r>
        <w:rPr>
          <w:rFonts w:hint="eastAsia"/>
          <w:lang w:eastAsia="zh-CN"/>
        </w:rPr>
        <w:t>（</w:t>
      </w:r>
      <w:r>
        <w:rPr>
          <w:rFonts w:hint="eastAsia"/>
          <w:lang w:val="en-US" w:eastAsia="zh-CN"/>
        </w:rPr>
        <w:t>监测期间，现有项目夜间不运行，因此厂界噪声执行排放标准</w:t>
      </w:r>
      <w:r>
        <w:rPr>
          <w:rFonts w:hint="eastAsia"/>
          <w:lang w:eastAsia="zh-CN"/>
        </w:rPr>
        <w:t>）</w:t>
      </w:r>
      <w:r>
        <w:rPr>
          <w:rFonts w:hint="eastAsia"/>
          <w:lang w:val="en-US" w:eastAsia="zh-CN"/>
        </w:rPr>
        <w:t>；项目东侧40m处居民昼夜间噪声监测结果均能满足</w:t>
      </w:r>
      <w:r>
        <w:t>《声环境质量标准》（GB3096-2008）中的2类标准</w:t>
      </w:r>
      <w:r>
        <w:rPr>
          <w:rFonts w:hint="eastAsia"/>
          <w:lang w:val="en-US" w:eastAsia="zh-CN"/>
        </w:rPr>
        <w:t>限值。</w:t>
      </w:r>
    </w:p>
    <w:p w14:paraId="3E5A551A">
      <w:pPr>
        <w:pStyle w:val="21"/>
        <w:ind w:firstLine="480"/>
      </w:pPr>
      <w:r>
        <w:rPr>
          <w:rFonts w:hint="eastAsia"/>
        </w:rPr>
        <w:t>（5）土壤环境</w:t>
      </w:r>
    </w:p>
    <w:p w14:paraId="6F20586A">
      <w:pPr>
        <w:pStyle w:val="21"/>
        <w:ind w:firstLine="480"/>
      </w:pPr>
      <w:r>
        <w:rPr>
          <w:rFonts w:hint="eastAsia"/>
        </w:rPr>
        <w:t>项目厂区内外建设用地监测点位的各监测因子满足《土壤环境质量 建设用地土壤污染风险管控标准》（试行）（GB36600-2018）表1第二类用地筛选值要求限值。</w:t>
      </w:r>
    </w:p>
    <w:p w14:paraId="6710F460">
      <w:pPr>
        <w:pStyle w:val="28"/>
      </w:pPr>
      <w:bookmarkStart w:id="224" w:name="_Toc25236"/>
      <w:r>
        <w:rPr>
          <w:rFonts w:hint="eastAsia"/>
        </w:rPr>
        <w:t>9.</w:t>
      </w:r>
      <w:r>
        <w:rPr>
          <w:rFonts w:hint="eastAsia"/>
          <w:lang w:val="en-US" w:eastAsia="zh-CN"/>
        </w:rPr>
        <w:t>3</w:t>
      </w:r>
      <w:r>
        <w:rPr>
          <w:rFonts w:hint="eastAsia"/>
        </w:rPr>
        <w:t>主要环境影响</w:t>
      </w:r>
      <w:bookmarkEnd w:id="224"/>
    </w:p>
    <w:p w14:paraId="5C382B70">
      <w:pPr>
        <w:pStyle w:val="21"/>
        <w:ind w:firstLine="480"/>
      </w:pPr>
      <w:r>
        <w:rPr>
          <w:rFonts w:hint="eastAsia"/>
        </w:rPr>
        <w:t>（1）环境空气</w:t>
      </w:r>
    </w:p>
    <w:p w14:paraId="03518641">
      <w:pPr>
        <w:pStyle w:val="21"/>
        <w:ind w:firstLine="480"/>
      </w:pPr>
      <w:r>
        <w:rPr>
          <w:rFonts w:hint="eastAsia"/>
        </w:rPr>
        <w:t>通过</w:t>
      </w:r>
      <w:r>
        <w:t>AERSCREEN估算模式计算结果显示，在正常工况下，项目各污染源的大气污染物中最大占标率为</w:t>
      </w:r>
      <w:r>
        <w:rPr>
          <w:rFonts w:hint="eastAsia"/>
        </w:rPr>
        <w:t>8.73</w:t>
      </w:r>
      <w:r>
        <w:t>%（&lt;10%），因此本项目大气环境影响评价等级为二级评价。</w:t>
      </w:r>
    </w:p>
    <w:p w14:paraId="15B87683">
      <w:pPr>
        <w:pStyle w:val="21"/>
        <w:ind w:firstLine="480"/>
      </w:pPr>
      <w:r>
        <w:rPr>
          <w:rFonts w:hint="eastAsia"/>
        </w:rPr>
        <w:t>根据</w:t>
      </w:r>
      <w:r>
        <w:t>AERSCREEN估算模式计算结果显示可知，本工程正常状态下，项目排放的主要大气污染物</w:t>
      </w:r>
      <w:r>
        <w:rPr>
          <w:rFonts w:hint="eastAsia"/>
        </w:rPr>
        <w:t>颗粒物（TSP）</w:t>
      </w:r>
      <w:r>
        <w:t>、</w:t>
      </w:r>
      <w:r>
        <w:rPr>
          <w:rFonts w:hint="eastAsia"/>
        </w:rPr>
        <w:t>NMHC</w:t>
      </w:r>
      <w:r>
        <w:t>最大落地浓度分别为</w:t>
      </w:r>
      <w:r>
        <w:rPr>
          <w:rFonts w:hint="eastAsia"/>
        </w:rPr>
        <w:t>3.03u</w:t>
      </w:r>
      <w:r>
        <w:t>g/m</w:t>
      </w:r>
      <w:r>
        <w:rPr>
          <w:vertAlign w:val="superscript"/>
        </w:rPr>
        <w:t>3</w:t>
      </w:r>
      <w:r>
        <w:t>、</w:t>
      </w:r>
      <w:r>
        <w:rPr>
          <w:rFonts w:hint="eastAsia"/>
        </w:rPr>
        <w:t>0.69u</w:t>
      </w:r>
      <w:r>
        <w:t>g/m</w:t>
      </w:r>
      <w:r>
        <w:rPr>
          <w:vertAlign w:val="superscript"/>
        </w:rPr>
        <w:t>3</w:t>
      </w:r>
      <w:r>
        <w:t>，均未出现超标现象。因此，本项目大气污染物经处理达标排放后，对评价范围内的大气环境影响较小，不会改变评价范围内的大气环境功能，不会对评价范围内的环境保护目标造成明显影响。</w:t>
      </w:r>
    </w:p>
    <w:p w14:paraId="28631F31">
      <w:pPr>
        <w:pStyle w:val="21"/>
        <w:ind w:firstLine="480"/>
      </w:pPr>
      <w:r>
        <w:rPr>
          <w:rFonts w:hint="eastAsia"/>
        </w:rPr>
        <w:t>（2）地表水</w:t>
      </w:r>
    </w:p>
    <w:p w14:paraId="539ACD12">
      <w:pPr>
        <w:pStyle w:val="21"/>
        <w:ind w:firstLine="480"/>
        <w:rPr>
          <w:rFonts w:hint="default"/>
          <w:lang w:val="en-US"/>
        </w:rPr>
      </w:pPr>
      <w:r>
        <w:rPr>
          <w:rFonts w:hint="eastAsia"/>
          <w:lang w:val="en-US" w:eastAsia="zh-CN"/>
        </w:rPr>
        <w:t>项目生产废水、初期雨水经隔油沉淀池处理后一部分回用，一部分通过自动水泵排入废水处理站（30t/d，采用隔油+气浮+生化+过滤处理工艺），生活污水直接排入废水处理站，废水处理站设置位于防洪堤内侧，废水经处理达到《污水综合排放标准》（GB8978-1996）一级标准后通过罐车运至三樟镇污水处理厂处理，经污水处理厂处理后外排，对周边地表水体影响较小。</w:t>
      </w:r>
    </w:p>
    <w:p w14:paraId="74ECA8AB">
      <w:pPr>
        <w:pStyle w:val="21"/>
        <w:ind w:firstLine="480"/>
      </w:pPr>
      <w:r>
        <w:rPr>
          <w:rFonts w:hint="eastAsia"/>
        </w:rPr>
        <w:t>（3）地下水</w:t>
      </w:r>
    </w:p>
    <w:p w14:paraId="313EFBB4">
      <w:pPr>
        <w:pStyle w:val="21"/>
        <w:ind w:firstLine="480"/>
      </w:pPr>
      <w:r>
        <w:rPr>
          <w:rFonts w:hint="eastAsia"/>
        </w:rPr>
        <w:t>假设污染物持续泄漏 100d、365d、1000d 后石油类超标范围为距泄漏点分别为50m、113m、226m。项目区地下水流向大体为自东南向西北，下游区域均为湘江水域，无地下水敏感点，因此本项目对区域地下水环境影响不大。</w:t>
      </w:r>
    </w:p>
    <w:p w14:paraId="198CF54F">
      <w:pPr>
        <w:pStyle w:val="21"/>
        <w:ind w:firstLine="480"/>
      </w:pPr>
      <w:r>
        <w:rPr>
          <w:rFonts w:hint="eastAsia"/>
        </w:rPr>
        <w:t>（4）土壤</w:t>
      </w:r>
    </w:p>
    <w:p w14:paraId="1DCAC177">
      <w:pPr>
        <w:pStyle w:val="21"/>
        <w:ind w:firstLine="480"/>
      </w:pPr>
      <w:r>
        <w:rPr>
          <w:rFonts w:hint="eastAsia"/>
        </w:rPr>
        <w:t>建设单位应做好危废贮存间区域的防腐防渗，并定期污水管道、初期雨水收集管道、处理设施、厂区及危废贮存间检漏和定期检测工作。在落实防腐、防渗处理及相关管理措施的情况下，本项目污染物发生泄漏、下渗的可能性较小，对土壤不会造成明显的不良影响。</w:t>
      </w:r>
    </w:p>
    <w:p w14:paraId="2952EC1E">
      <w:pPr>
        <w:pStyle w:val="21"/>
        <w:ind w:firstLine="480"/>
      </w:pPr>
      <w:r>
        <w:rPr>
          <w:rFonts w:hint="eastAsia"/>
        </w:rPr>
        <w:t>（5）声环境</w:t>
      </w:r>
    </w:p>
    <w:p w14:paraId="7A7CE5BF">
      <w:pPr>
        <w:pStyle w:val="21"/>
        <w:ind w:firstLine="480"/>
      </w:pPr>
      <w:r>
        <w:rPr>
          <w:rFonts w:hint="eastAsia"/>
        </w:rPr>
        <w:t>综上所述，本次扩建项目运营后，厂界噪声均能满足工业企业厂界环境噪声排放标准》（GB12348-2008）</w:t>
      </w:r>
      <w:r>
        <w:rPr>
          <w:rFonts w:hint="eastAsia"/>
          <w:lang w:val="en-US" w:eastAsia="zh-CN"/>
        </w:rPr>
        <w:t>2</w:t>
      </w:r>
      <w:r>
        <w:rPr>
          <w:rFonts w:hint="eastAsia"/>
        </w:rPr>
        <w:t>类声环境功能区环境噪声排放限值，周边环境保护目标声环境均能满足《声环境质量标准》（GB</w:t>
      </w:r>
      <w:r>
        <w:t xml:space="preserve"> </w:t>
      </w:r>
      <w:r>
        <w:rPr>
          <w:rFonts w:hint="eastAsia"/>
        </w:rPr>
        <w:t>3096-2008）中2类声环境功能区环境噪声限值，项目噪声环境影响可以接受。</w:t>
      </w:r>
    </w:p>
    <w:p w14:paraId="05A79FAE">
      <w:pPr>
        <w:pStyle w:val="28"/>
      </w:pPr>
      <w:bookmarkStart w:id="225" w:name="_Toc24857"/>
      <w:r>
        <w:rPr>
          <w:rFonts w:hint="eastAsia"/>
        </w:rPr>
        <w:t>9.</w:t>
      </w:r>
      <w:r>
        <w:rPr>
          <w:rFonts w:hint="eastAsia"/>
          <w:lang w:val="en-US" w:eastAsia="zh-CN"/>
        </w:rPr>
        <w:t>4</w:t>
      </w:r>
      <w:r>
        <w:rPr>
          <w:rFonts w:hint="eastAsia"/>
        </w:rPr>
        <w:t>公众意见采纳情况</w:t>
      </w:r>
      <w:bookmarkEnd w:id="225"/>
    </w:p>
    <w:p w14:paraId="01138586">
      <w:pPr>
        <w:pStyle w:val="21"/>
        <w:ind w:firstLine="480"/>
      </w:pPr>
      <w:r>
        <w:rPr>
          <w:rFonts w:hint="eastAsia"/>
        </w:rPr>
        <w:t>根据《环境影响评价公众参与办法》，</w:t>
      </w:r>
      <w:r>
        <w:rPr>
          <w:color w:val="000000" w:themeColor="text1"/>
          <w14:textFill>
            <w14:solidFill>
              <w14:schemeClr w14:val="tx1"/>
            </w14:solidFill>
          </w14:textFill>
        </w:rPr>
        <w:t>在环评工作</w:t>
      </w:r>
      <w:r>
        <w:rPr>
          <w:rFonts w:hint="eastAsia"/>
          <w:color w:val="000000" w:themeColor="text1"/>
          <w14:textFill>
            <w14:solidFill>
              <w14:schemeClr w14:val="tx1"/>
            </w14:solidFill>
          </w14:textFill>
        </w:rPr>
        <w:t>开展前、进行中和审批前</w:t>
      </w:r>
      <w:r>
        <w:rPr>
          <w:color w:val="000000" w:themeColor="text1"/>
          <w14:textFill>
            <w14:solidFill>
              <w14:schemeClr w14:val="tx1"/>
            </w14:solidFill>
          </w14:textFill>
        </w:rPr>
        <w:t>，建设</w:t>
      </w:r>
      <w:r>
        <w:rPr>
          <w:rFonts w:hint="eastAsia"/>
          <w:color w:val="000000" w:themeColor="text1"/>
          <w14:textFill>
            <w14:solidFill>
              <w14:schemeClr w14:val="tx1"/>
            </w14:solidFill>
          </w14:textFill>
        </w:rPr>
        <w:t>单位分别</w:t>
      </w:r>
      <w:r>
        <w:rPr>
          <w:rFonts w:hint="eastAsia"/>
          <w:color w:val="000000" w:themeColor="text1"/>
          <w:lang w:eastAsia="zh-CN"/>
          <w14:textFill>
            <w14:solidFill>
              <w14:schemeClr w14:val="tx1"/>
            </w14:solidFill>
          </w14:textFill>
        </w:rPr>
        <w:t>采</w:t>
      </w:r>
      <w:r>
        <w:rPr>
          <w:color w:val="000000" w:themeColor="text1"/>
          <w14:textFill>
            <w14:solidFill>
              <w14:schemeClr w14:val="tx1"/>
            </w14:solidFill>
          </w14:textFill>
        </w:rPr>
        <w:t>取网络</w:t>
      </w:r>
      <w:r>
        <w:rPr>
          <w:rFonts w:hint="eastAsia"/>
          <w:color w:val="000000" w:themeColor="text1"/>
          <w14:textFill>
            <w14:solidFill>
              <w14:schemeClr w14:val="tx1"/>
            </w14:solidFill>
          </w14:textFill>
        </w:rPr>
        <w:t>、报纸</w:t>
      </w:r>
      <w:r>
        <w:rPr>
          <w:color w:val="000000" w:themeColor="text1"/>
          <w14:textFill>
            <w14:solidFill>
              <w14:schemeClr w14:val="tx1"/>
            </w14:solidFill>
          </w14:textFill>
        </w:rPr>
        <w:t>、现场公示对项目建设进行了公示，公示期间未接到公众对本</w:t>
      </w:r>
      <w:r>
        <w:rPr>
          <w:rFonts w:hint="eastAsia"/>
          <w:color w:val="000000" w:themeColor="text1"/>
          <w14:textFill>
            <w14:solidFill>
              <w14:schemeClr w14:val="tx1"/>
            </w14:solidFill>
          </w14:textFill>
        </w:rPr>
        <w:t>次扩建</w:t>
      </w:r>
      <w:r>
        <w:rPr>
          <w:color w:val="000000" w:themeColor="text1"/>
          <w14:textFill>
            <w14:solidFill>
              <w14:schemeClr w14:val="tx1"/>
            </w14:solidFill>
          </w14:textFill>
        </w:rPr>
        <w:t>项目建设提出意见</w:t>
      </w:r>
      <w:r>
        <w:rPr>
          <w:rFonts w:hint="eastAsia"/>
        </w:rPr>
        <w:t>。</w:t>
      </w:r>
      <w:r>
        <w:t>调查过程中，未收到反对意见。</w:t>
      </w:r>
    </w:p>
    <w:p w14:paraId="4E109DA5">
      <w:pPr>
        <w:pStyle w:val="28"/>
      </w:pPr>
      <w:bookmarkStart w:id="226" w:name="_Toc23548"/>
      <w:r>
        <w:rPr>
          <w:rFonts w:hint="eastAsia"/>
        </w:rPr>
        <w:t>9.</w:t>
      </w:r>
      <w:r>
        <w:rPr>
          <w:rFonts w:hint="eastAsia"/>
          <w:lang w:val="en-US" w:eastAsia="zh-CN"/>
        </w:rPr>
        <w:t>5</w:t>
      </w:r>
      <w:r>
        <w:rPr>
          <w:rFonts w:hint="eastAsia"/>
        </w:rPr>
        <w:t>环境保护措施</w:t>
      </w:r>
      <w:bookmarkEnd w:id="226"/>
    </w:p>
    <w:p w14:paraId="5708C097">
      <w:pPr>
        <w:pStyle w:val="21"/>
        <w:ind w:firstLine="480"/>
        <w:rPr>
          <w:rFonts w:hint="eastAsia"/>
          <w:lang w:val="en-US" w:eastAsia="zh-CN"/>
        </w:rPr>
      </w:pPr>
      <w:r>
        <w:rPr>
          <w:rFonts w:hint="eastAsia"/>
          <w:lang w:eastAsia="zh-CN"/>
        </w:rPr>
        <w:t>（</w:t>
      </w:r>
      <w:r>
        <w:rPr>
          <w:rFonts w:hint="eastAsia"/>
          <w:lang w:val="en-US" w:eastAsia="zh-CN"/>
        </w:rPr>
        <w:t>1</w:t>
      </w:r>
      <w:r>
        <w:rPr>
          <w:rFonts w:hint="eastAsia"/>
          <w:lang w:eastAsia="zh-CN"/>
        </w:rPr>
        <w:t>）</w:t>
      </w:r>
      <w:r>
        <w:rPr>
          <w:rFonts w:hint="eastAsia"/>
          <w:lang w:val="en-US" w:eastAsia="zh-CN"/>
        </w:rPr>
        <w:t>废气</w:t>
      </w:r>
    </w:p>
    <w:p w14:paraId="461C902F">
      <w:pPr>
        <w:pStyle w:val="21"/>
        <w:ind w:firstLine="480"/>
        <w:rPr>
          <w:rFonts w:hint="eastAsia"/>
          <w:lang w:val="en-US" w:eastAsia="zh-CN"/>
        </w:rPr>
      </w:pPr>
      <w:r>
        <w:rPr>
          <w:rFonts w:hint="eastAsia"/>
          <w:lang w:val="en-US" w:eastAsia="zh-CN"/>
        </w:rPr>
        <w:t>现有工程喷漆/刷漆废气：采用移动式集气罩收集刷漆废气，收集后通过两级活性炭吸附装置处理后排放，由于项目不适合设置集气罩，因此处理后直接无组织排放；</w:t>
      </w:r>
    </w:p>
    <w:p w14:paraId="4186B1C9">
      <w:pPr>
        <w:pStyle w:val="21"/>
        <w:ind w:firstLine="480"/>
        <w:rPr>
          <w:rFonts w:hint="eastAsia"/>
          <w:lang w:val="en-US" w:eastAsia="zh-CN"/>
        </w:rPr>
      </w:pPr>
      <w:r>
        <w:rPr>
          <w:rFonts w:hint="eastAsia"/>
          <w:lang w:val="en-US" w:eastAsia="zh-CN"/>
        </w:rPr>
        <w:t>现有工程喷砂除锈粉尘废气：采用移动式集气罩收集喷砂除锈工序粉尘废气，收集后通过袋式除尘器处理后无组织排放；</w:t>
      </w:r>
    </w:p>
    <w:p w14:paraId="094F4302">
      <w:pPr>
        <w:pStyle w:val="21"/>
        <w:ind w:firstLine="480"/>
        <w:rPr>
          <w:rFonts w:hint="eastAsia"/>
          <w:lang w:val="en-US" w:eastAsia="zh-CN"/>
        </w:rPr>
      </w:pPr>
      <w:r>
        <w:rPr>
          <w:rFonts w:hint="eastAsia"/>
          <w:lang w:val="en-US" w:eastAsia="zh-CN"/>
        </w:rPr>
        <w:t>现有工程氧割、焊接烟尘及扩建工程切割烟尘：采用移动式焊接烟尘净化器收集处理氧割、焊接烟囱，处理后无组织排放。</w:t>
      </w:r>
    </w:p>
    <w:p w14:paraId="63D86D85">
      <w:pPr>
        <w:pStyle w:val="21"/>
        <w:ind w:firstLine="480"/>
        <w:rPr>
          <w:rFonts w:hint="eastAsia"/>
          <w:lang w:val="en-US" w:eastAsia="zh-CN"/>
        </w:rPr>
      </w:pPr>
      <w:r>
        <w:rPr>
          <w:rFonts w:hint="eastAsia"/>
          <w:lang w:val="en-US" w:eastAsia="zh-CN"/>
        </w:rPr>
        <w:t>（2）废水</w:t>
      </w:r>
    </w:p>
    <w:p w14:paraId="5A5C522C">
      <w:pPr>
        <w:pStyle w:val="21"/>
        <w:ind w:firstLine="480"/>
        <w:rPr>
          <w:rFonts w:hint="eastAsia"/>
          <w:lang w:val="en-US" w:eastAsia="zh-CN"/>
        </w:rPr>
      </w:pPr>
      <w:r>
        <w:rPr>
          <w:rFonts w:hint="eastAsia"/>
          <w:lang w:val="en-US" w:eastAsia="zh-CN"/>
        </w:rPr>
        <w:t>生活污水：依托自建房现有化粪池处理后，定期清掏用作农肥。</w:t>
      </w:r>
    </w:p>
    <w:p w14:paraId="0A14EC88">
      <w:pPr>
        <w:pStyle w:val="21"/>
        <w:ind w:firstLine="480"/>
        <w:rPr>
          <w:rFonts w:hint="eastAsia"/>
          <w:vertAlign w:val="baseline"/>
          <w:lang w:val="en-US" w:eastAsia="zh-CN"/>
        </w:rPr>
      </w:pPr>
      <w:r>
        <w:rPr>
          <w:rFonts w:hint="eastAsia"/>
          <w:lang w:val="en-US" w:eastAsia="zh-CN"/>
        </w:rPr>
        <w:t>生产废水、初期雨水：船台设置20cm高挡水墙及导流沟将废水导流至50m</w:t>
      </w:r>
      <w:r>
        <w:rPr>
          <w:rFonts w:hint="eastAsia"/>
          <w:vertAlign w:val="superscript"/>
          <w:lang w:val="en-US" w:eastAsia="zh-CN"/>
        </w:rPr>
        <w:t>3</w:t>
      </w:r>
      <w:r>
        <w:rPr>
          <w:rFonts w:hint="eastAsia"/>
          <w:vertAlign w:val="baseline"/>
          <w:lang w:val="en-US" w:eastAsia="zh-CN"/>
        </w:rPr>
        <w:t>初期雨水池，初期雨水池内设置自动水泵，将废水随时抽至防洪堤内侧的废水处理中，废水处理站规模为50m</w:t>
      </w:r>
      <w:r>
        <w:rPr>
          <w:rFonts w:hint="eastAsia"/>
          <w:vertAlign w:val="superscript"/>
          <w:lang w:val="en-US" w:eastAsia="zh-CN"/>
        </w:rPr>
        <w:t>3</w:t>
      </w:r>
      <w:r>
        <w:rPr>
          <w:rFonts w:hint="eastAsia"/>
          <w:vertAlign w:val="baseline"/>
          <w:lang w:val="en-US" w:eastAsia="zh-CN"/>
        </w:rPr>
        <w:t>/d，采用“调节+气浮+隔油+AAO+混凝沉淀+斜板沉淀+清水池”处理工艺，处理达到《污水综合排放标准》（GB8978-1996）一级标准后，优先回用于生产，不能回用通过罐车运输至三樟镇污水处理厂处理。</w:t>
      </w:r>
    </w:p>
    <w:p w14:paraId="750BB4B8">
      <w:pPr>
        <w:pStyle w:val="21"/>
        <w:ind w:firstLine="480"/>
        <w:rPr>
          <w:rFonts w:hint="eastAsia"/>
          <w:vertAlign w:val="baseline"/>
          <w:lang w:val="en-US" w:eastAsia="zh-CN"/>
        </w:rPr>
      </w:pPr>
      <w:r>
        <w:rPr>
          <w:rFonts w:hint="eastAsia"/>
          <w:vertAlign w:val="baseline"/>
          <w:lang w:val="en-US" w:eastAsia="zh-CN"/>
        </w:rPr>
        <w:t>（3）噪声</w:t>
      </w:r>
    </w:p>
    <w:p w14:paraId="02D071C3">
      <w:pPr>
        <w:pStyle w:val="21"/>
        <w:ind w:firstLine="480"/>
        <w:rPr>
          <w:rFonts w:hint="eastAsia"/>
          <w:vertAlign w:val="baseline"/>
          <w:lang w:val="en-US" w:eastAsia="zh-CN"/>
        </w:rPr>
      </w:pPr>
      <w:r>
        <w:rPr>
          <w:rFonts w:hint="eastAsia"/>
          <w:vertAlign w:val="baseline"/>
          <w:lang w:val="en-US" w:eastAsia="zh-CN"/>
        </w:rPr>
        <w:t>空压机：采用基础减振、消声器、建筑降噪等措施降噪；</w:t>
      </w:r>
    </w:p>
    <w:p w14:paraId="4F21F60B">
      <w:pPr>
        <w:pStyle w:val="21"/>
        <w:ind w:firstLine="480"/>
        <w:rPr>
          <w:rFonts w:hint="eastAsia"/>
          <w:vertAlign w:val="baseline"/>
          <w:lang w:val="en-US" w:eastAsia="zh-CN"/>
        </w:rPr>
      </w:pPr>
      <w:r>
        <w:rPr>
          <w:rFonts w:hint="eastAsia"/>
          <w:vertAlign w:val="baseline"/>
          <w:lang w:val="en-US" w:eastAsia="zh-CN"/>
        </w:rPr>
        <w:t>卷扬机：采用基础减振、建筑降噪等措施降噪；</w:t>
      </w:r>
    </w:p>
    <w:p w14:paraId="14D01AFA">
      <w:pPr>
        <w:pStyle w:val="21"/>
        <w:ind w:firstLine="480"/>
        <w:rPr>
          <w:rFonts w:hint="eastAsia"/>
          <w:vertAlign w:val="baseline"/>
          <w:lang w:val="en-US" w:eastAsia="zh-CN"/>
        </w:rPr>
      </w:pPr>
      <w:r>
        <w:rPr>
          <w:rFonts w:hint="eastAsia"/>
          <w:vertAlign w:val="baseline"/>
          <w:lang w:val="en-US" w:eastAsia="zh-CN"/>
        </w:rPr>
        <w:t>风机：采用基础减振、软管连接、消声器等措施降噪；</w:t>
      </w:r>
    </w:p>
    <w:p w14:paraId="05D2F411">
      <w:pPr>
        <w:pStyle w:val="21"/>
        <w:ind w:firstLine="480"/>
        <w:rPr>
          <w:rFonts w:hint="eastAsia"/>
          <w:vertAlign w:val="baseline"/>
          <w:lang w:val="en-US" w:eastAsia="zh-CN"/>
        </w:rPr>
      </w:pPr>
      <w:r>
        <w:rPr>
          <w:rFonts w:hint="eastAsia"/>
          <w:vertAlign w:val="baseline"/>
          <w:lang w:val="en-US" w:eastAsia="zh-CN"/>
        </w:rPr>
        <w:t>水泵：采用基础减振、水下或半水下安装、建筑降噪等措施降噪。</w:t>
      </w:r>
    </w:p>
    <w:p w14:paraId="1746625C">
      <w:pPr>
        <w:pStyle w:val="21"/>
        <w:ind w:firstLine="480"/>
        <w:rPr>
          <w:rFonts w:hint="eastAsia"/>
          <w:vertAlign w:val="baseline"/>
          <w:lang w:val="en-US" w:eastAsia="zh-CN"/>
        </w:rPr>
      </w:pPr>
      <w:r>
        <w:rPr>
          <w:rFonts w:hint="eastAsia"/>
          <w:vertAlign w:val="baseline"/>
          <w:lang w:val="en-US" w:eastAsia="zh-CN"/>
        </w:rPr>
        <w:t>所有设备均优选低噪声设备。</w:t>
      </w:r>
    </w:p>
    <w:p w14:paraId="5FAA00E3">
      <w:pPr>
        <w:pStyle w:val="21"/>
        <w:ind w:firstLine="480"/>
        <w:rPr>
          <w:rFonts w:hint="eastAsia"/>
          <w:vertAlign w:val="baseline"/>
          <w:lang w:val="en-US" w:eastAsia="zh-CN"/>
        </w:rPr>
      </w:pPr>
      <w:r>
        <w:rPr>
          <w:rFonts w:hint="eastAsia"/>
          <w:vertAlign w:val="baseline"/>
          <w:lang w:val="en-US" w:eastAsia="zh-CN"/>
        </w:rPr>
        <w:t>（4）固体废物</w:t>
      </w:r>
    </w:p>
    <w:p w14:paraId="526D4C0B">
      <w:pPr>
        <w:pStyle w:val="21"/>
        <w:ind w:firstLine="480"/>
        <w:rPr>
          <w:rFonts w:hint="eastAsia"/>
          <w:vertAlign w:val="baseline"/>
          <w:lang w:val="en-US" w:eastAsia="zh-CN"/>
        </w:rPr>
      </w:pPr>
      <w:r>
        <w:rPr>
          <w:rFonts w:hint="eastAsia"/>
          <w:vertAlign w:val="baseline"/>
          <w:lang w:val="en-US" w:eastAsia="zh-CN"/>
        </w:rPr>
        <w:t>生活垃圾：设置分类垃圾桶收集，委托环卫部门处置；</w:t>
      </w:r>
    </w:p>
    <w:p w14:paraId="4BDFE247">
      <w:pPr>
        <w:pStyle w:val="21"/>
        <w:ind w:firstLine="480"/>
        <w:rPr>
          <w:rFonts w:hint="eastAsia"/>
          <w:vertAlign w:val="baseline"/>
          <w:lang w:val="en-US" w:eastAsia="zh-CN"/>
        </w:rPr>
      </w:pPr>
      <w:r>
        <w:rPr>
          <w:rFonts w:hint="eastAsia"/>
          <w:vertAlign w:val="baseline"/>
          <w:lang w:val="en-US" w:eastAsia="zh-CN"/>
        </w:rPr>
        <w:t>一般工业固废（不含产品）：建设10m</w:t>
      </w:r>
      <w:r>
        <w:rPr>
          <w:rFonts w:hint="eastAsia"/>
          <w:vertAlign w:val="superscript"/>
          <w:lang w:val="en-US" w:eastAsia="zh-CN"/>
        </w:rPr>
        <w:t>2</w:t>
      </w:r>
      <w:r>
        <w:rPr>
          <w:rFonts w:hint="eastAsia"/>
          <w:vertAlign w:val="baseline"/>
          <w:lang w:val="en-US" w:eastAsia="zh-CN"/>
        </w:rPr>
        <w:t>一般固废暂存间，与生活垃圾一并委托环卫部门处置；</w:t>
      </w:r>
    </w:p>
    <w:p w14:paraId="1B3C60CF">
      <w:pPr>
        <w:pStyle w:val="21"/>
        <w:ind w:firstLine="480"/>
        <w:rPr>
          <w:rFonts w:hint="eastAsia"/>
          <w:vertAlign w:val="baseline"/>
          <w:lang w:val="en-US" w:eastAsia="zh-CN"/>
        </w:rPr>
      </w:pPr>
      <w:r>
        <w:rPr>
          <w:rFonts w:hint="eastAsia"/>
          <w:vertAlign w:val="baseline"/>
          <w:lang w:val="en-US" w:eastAsia="zh-CN"/>
        </w:rPr>
        <w:t>拆解回收产品：场地内短期暂存，及时通过汽车外运，场地内禁止长期贮存，环评要求贮存时间不超过1周；</w:t>
      </w:r>
    </w:p>
    <w:p w14:paraId="146058BA">
      <w:pPr>
        <w:pStyle w:val="21"/>
        <w:ind w:firstLine="480"/>
        <w:rPr>
          <w:rFonts w:hint="eastAsia"/>
          <w:vertAlign w:val="baseline"/>
          <w:lang w:val="en-US" w:eastAsia="zh-CN"/>
        </w:rPr>
      </w:pPr>
      <w:r>
        <w:rPr>
          <w:rFonts w:hint="eastAsia"/>
          <w:vertAlign w:val="baseline"/>
          <w:lang w:val="en-US" w:eastAsia="zh-CN"/>
        </w:rPr>
        <w:t>危险废物：建设20m</w:t>
      </w:r>
      <w:r>
        <w:rPr>
          <w:rFonts w:hint="eastAsia"/>
          <w:vertAlign w:val="superscript"/>
          <w:lang w:val="en-US" w:eastAsia="zh-CN"/>
        </w:rPr>
        <w:t>2</w:t>
      </w:r>
      <w:r>
        <w:rPr>
          <w:rFonts w:hint="eastAsia"/>
          <w:vertAlign w:val="baseline"/>
          <w:lang w:val="en-US" w:eastAsia="zh-CN"/>
        </w:rPr>
        <w:t>危废暂存间暂存危险废物，委托有资质单位处置。</w:t>
      </w:r>
    </w:p>
    <w:p w14:paraId="696B3027">
      <w:pPr>
        <w:pStyle w:val="21"/>
        <w:ind w:firstLine="480"/>
        <w:rPr>
          <w:rFonts w:hint="eastAsia"/>
          <w:vertAlign w:val="baseline"/>
          <w:lang w:val="en-US" w:eastAsia="zh-CN"/>
        </w:rPr>
      </w:pPr>
      <w:r>
        <w:rPr>
          <w:rFonts w:hint="eastAsia"/>
          <w:vertAlign w:val="baseline"/>
          <w:lang w:val="en-US" w:eastAsia="zh-CN"/>
        </w:rPr>
        <w:t>（5）土壤、地下水</w:t>
      </w:r>
    </w:p>
    <w:p w14:paraId="6B60C618">
      <w:pPr>
        <w:pStyle w:val="21"/>
        <w:ind w:firstLine="480"/>
        <w:rPr>
          <w:rFonts w:hint="default"/>
          <w:vertAlign w:val="baseline"/>
          <w:lang w:val="en-US" w:eastAsia="zh-CN"/>
        </w:rPr>
      </w:pPr>
      <w:r>
        <w:rPr>
          <w:rFonts w:hint="eastAsia"/>
          <w:vertAlign w:val="baseline"/>
          <w:lang w:val="en-US" w:eastAsia="zh-CN"/>
        </w:rPr>
        <w:t>厂区进行分区防渗，初期雨水池、导流沟、废水处理站、危险废物暂存间、化学品仓库等区域进行重点防渗；船台区域、一般固废暂存间及其他生产配套设施区域进行一般防渗；生活办公区域进行简单防渗。</w:t>
      </w:r>
    </w:p>
    <w:p w14:paraId="45F0D9E8">
      <w:pPr>
        <w:pStyle w:val="28"/>
      </w:pPr>
      <w:bookmarkStart w:id="227" w:name="_Toc30601"/>
      <w:r>
        <w:rPr>
          <w:rFonts w:hint="eastAsia"/>
        </w:rPr>
        <w:t>9.</w:t>
      </w:r>
      <w:r>
        <w:rPr>
          <w:rFonts w:hint="eastAsia"/>
          <w:lang w:val="en-US" w:eastAsia="zh-CN"/>
        </w:rPr>
        <w:t>6</w:t>
      </w:r>
      <w:r>
        <w:rPr>
          <w:rFonts w:hint="eastAsia"/>
        </w:rPr>
        <w:t>环境影响经济损益分析</w:t>
      </w:r>
      <w:bookmarkEnd w:id="227"/>
    </w:p>
    <w:p w14:paraId="34B90402">
      <w:pPr>
        <w:pStyle w:val="21"/>
        <w:ind w:firstLine="480"/>
      </w:pPr>
      <w:r>
        <w:rPr>
          <w:rFonts w:hint="eastAsia"/>
        </w:rPr>
        <w:t>企业总投资200万元（含现有项目），环保投资30万元，占总投资额15%，其投资回报率（ROI）=1400%，在确保符合《绿色拆船通用规范》前提下，本次扩建</w:t>
      </w:r>
      <w:r>
        <w:t>项目的实施具有良好的</w:t>
      </w:r>
      <w:r>
        <w:rPr>
          <w:rFonts w:hint="eastAsia"/>
        </w:rPr>
        <w:t>环境、</w:t>
      </w:r>
      <w:r>
        <w:t>经济</w:t>
      </w:r>
      <w:r>
        <w:rPr>
          <w:rFonts w:hint="eastAsia"/>
        </w:rPr>
        <w:t>和社会</w:t>
      </w:r>
      <w:r>
        <w:t>效益</w:t>
      </w:r>
      <w:r>
        <w:rPr>
          <w:rFonts w:hint="eastAsia"/>
        </w:rPr>
        <w:t>。</w:t>
      </w:r>
    </w:p>
    <w:p w14:paraId="57812F7E">
      <w:pPr>
        <w:pStyle w:val="28"/>
      </w:pPr>
      <w:bookmarkStart w:id="228" w:name="_Toc18851"/>
      <w:r>
        <w:rPr>
          <w:rFonts w:hint="eastAsia"/>
        </w:rPr>
        <w:t>9.</w:t>
      </w:r>
      <w:r>
        <w:rPr>
          <w:rFonts w:hint="eastAsia"/>
          <w:lang w:val="en-US" w:eastAsia="zh-CN"/>
        </w:rPr>
        <w:t>7</w:t>
      </w:r>
      <w:r>
        <w:rPr>
          <w:rFonts w:hint="eastAsia"/>
        </w:rPr>
        <w:t>环境管理与监测计划</w:t>
      </w:r>
      <w:bookmarkEnd w:id="228"/>
    </w:p>
    <w:p w14:paraId="2FF628D2">
      <w:pPr>
        <w:pStyle w:val="21"/>
        <w:ind w:firstLine="480"/>
      </w:pPr>
      <w:r>
        <w:rPr>
          <w:rFonts w:hint="eastAsia"/>
        </w:rPr>
        <w:t>建立环境管理机构，严格按照监测计划对污染物排放及环境要素进行监测，</w:t>
      </w:r>
      <w:r>
        <w:t>建设单位在环境保护设施验收过程中，如实查验、监测、记载建设项目环境保护设施的建设和调试情况</w:t>
      </w:r>
      <w:r>
        <w:rPr>
          <w:rFonts w:hint="eastAsia"/>
        </w:rPr>
        <w:t>，及时变更申领排污许可证，持证合法排污。</w:t>
      </w:r>
    </w:p>
    <w:p w14:paraId="4AA64FD7">
      <w:pPr>
        <w:pStyle w:val="28"/>
      </w:pPr>
      <w:bookmarkStart w:id="229" w:name="_Toc16516"/>
      <w:r>
        <w:rPr>
          <w:rFonts w:hint="eastAsia"/>
        </w:rPr>
        <w:t>9.</w:t>
      </w:r>
      <w:r>
        <w:rPr>
          <w:rFonts w:hint="eastAsia"/>
          <w:lang w:val="en-US" w:eastAsia="zh-CN"/>
        </w:rPr>
        <w:t>8</w:t>
      </w:r>
      <w:r>
        <w:rPr>
          <w:rFonts w:hint="eastAsia"/>
        </w:rPr>
        <w:t>总量控制</w:t>
      </w:r>
      <w:bookmarkEnd w:id="229"/>
    </w:p>
    <w:p w14:paraId="699F5121">
      <w:pPr>
        <w:pStyle w:val="21"/>
        <w:ind w:firstLine="480"/>
      </w:pPr>
      <w:r>
        <w:rPr>
          <w:rFonts w:hint="eastAsia"/>
        </w:rPr>
        <w:t>本次扩建新增购买总量COD：</w:t>
      </w:r>
      <w:r>
        <w:rPr>
          <w:rFonts w:hint="eastAsia"/>
          <w:lang w:val="en-US" w:eastAsia="zh-CN"/>
        </w:rPr>
        <w:t>0.09</w:t>
      </w:r>
      <w:r>
        <w:rPr>
          <w:rFonts w:hint="eastAsia"/>
        </w:rPr>
        <w:t>t/a、氨氮：0.0</w:t>
      </w:r>
      <w:r>
        <w:rPr>
          <w:rFonts w:hint="eastAsia"/>
          <w:lang w:val="en-US" w:eastAsia="zh-CN"/>
        </w:rPr>
        <w:t>5</w:t>
      </w:r>
      <w:r>
        <w:rPr>
          <w:rFonts w:hint="eastAsia"/>
        </w:rPr>
        <w:t>t/a、VOCs：</w:t>
      </w:r>
      <w:r>
        <w:rPr>
          <w:rFonts w:hint="eastAsia"/>
          <w:lang w:val="en-US" w:eastAsia="zh-CN"/>
        </w:rPr>
        <w:t>0.01</w:t>
      </w:r>
      <w:r>
        <w:t>t</w:t>
      </w:r>
      <w:r>
        <w:rPr>
          <w:rFonts w:hint="eastAsia"/>
        </w:rPr>
        <w:t>/a</w:t>
      </w:r>
      <w:r>
        <w:t>，改扩建后全厂总量：COD：</w:t>
      </w:r>
      <w:r>
        <w:rPr>
          <w:rFonts w:hint="eastAsia"/>
          <w:lang w:val="en-US" w:eastAsia="zh-CN"/>
        </w:rPr>
        <w:t>0.09</w:t>
      </w:r>
      <w:r>
        <w:t>t</w:t>
      </w:r>
      <w:r>
        <w:rPr>
          <w:rFonts w:hint="eastAsia"/>
        </w:rPr>
        <w:t>/a</w:t>
      </w:r>
      <w:r>
        <w:t>、氨氮：</w:t>
      </w:r>
      <w:r>
        <w:rPr>
          <w:rFonts w:hint="eastAsia"/>
        </w:rPr>
        <w:t>0.0</w:t>
      </w:r>
      <w:r>
        <w:rPr>
          <w:rFonts w:hint="eastAsia"/>
          <w:lang w:val="en-US" w:eastAsia="zh-CN"/>
        </w:rPr>
        <w:t>5</w:t>
      </w:r>
      <w:r>
        <w:t>t</w:t>
      </w:r>
      <w:r>
        <w:rPr>
          <w:rFonts w:hint="eastAsia"/>
        </w:rPr>
        <w:t>/a</w:t>
      </w:r>
      <w:r>
        <w:t>、VOCs：</w:t>
      </w:r>
      <w:r>
        <w:rPr>
          <w:rFonts w:hint="eastAsia"/>
          <w:lang w:val="en-US" w:eastAsia="zh-CN"/>
        </w:rPr>
        <w:t>0.32</w:t>
      </w:r>
      <w:r>
        <w:t>t</w:t>
      </w:r>
      <w:r>
        <w:rPr>
          <w:rFonts w:hint="eastAsia"/>
        </w:rPr>
        <w:t>/a</w:t>
      </w:r>
      <w:r>
        <w:t>。建设单位需在正式排污前完成总量交易。</w:t>
      </w:r>
    </w:p>
    <w:p w14:paraId="35EDE5E0">
      <w:pPr>
        <w:pStyle w:val="28"/>
        <w:rPr>
          <w:rFonts w:hint="eastAsia"/>
        </w:rPr>
      </w:pPr>
      <w:bookmarkStart w:id="230" w:name="_Toc16899"/>
      <w:r>
        <w:rPr>
          <w:rFonts w:hint="eastAsia"/>
        </w:rPr>
        <w:t>9.</w:t>
      </w:r>
      <w:r>
        <w:rPr>
          <w:rFonts w:hint="eastAsia"/>
          <w:lang w:val="en-US" w:eastAsia="zh-CN"/>
        </w:rPr>
        <w:t>9</w:t>
      </w:r>
      <w:r>
        <w:rPr>
          <w:rFonts w:hint="eastAsia"/>
        </w:rPr>
        <w:t>综合结论</w:t>
      </w:r>
      <w:bookmarkEnd w:id="230"/>
    </w:p>
    <w:p w14:paraId="6D14516A">
      <w:pPr>
        <w:pStyle w:val="21"/>
        <w:rPr>
          <w:rFonts w:hint="eastAsia"/>
        </w:rPr>
      </w:pPr>
      <w:r>
        <w:rPr>
          <w:rFonts w:hint="eastAsia"/>
          <w:lang w:val="en-US" w:eastAsia="zh-CN"/>
        </w:rPr>
        <w:t>衡东兴泰船舶维修有限公司船舶拆解建设项目</w:t>
      </w:r>
      <w:r>
        <w:rPr>
          <w:rFonts w:hint="eastAsia"/>
          <w:color w:val="000000" w:themeColor="text1"/>
          <w:szCs w:val="24"/>
          <w14:textFill>
            <w14:solidFill>
              <w14:schemeClr w14:val="tx1"/>
            </w14:solidFill>
          </w14:textFill>
        </w:rPr>
        <w:t>，拟扩建</w:t>
      </w:r>
      <w:r>
        <w:rPr>
          <w:color w:val="000000" w:themeColor="text1"/>
          <w:szCs w:val="24"/>
          <w14:textFill>
            <w14:solidFill>
              <w14:schemeClr w14:val="tx1"/>
            </w14:solidFill>
          </w14:textFill>
        </w:rPr>
        <w:t>1个标准化船舶拆除集中点，</w:t>
      </w:r>
      <w:r>
        <w:rPr>
          <w:rFonts w:hint="eastAsia"/>
          <w:color w:val="000000" w:themeColor="text1"/>
          <w:szCs w:val="24"/>
          <w14:textFill>
            <w14:solidFill>
              <w14:schemeClr w14:val="tx1"/>
            </w14:solidFill>
          </w14:textFill>
        </w:rPr>
        <w:t>修缮工具间</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物资贮存区</w:t>
      </w:r>
      <w:r>
        <w:rPr>
          <w:color w:val="000000" w:themeColor="text1"/>
          <w:szCs w:val="24"/>
          <w14:textFill>
            <w14:solidFill>
              <w14:schemeClr w14:val="tx1"/>
            </w14:solidFill>
          </w14:textFill>
        </w:rPr>
        <w:t>、办公室及公用配套设施</w:t>
      </w:r>
      <w:r>
        <w:rPr>
          <w:rFonts w:hint="eastAsia"/>
          <w:color w:val="000000" w:themeColor="text1"/>
          <w:szCs w:val="24"/>
          <w14:textFill>
            <w14:solidFill>
              <w14:schemeClr w14:val="tx1"/>
            </w14:solidFill>
          </w14:textFill>
        </w:rPr>
        <w:t>，</w:t>
      </w:r>
      <w:r>
        <w:rPr>
          <w:rFonts w:hint="eastAsia"/>
          <w:color w:val="000000" w:themeColor="text1"/>
          <w:szCs w:val="24"/>
          <w:lang w:val="en-US" w:eastAsia="zh-CN"/>
          <w14:textFill>
            <w14:solidFill>
              <w14:schemeClr w14:val="tx1"/>
            </w14:solidFill>
          </w14:textFill>
        </w:rPr>
        <w:t>利用现有场地约5000m</w:t>
      </w:r>
      <w:r>
        <w:rPr>
          <w:rFonts w:hint="eastAsia"/>
          <w:color w:val="000000" w:themeColor="text1"/>
          <w:szCs w:val="24"/>
          <w:vertAlign w:val="superscript"/>
          <w:lang w:val="en-US" w:eastAsia="zh-CN"/>
          <w14:textFill>
            <w14:solidFill>
              <w14:schemeClr w14:val="tx1"/>
            </w14:solidFill>
          </w14:textFill>
        </w:rPr>
        <w:t>2</w:t>
      </w:r>
      <w:r>
        <w:rPr>
          <w:rFonts w:hint="eastAsia"/>
          <w:color w:val="000000" w:themeColor="text1"/>
          <w:szCs w:val="24"/>
          <w:vertAlign w:val="baseline"/>
          <w:lang w:val="en-US" w:eastAsia="zh-CN"/>
          <w14:textFill>
            <w14:solidFill>
              <w14:schemeClr w14:val="tx1"/>
            </w14:solidFill>
          </w14:textFill>
        </w:rPr>
        <w:t>扩建，不新增占地面积</w:t>
      </w:r>
      <w:r>
        <w:rPr>
          <w:color w:val="000000" w:themeColor="text1"/>
          <w:szCs w:val="24"/>
          <w14:textFill>
            <w14:solidFill>
              <w14:schemeClr w14:val="tx1"/>
            </w14:solidFill>
          </w14:textFill>
        </w:rPr>
        <w:t>，预计年拆除</w:t>
      </w:r>
      <w:r>
        <w:rPr>
          <w:rFonts w:hint="eastAsia"/>
          <w:color w:val="000000" w:themeColor="text1"/>
          <w:szCs w:val="24"/>
          <w:lang w:val="en-US" w:eastAsia="zh-CN"/>
          <w14:textFill>
            <w14:solidFill>
              <w14:schemeClr w14:val="tx1"/>
            </w14:solidFill>
          </w14:textFill>
        </w:rPr>
        <w:t>30</w:t>
      </w:r>
      <w:r>
        <w:rPr>
          <w:color w:val="000000" w:themeColor="text1"/>
          <w:szCs w:val="24"/>
          <w14:textFill>
            <w14:solidFill>
              <w14:schemeClr w14:val="tx1"/>
            </w14:solidFill>
          </w14:textFill>
        </w:rPr>
        <w:t>艘报废船舶（</w:t>
      </w:r>
      <w:r>
        <w:rPr>
          <w:rFonts w:hint="eastAsia"/>
          <w:lang w:val="en-US" w:eastAsia="zh-CN"/>
        </w:rPr>
        <w:t>20~</w:t>
      </w:r>
      <w:r>
        <w:rPr>
          <w:rFonts w:hint="eastAsia"/>
        </w:rPr>
        <w:t>1000载重吨</w:t>
      </w:r>
      <w:r>
        <w:rPr>
          <w:rFonts w:hint="eastAsia"/>
          <w:lang w:val="en-US" w:eastAsia="zh-CN"/>
        </w:rPr>
        <w:t>不等</w:t>
      </w:r>
      <w:r>
        <w:rPr>
          <w:color w:val="000000" w:themeColor="text1"/>
          <w:szCs w:val="24"/>
          <w14:textFill>
            <w14:solidFill>
              <w14:schemeClr w14:val="tx1"/>
            </w14:solidFill>
          </w14:textFill>
        </w:rPr>
        <w:t>），本</w:t>
      </w:r>
      <w:r>
        <w:rPr>
          <w:rFonts w:hint="eastAsia"/>
          <w:color w:val="000000" w:themeColor="text1"/>
          <w:szCs w:val="24"/>
          <w14:textFill>
            <w14:solidFill>
              <w14:schemeClr w14:val="tx1"/>
            </w14:solidFill>
          </w14:textFill>
        </w:rPr>
        <w:t>次扩建</w:t>
      </w:r>
      <w:r>
        <w:rPr>
          <w:color w:val="000000" w:themeColor="text1"/>
          <w:szCs w:val="24"/>
          <w14:textFill>
            <w14:solidFill>
              <w14:schemeClr w14:val="tx1"/>
            </w14:solidFill>
          </w14:textFill>
        </w:rPr>
        <w:t>项目符合国家产业政策规划要求</w:t>
      </w:r>
      <w:r>
        <w:rPr>
          <w:rFonts w:hint="eastAsia"/>
          <w:color w:val="000000" w:themeColor="text1"/>
          <w:szCs w:val="24"/>
          <w14:textFill>
            <w14:solidFill>
              <w14:schemeClr w14:val="tx1"/>
            </w14:solidFill>
          </w14:textFill>
        </w:rPr>
        <w:t>，满足衡阳市</w:t>
      </w:r>
      <w:r>
        <w:rPr>
          <w:rFonts w:hint="eastAsia"/>
        </w:rPr>
        <w:t>“三线一单”相关要求</w:t>
      </w:r>
      <w:r>
        <w:rPr>
          <w:color w:val="000000" w:themeColor="text1"/>
          <w:szCs w:val="24"/>
          <w14:textFill>
            <w14:solidFill>
              <w14:schemeClr w14:val="tx1"/>
            </w14:solidFill>
          </w14:textFill>
        </w:rPr>
        <w:t>。在建设和运行当中，如能遵守相关的环保法律法规，落实本报告提出的各项环保措施，落实环保“三同时制度”，严格落实</w:t>
      </w:r>
      <w:r>
        <w:rPr>
          <w:rFonts w:hint="eastAsia"/>
          <w:color w:val="000000" w:themeColor="text1"/>
          <w:szCs w:val="24"/>
          <w14:textFill>
            <w14:solidFill>
              <w14:schemeClr w14:val="tx1"/>
            </w14:solidFill>
          </w14:textFill>
        </w:rPr>
        <w:t>本次评价</w:t>
      </w:r>
      <w:r>
        <w:rPr>
          <w:color w:val="000000" w:themeColor="text1"/>
          <w:szCs w:val="24"/>
          <w14:textFill>
            <w14:solidFill>
              <w14:schemeClr w14:val="tx1"/>
            </w14:solidFill>
          </w14:textFill>
        </w:rPr>
        <w:t>环境管理及</w:t>
      </w:r>
      <w:r>
        <w:rPr>
          <w:rFonts w:hint="eastAsia"/>
          <w:color w:val="000000" w:themeColor="text1"/>
          <w:szCs w:val="24"/>
          <w14:textFill>
            <w14:solidFill>
              <w14:schemeClr w14:val="tx1"/>
            </w14:solidFill>
          </w14:textFill>
        </w:rPr>
        <w:t>自行</w:t>
      </w:r>
      <w:r>
        <w:rPr>
          <w:color w:val="000000" w:themeColor="text1"/>
          <w:szCs w:val="24"/>
          <w14:textFill>
            <w14:solidFill>
              <w14:schemeClr w14:val="tx1"/>
            </w14:solidFill>
          </w14:textFill>
        </w:rPr>
        <w:t>监测计划，妥善处理处置各类污染物，项目可基本维持当地区域环境质量现状，可有效控制并置换后减轻环境影响。因此，从环境保护角度分析，</w:t>
      </w:r>
      <w:r>
        <w:rPr>
          <w:rFonts w:hint="eastAsia"/>
          <w:color w:val="000000" w:themeColor="text1"/>
          <w:szCs w:val="24"/>
          <w14:textFill>
            <w14:solidFill>
              <w14:schemeClr w14:val="tx1"/>
            </w14:solidFill>
          </w14:textFill>
        </w:rPr>
        <w:t>扩建</w:t>
      </w:r>
      <w:r>
        <w:rPr>
          <w:color w:val="000000" w:themeColor="text1"/>
          <w:szCs w:val="24"/>
          <w14:textFill>
            <w14:solidFill>
              <w14:schemeClr w14:val="tx1"/>
            </w14:solidFill>
          </w14:textFill>
        </w:rPr>
        <w:t>项目建设是可行的</w:t>
      </w:r>
      <w:r>
        <w:rPr>
          <w:rFonts w:hint="eastAsia"/>
          <w:color w:val="000000" w:themeColor="text1"/>
          <w:szCs w:val="24"/>
          <w14:textFill>
            <w14:solidFill>
              <w14:schemeClr w14:val="tx1"/>
            </w14:solidFill>
          </w14:textFill>
        </w:rPr>
        <w:t>。</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行书体">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TimesNewRoman">
    <w:altName w:val="Times New Roman"/>
    <w:panose1 w:val="00000000000000000000"/>
    <w:charset w:val="00"/>
    <w:family w:val="roman"/>
    <w:pitch w:val="default"/>
    <w:sig w:usb0="00000000" w:usb1="00000000" w:usb2="00000000" w:usb3="00000000" w:csb0="0000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8AF69">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0DFC0B">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0DFC0B">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04C"/>
    <w:rsid w:val="001C3A89"/>
    <w:rsid w:val="004E004C"/>
    <w:rsid w:val="004F4074"/>
    <w:rsid w:val="00661FFB"/>
    <w:rsid w:val="00784D95"/>
    <w:rsid w:val="00795E41"/>
    <w:rsid w:val="00801587"/>
    <w:rsid w:val="00957C37"/>
    <w:rsid w:val="00C17366"/>
    <w:rsid w:val="00C81A99"/>
    <w:rsid w:val="00CC402A"/>
    <w:rsid w:val="00E440A1"/>
    <w:rsid w:val="0405358F"/>
    <w:rsid w:val="0AA671C9"/>
    <w:rsid w:val="100F33C2"/>
    <w:rsid w:val="16C20E72"/>
    <w:rsid w:val="173E0DF1"/>
    <w:rsid w:val="203A7DD2"/>
    <w:rsid w:val="206B01E1"/>
    <w:rsid w:val="240B0292"/>
    <w:rsid w:val="253A2126"/>
    <w:rsid w:val="2E093A86"/>
    <w:rsid w:val="330D1963"/>
    <w:rsid w:val="40B75D0E"/>
    <w:rsid w:val="433D7B83"/>
    <w:rsid w:val="4E7B3057"/>
    <w:rsid w:val="62B657DC"/>
    <w:rsid w:val="643765DC"/>
    <w:rsid w:val="64B32356"/>
    <w:rsid w:val="65B80937"/>
    <w:rsid w:val="6F66134B"/>
    <w:rsid w:val="71D9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qFormat="1" w:uiPriority="39" w:semiHidden="0"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5"/>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spacing w:line="360" w:lineRule="auto"/>
      <w:ind w:left="1440" w:firstLine="200" w:firstLineChars="200"/>
      <w:jc w:val="left"/>
    </w:pPr>
    <w:rPr>
      <w:rFonts w:eastAsiaTheme="minorHAnsi"/>
      <w:sz w:val="20"/>
      <w:szCs w:val="20"/>
      <w14:ligatures w14:val="none"/>
    </w:rPr>
  </w:style>
  <w:style w:type="paragraph" w:styleId="7">
    <w:name w:val="Body Text"/>
    <w:basedOn w:val="1"/>
    <w:next w:val="1"/>
    <w:qFormat/>
    <w:uiPriority w:val="0"/>
    <w:pPr>
      <w:spacing w:after="120" w:line="240" w:lineRule="auto"/>
      <w:ind w:firstLine="0" w:firstLineChars="0"/>
      <w:jc w:val="both"/>
    </w:pPr>
    <w:rPr>
      <w:rFonts w:ascii="Calibri" w:hAnsi="Calibri" w:cs="Times New Roman"/>
      <w:sz w:val="21"/>
      <w:szCs w:val="21"/>
    </w:rPr>
  </w:style>
  <w:style w:type="paragraph" w:styleId="8">
    <w:name w:val="Body Text Indent"/>
    <w:basedOn w:val="1"/>
    <w:unhideWhenUsed/>
    <w:qFormat/>
    <w:uiPriority w:val="99"/>
    <w:pPr>
      <w:spacing w:line="560" w:lineRule="exact"/>
      <w:ind w:firstLine="560" w:firstLineChars="200"/>
    </w:pPr>
    <w:rPr>
      <w:sz w:val="28"/>
    </w:rPr>
  </w:style>
  <w:style w:type="paragraph" w:styleId="9">
    <w:name w:val="toc 3"/>
    <w:basedOn w:val="1"/>
    <w:next w:val="1"/>
    <w:semiHidden/>
    <w:unhideWhenUsed/>
    <w:qFormat/>
    <w:uiPriority w:val="39"/>
    <w:pPr>
      <w:ind w:left="840" w:leftChars="400"/>
    </w:pPr>
  </w:style>
  <w:style w:type="paragraph" w:styleId="10">
    <w:name w:val="footer"/>
    <w:basedOn w:val="1"/>
    <w:semiHidden/>
    <w:unhideWhenUsed/>
    <w:qFormat/>
    <w:uiPriority w:val="99"/>
    <w:pPr>
      <w:tabs>
        <w:tab w:val="center" w:pos="4153"/>
        <w:tab w:val="right" w:pos="8306"/>
      </w:tabs>
      <w:snapToGrid w:val="0"/>
      <w:jc w:val="left"/>
    </w:pPr>
    <w:rPr>
      <w:sz w:val="18"/>
    </w:rPr>
  </w:style>
  <w:style w:type="paragraph" w:styleId="11">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unhideWhenUsed/>
    <w:qFormat/>
    <w:uiPriority w:val="39"/>
  </w:style>
  <w:style w:type="paragraph" w:styleId="13">
    <w:name w:val="toc 2"/>
    <w:basedOn w:val="1"/>
    <w:next w:val="1"/>
    <w:semiHidden/>
    <w:unhideWhenUsed/>
    <w:qFormat/>
    <w:uiPriority w:val="39"/>
    <w:pPr>
      <w:ind w:left="420" w:leftChars="200"/>
    </w:pPr>
  </w:style>
  <w:style w:type="paragraph" w:styleId="14">
    <w:name w:val="Body Text First Indent 2"/>
    <w:basedOn w:val="8"/>
    <w:next w:val="1"/>
    <w:qFormat/>
    <w:uiPriority w:val="0"/>
    <w:pPr>
      <w:ind w:firstLine="420" w:firstLineChars="200"/>
    </w:pPr>
    <w:rPr>
      <w:szCs w:val="20"/>
    </w:rPr>
  </w:style>
  <w:style w:type="table" w:styleId="16">
    <w:name w:val="Table Grid"/>
    <w:basedOn w:val="15"/>
    <w:qFormat/>
    <w:uiPriority w:val="39"/>
    <w:rPr>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paragraph" w:customStyle="1" w:styleId="19">
    <w:name w:val="表头-易恒"/>
    <w:basedOn w:val="1"/>
    <w:next w:val="20"/>
    <w:qFormat/>
    <w:uiPriority w:val="0"/>
    <w:pPr>
      <w:widowControl/>
      <w:spacing w:line="360" w:lineRule="auto"/>
      <w:ind w:firstLine="0" w:firstLineChars="0"/>
      <w:jc w:val="center"/>
    </w:pPr>
    <w:rPr>
      <w:rFonts w:ascii="Times New Roman" w:hAnsi="Times New Roman" w:eastAsia="宋体" w:cs="仿宋"/>
      <w:b/>
      <w:bCs/>
      <w:color w:val="000000"/>
      <w:kern w:val="0"/>
      <w:szCs w:val="43"/>
      <w:lang w:bidi="ar"/>
    </w:rPr>
  </w:style>
  <w:style w:type="paragraph" w:customStyle="1" w:styleId="20">
    <w:name w:val="正文-易恒"/>
    <w:basedOn w:val="1"/>
    <w:qFormat/>
    <w:uiPriority w:val="0"/>
    <w:pPr>
      <w:spacing w:line="360" w:lineRule="auto"/>
      <w:ind w:firstLine="200" w:firstLineChars="200"/>
    </w:pPr>
    <w:rPr>
      <w:sz w:val="24"/>
    </w:rPr>
  </w:style>
  <w:style w:type="paragraph" w:customStyle="1" w:styleId="21">
    <w:name w:val="易恒-正文"/>
    <w:basedOn w:val="1"/>
    <w:link w:val="22"/>
    <w:qFormat/>
    <w:uiPriority w:val="0"/>
    <w:pPr>
      <w:spacing w:line="360" w:lineRule="auto"/>
      <w:ind w:firstLine="200" w:firstLineChars="200"/>
    </w:pPr>
    <w:rPr>
      <w:rFonts w:ascii="Times New Roman" w:hAnsi="Times New Roman" w:eastAsia="宋体"/>
      <w:sz w:val="24"/>
    </w:rPr>
  </w:style>
  <w:style w:type="character" w:customStyle="1" w:styleId="22">
    <w:name w:val="易恒-正文 字符"/>
    <w:basedOn w:val="17"/>
    <w:link w:val="21"/>
    <w:qFormat/>
    <w:uiPriority w:val="0"/>
    <w:rPr>
      <w:rFonts w:ascii="Times New Roman" w:hAnsi="Times New Roman" w:eastAsia="宋体"/>
      <w:sz w:val="24"/>
    </w:rPr>
  </w:style>
  <w:style w:type="paragraph" w:customStyle="1" w:styleId="23">
    <w:name w:val="易恒-表头"/>
    <w:basedOn w:val="21"/>
    <w:next w:val="21"/>
    <w:link w:val="24"/>
    <w:qFormat/>
    <w:uiPriority w:val="0"/>
    <w:pPr>
      <w:ind w:firstLine="0" w:firstLineChars="0"/>
      <w:jc w:val="center"/>
    </w:pPr>
    <w:rPr>
      <w:b/>
    </w:rPr>
  </w:style>
  <w:style w:type="character" w:customStyle="1" w:styleId="24">
    <w:name w:val="易恒-表头 字符"/>
    <w:basedOn w:val="22"/>
    <w:link w:val="23"/>
    <w:qFormat/>
    <w:uiPriority w:val="0"/>
    <w:rPr>
      <w:rFonts w:ascii="Times New Roman" w:hAnsi="Times New Roman" w:eastAsia="宋体"/>
      <w:b/>
      <w:sz w:val="24"/>
    </w:rPr>
  </w:style>
  <w:style w:type="paragraph" w:customStyle="1" w:styleId="25">
    <w:name w:val="易恒-标题1"/>
    <w:basedOn w:val="2"/>
    <w:next w:val="21"/>
    <w:link w:val="26"/>
    <w:qFormat/>
    <w:uiPriority w:val="0"/>
    <w:pPr>
      <w:spacing w:before="0" w:after="0" w:line="360" w:lineRule="auto"/>
    </w:pPr>
    <w:rPr>
      <w:rFonts w:ascii="Times New Roman" w:hAnsi="Times New Roman" w:eastAsia="宋体"/>
      <w:sz w:val="28"/>
    </w:rPr>
  </w:style>
  <w:style w:type="character" w:customStyle="1" w:styleId="26">
    <w:name w:val="易恒-标题1 字符"/>
    <w:basedOn w:val="27"/>
    <w:link w:val="25"/>
    <w:qFormat/>
    <w:uiPriority w:val="0"/>
    <w:rPr>
      <w:rFonts w:ascii="Times New Roman" w:hAnsi="Times New Roman" w:eastAsia="宋体"/>
      <w:kern w:val="44"/>
      <w:sz w:val="28"/>
      <w:szCs w:val="44"/>
    </w:rPr>
  </w:style>
  <w:style w:type="character" w:customStyle="1" w:styleId="27">
    <w:name w:val="标题 1 字符"/>
    <w:basedOn w:val="17"/>
    <w:link w:val="2"/>
    <w:qFormat/>
    <w:uiPriority w:val="9"/>
    <w:rPr>
      <w:b/>
      <w:bCs/>
      <w:kern w:val="44"/>
      <w:sz w:val="44"/>
      <w:szCs w:val="44"/>
    </w:rPr>
  </w:style>
  <w:style w:type="paragraph" w:customStyle="1" w:styleId="28">
    <w:name w:val="易恒-标题2"/>
    <w:basedOn w:val="3"/>
    <w:next w:val="21"/>
    <w:link w:val="29"/>
    <w:qFormat/>
    <w:uiPriority w:val="0"/>
    <w:pPr>
      <w:spacing w:before="0" w:after="0" w:line="360" w:lineRule="auto"/>
    </w:pPr>
    <w:rPr>
      <w:rFonts w:ascii="Times New Roman" w:hAnsi="Times New Roman" w:eastAsia="宋体"/>
      <w:sz w:val="24"/>
    </w:rPr>
  </w:style>
  <w:style w:type="character" w:customStyle="1" w:styleId="29">
    <w:name w:val="易恒-标题2 字符"/>
    <w:basedOn w:val="30"/>
    <w:link w:val="28"/>
    <w:qFormat/>
    <w:uiPriority w:val="0"/>
    <w:rPr>
      <w:rFonts w:ascii="Times New Roman" w:hAnsi="Times New Roman" w:eastAsia="宋体" w:cstheme="majorBidi"/>
      <w:sz w:val="24"/>
      <w:szCs w:val="32"/>
    </w:rPr>
  </w:style>
  <w:style w:type="character" w:customStyle="1" w:styleId="30">
    <w:name w:val="标题 2 字符"/>
    <w:basedOn w:val="17"/>
    <w:link w:val="3"/>
    <w:semiHidden/>
    <w:qFormat/>
    <w:uiPriority w:val="9"/>
    <w:rPr>
      <w:rFonts w:asciiTheme="majorHAnsi" w:hAnsiTheme="majorHAnsi" w:eastAsiaTheme="majorEastAsia" w:cstheme="majorBidi"/>
      <w:b/>
      <w:bCs/>
      <w:sz w:val="32"/>
      <w:szCs w:val="32"/>
    </w:rPr>
  </w:style>
  <w:style w:type="paragraph" w:customStyle="1" w:styleId="31">
    <w:name w:val="易恒-表格"/>
    <w:basedOn w:val="21"/>
    <w:link w:val="32"/>
    <w:qFormat/>
    <w:uiPriority w:val="0"/>
    <w:pPr>
      <w:spacing w:line="240" w:lineRule="auto"/>
      <w:ind w:firstLine="0" w:firstLineChars="0"/>
      <w:jc w:val="center"/>
    </w:pPr>
    <w:rPr>
      <w:sz w:val="21"/>
      <w:szCs w:val="21"/>
    </w:rPr>
  </w:style>
  <w:style w:type="character" w:customStyle="1" w:styleId="32">
    <w:name w:val="易恒-表格 字符"/>
    <w:basedOn w:val="22"/>
    <w:link w:val="31"/>
    <w:qFormat/>
    <w:uiPriority w:val="0"/>
    <w:rPr>
      <w:rFonts w:ascii="Times New Roman" w:hAnsi="Times New Roman" w:eastAsia="宋体"/>
      <w:sz w:val="21"/>
      <w:szCs w:val="21"/>
    </w:rPr>
  </w:style>
  <w:style w:type="paragraph" w:customStyle="1" w:styleId="33">
    <w:name w:val="易恒-标题3"/>
    <w:basedOn w:val="4"/>
    <w:next w:val="21"/>
    <w:link w:val="34"/>
    <w:qFormat/>
    <w:uiPriority w:val="0"/>
    <w:pPr>
      <w:spacing w:before="0" w:after="0" w:line="360" w:lineRule="auto"/>
    </w:pPr>
    <w:rPr>
      <w:rFonts w:ascii="Times New Roman" w:hAnsi="Times New Roman" w:eastAsia="宋体"/>
      <w:sz w:val="24"/>
    </w:rPr>
  </w:style>
  <w:style w:type="character" w:customStyle="1" w:styleId="34">
    <w:name w:val="易恒-标题3 字符"/>
    <w:basedOn w:val="35"/>
    <w:link w:val="33"/>
    <w:qFormat/>
    <w:uiPriority w:val="0"/>
    <w:rPr>
      <w:rFonts w:ascii="Times New Roman" w:hAnsi="Times New Roman" w:eastAsia="宋体"/>
      <w:sz w:val="24"/>
      <w:szCs w:val="32"/>
    </w:rPr>
  </w:style>
  <w:style w:type="character" w:customStyle="1" w:styleId="35">
    <w:name w:val="标题 3 字符"/>
    <w:basedOn w:val="17"/>
    <w:link w:val="4"/>
    <w:semiHidden/>
    <w:qFormat/>
    <w:uiPriority w:val="9"/>
    <w:rPr>
      <w:b/>
      <w:bCs/>
      <w:sz w:val="32"/>
      <w:szCs w:val="32"/>
    </w:rPr>
  </w:style>
  <w:style w:type="paragraph" w:customStyle="1" w:styleId="36">
    <w:name w:val="易恒-标题4"/>
    <w:basedOn w:val="5"/>
    <w:next w:val="21"/>
    <w:link w:val="37"/>
    <w:qFormat/>
    <w:uiPriority w:val="0"/>
    <w:pPr>
      <w:spacing w:before="0" w:after="0" w:line="360" w:lineRule="auto"/>
    </w:pPr>
    <w:rPr>
      <w:rFonts w:ascii="Times New Roman" w:hAnsi="Times New Roman" w:eastAsia="宋体"/>
      <w:sz w:val="24"/>
    </w:rPr>
  </w:style>
  <w:style w:type="character" w:customStyle="1" w:styleId="37">
    <w:name w:val="易恒-标题4 字符"/>
    <w:basedOn w:val="38"/>
    <w:link w:val="36"/>
    <w:qFormat/>
    <w:uiPriority w:val="0"/>
    <w:rPr>
      <w:rFonts w:ascii="Times New Roman" w:hAnsi="Times New Roman" w:eastAsia="宋体" w:cstheme="majorBidi"/>
      <w:sz w:val="24"/>
      <w:szCs w:val="28"/>
    </w:rPr>
  </w:style>
  <w:style w:type="character" w:customStyle="1" w:styleId="38">
    <w:name w:val="标题 4 字符"/>
    <w:basedOn w:val="17"/>
    <w:link w:val="5"/>
    <w:semiHidden/>
    <w:qFormat/>
    <w:uiPriority w:val="9"/>
    <w:rPr>
      <w:rFonts w:asciiTheme="majorHAnsi" w:hAnsiTheme="majorHAnsi" w:eastAsiaTheme="majorEastAsia" w:cstheme="majorBidi"/>
      <w:b/>
      <w:bCs/>
      <w:sz w:val="28"/>
      <w:szCs w:val="28"/>
    </w:rPr>
  </w:style>
  <w:style w:type="paragraph" w:customStyle="1" w:styleId="39">
    <w:name w:val="报告正文"/>
    <w:basedOn w:val="1"/>
    <w:link w:val="40"/>
    <w:qFormat/>
    <w:uiPriority w:val="0"/>
    <w:pPr>
      <w:spacing w:line="360" w:lineRule="auto"/>
      <w:ind w:firstLine="200" w:firstLineChars="200"/>
      <w:jc w:val="left"/>
    </w:pPr>
    <w:rPr>
      <w:rFonts w:ascii="Times New Roman" w:hAnsi="Times New Roman" w:eastAsia="宋体"/>
      <w:sz w:val="24"/>
      <w:szCs w:val="24"/>
      <w14:ligatures w14:val="none"/>
    </w:rPr>
  </w:style>
  <w:style w:type="character" w:customStyle="1" w:styleId="40">
    <w:name w:val="报告正文 字符"/>
    <w:basedOn w:val="17"/>
    <w:link w:val="39"/>
    <w:qFormat/>
    <w:uiPriority w:val="0"/>
    <w:rPr>
      <w:rFonts w:ascii="Times New Roman" w:hAnsi="Times New Roman" w:eastAsia="宋体"/>
      <w:sz w:val="24"/>
      <w:szCs w:val="24"/>
      <w14:ligatures w14:val="none"/>
    </w:rPr>
  </w:style>
  <w:style w:type="paragraph" w:customStyle="1" w:styleId="41">
    <w:name w:val="Default"/>
    <w:basedOn w:val="42"/>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纯文本1"/>
    <w:basedOn w:val="1"/>
    <w:qFormat/>
    <w:uiPriority w:val="0"/>
    <w:rPr>
      <w:rFonts w:ascii="宋体" w:hAnsi="Courier New"/>
    </w:rPr>
  </w:style>
  <w:style w:type="paragraph" w:customStyle="1" w:styleId="43">
    <w:name w:val="1表格"/>
    <w:basedOn w:val="1"/>
    <w:qFormat/>
    <w:uiPriority w:val="0"/>
    <w:pPr>
      <w:snapToGrid w:val="0"/>
      <w:jc w:val="center"/>
      <w:outlineLvl w:val="4"/>
    </w:pPr>
    <w:rPr>
      <w:spacing w:val="4"/>
    </w:rPr>
  </w:style>
  <w:style w:type="paragraph" w:customStyle="1" w:styleId="44">
    <w:name w:val="正文-易恒1"/>
    <w:basedOn w:val="1"/>
    <w:qFormat/>
    <w:uiPriority w:val="0"/>
    <w:rPr>
      <w:szCs w:val="32"/>
    </w:rPr>
  </w:style>
  <w:style w:type="character" w:customStyle="1" w:styleId="45">
    <w:name w:val="font21"/>
    <w:basedOn w:val="17"/>
    <w:qFormat/>
    <w:uiPriority w:val="0"/>
    <w:rPr>
      <w:rFonts w:hint="eastAsia" w:ascii="宋体" w:hAnsi="宋体" w:eastAsia="宋体"/>
      <w:color w:val="000000"/>
      <w:sz w:val="26"/>
      <w:szCs w:val="26"/>
      <w:u w:val="none"/>
    </w:rPr>
  </w:style>
  <w:style w:type="paragraph" w:customStyle="1" w:styleId="46">
    <w:name w:val="表格1-易恒"/>
    <w:basedOn w:val="20"/>
    <w:qFormat/>
    <w:uiPriority w:val="0"/>
    <w:pPr>
      <w:spacing w:line="240" w:lineRule="auto"/>
      <w:ind w:firstLine="0" w:firstLineChars="0"/>
      <w:jc w:val="center"/>
    </w:pPr>
    <w:rPr>
      <w:sz w:val="21"/>
    </w:rPr>
  </w:style>
  <w:style w:type="paragraph" w:customStyle="1" w:styleId="47">
    <w:name w:val="B报告表格"/>
    <w:basedOn w:val="39"/>
    <w:next w:val="39"/>
    <w:qFormat/>
    <w:uiPriority w:val="0"/>
    <w:pPr>
      <w:spacing w:line="240" w:lineRule="auto"/>
      <w:ind w:firstLine="0" w:firstLineChars="0"/>
      <w:jc w:val="center"/>
    </w:pPr>
    <w:rPr>
      <w:rFonts w:cs="行书体"/>
      <w:sz w:val="21"/>
    </w:rPr>
  </w:style>
  <w:style w:type="paragraph" w:customStyle="1" w:styleId="48">
    <w:name w:val="表格-易恒1"/>
    <w:basedOn w:val="44"/>
    <w:qFormat/>
    <w:uiPriority w:val="0"/>
    <w:pPr>
      <w:spacing w:line="240" w:lineRule="auto"/>
      <w:ind w:firstLine="0" w:firstLineChars="0"/>
      <w:jc w:val="center"/>
    </w:pPr>
    <w:rPr>
      <w:sz w:val="21"/>
    </w:rPr>
  </w:style>
  <w:style w:type="table" w:customStyle="1" w:styleId="49">
    <w:name w:val="TableGrid"/>
    <w:qFormat/>
    <w:uiPriority w:val="0"/>
    <w:tblPr>
      <w:tblCellMar>
        <w:top w:w="0" w:type="dxa"/>
        <w:left w:w="0" w:type="dxa"/>
        <w:bottom w:w="0" w:type="dxa"/>
        <w:right w:w="0" w:type="dxa"/>
      </w:tblCellMar>
    </w:tblPr>
  </w:style>
  <w:style w:type="table" w:customStyle="1" w:styleId="50">
    <w:name w:val="yp格式"/>
    <w:basedOn w:val="15"/>
    <w:qFormat/>
    <w:uiPriority w:val="0"/>
    <w:pPr>
      <w:jc w:val="center"/>
    </w:pPr>
    <w:rPr>
      <w:rFonts w:ascii="Times New Roman" w:hAnsi="Times New Roman" w:eastAsia="Times New Roman" w:cs="Times New Roman"/>
      <w:kern w:val="0"/>
      <w:sz w:val="20"/>
      <w:szCs w:val="20"/>
      <w14:ligatures w14:val="none"/>
    </w:rPr>
    <w:tblPr>
      <w:tblBorders>
        <w:top w:val="single" w:color="000000" w:sz="12" w:space="0"/>
        <w:bottom w:val="single" w:color="000000" w:sz="12" w:space="0"/>
        <w:insideH w:val="single" w:color="000000" w:sz="6" w:space="0"/>
        <w:insideV w:val="single" w:color="000000" w:sz="6" w:space="0"/>
      </w:tblBorders>
    </w:tblPr>
    <w:tcPr>
      <w:tcMar>
        <w:left w:w="28" w:type="dxa"/>
        <w:right w:w="28" w:type="dxa"/>
      </w:tcMar>
      <w:vAlign w:val="center"/>
    </w:tcPr>
    <w:tblStylePr w:type="firstRow">
      <w:tcPr>
        <w:tcBorders>
          <w:top w:val="single" w:color="000000" w:sz="12" w:space="0"/>
          <w:left w:val="single" w:color="000000" w:sz="2" w:space="0"/>
          <w:bottom w:val="nil"/>
          <w:right w:val="nil"/>
          <w:insideH w:val="nil"/>
          <w:insideV w:val="single" w:sz="2" w:space="0"/>
          <w:tl2br w:val="nil"/>
          <w:tr2bl w:val="nil"/>
        </w:tcBorders>
      </w:tcPr>
    </w:tblStylePr>
  </w:style>
  <w:style w:type="paragraph" w:customStyle="1" w:styleId="51">
    <w:name w:val="报告图表"/>
    <w:basedOn w:val="1"/>
    <w:next w:val="39"/>
    <w:qFormat/>
    <w:uiPriority w:val="0"/>
    <w:pPr>
      <w:adjustRightInd w:val="0"/>
      <w:spacing w:before="50" w:beforeLines="50" w:after="50" w:afterLines="50" w:line="240" w:lineRule="auto"/>
      <w:ind w:firstLine="0" w:firstLineChars="0"/>
      <w:jc w:val="center"/>
    </w:pPr>
    <w:rPr>
      <w:rFonts w:ascii="宋体"/>
      <w:b/>
      <w:bCs/>
      <w:color w:val="000000"/>
      <w:sz w:val="21"/>
    </w:rPr>
  </w:style>
  <w:style w:type="character" w:customStyle="1" w:styleId="52">
    <w:name w:val="15"/>
    <w:qFormat/>
    <w:uiPriority w:val="0"/>
    <w:rPr>
      <w:rFonts w:hint="default" w:ascii="Times New Roman" w:hAnsi="Times New Roman" w:cs="Times New Roman"/>
      <w:b/>
      <w:bCs/>
    </w:rPr>
  </w:style>
  <w:style w:type="paragraph" w:customStyle="1" w:styleId="53">
    <w:name w:val="表图标题"/>
    <w:basedOn w:val="1"/>
    <w:qFormat/>
    <w:uiPriority w:val="0"/>
    <w:pPr>
      <w:spacing w:line="240" w:lineRule="auto"/>
      <w:ind w:firstLine="0" w:firstLineChars="0"/>
      <w:jc w:val="center"/>
    </w:pPr>
    <w:rPr>
      <w:rFonts w:ascii="Times New Roman" w:hAnsi="Times New Roman" w:cs="Times New Roman"/>
      <w:b/>
      <w:bCs/>
      <w:sz w:val="21"/>
      <w:szCs w:val="21"/>
    </w:rPr>
  </w:style>
  <w:style w:type="paragraph" w:customStyle="1" w:styleId="54">
    <w:name w:val="正文1"/>
    <w:basedOn w:val="1"/>
    <w:next w:val="1"/>
    <w:qFormat/>
    <w:uiPriority w:val="0"/>
    <w:pPr>
      <w:ind w:firstLine="723"/>
      <w:jc w:val="both"/>
    </w:pPr>
    <w:rPr>
      <w:rFonts w:ascii="Times New Roman" w:hAnsi="Times New Roman" w:cs="Times New Roman"/>
      <w:kern w:val="0"/>
      <w:szCs w:val="21"/>
    </w:rPr>
  </w:style>
  <w:style w:type="paragraph" w:customStyle="1" w:styleId="55">
    <w:name w:val="中文报告书样式"/>
    <w:basedOn w:val="1"/>
    <w:qFormat/>
    <w:uiPriority w:val="0"/>
    <w:pPr>
      <w:adjustRightInd w:val="0"/>
      <w:spacing w:line="480" w:lineRule="atLeast"/>
      <w:ind w:firstLine="482" w:firstLineChars="0"/>
      <w:jc w:val="both"/>
      <w:textAlignment w:val="baseline"/>
    </w:pPr>
    <w:rPr>
      <w:rFonts w:ascii="Times New Roman" w:hAnsi="Times New Roman" w:cs="Times New Roman"/>
      <w:kern w:val="24"/>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9" Type="http://schemas.openxmlformats.org/officeDocument/2006/relationships/fontTable" Target="fontTable.xml"/><Relationship Id="rId38" Type="http://schemas.openxmlformats.org/officeDocument/2006/relationships/customXml" Target="../customXml/item1.xml"/><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wmf"/><Relationship Id="rId30" Type="http://schemas.openxmlformats.org/officeDocument/2006/relationships/oleObject" Target="embeddings/oleObject4.bin"/><Relationship Id="rId3" Type="http://schemas.openxmlformats.org/officeDocument/2006/relationships/footer" Target="foot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emf"/><Relationship Id="rId21" Type="http://schemas.openxmlformats.org/officeDocument/2006/relationships/oleObject" Target="embeddings/Microsoft_Visio_2003-2010___1.vsd"/><Relationship Id="rId20" Type="http://schemas.openxmlformats.org/officeDocument/2006/relationships/image" Target="media/image13.e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12.emf"/><Relationship Id="rId17" Type="http://schemas.openxmlformats.org/officeDocument/2006/relationships/oleObject" Target="embeddings/oleObject2.bin"/><Relationship Id="rId16" Type="http://schemas.openxmlformats.org/officeDocument/2006/relationships/image" Target="media/image11.emf"/><Relationship Id="rId15" Type="http://schemas.openxmlformats.org/officeDocument/2006/relationships/oleObject" Target="embeddings/oleObject1.bin"/><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181</Pages>
  <Words>5104</Words>
  <Characters>6085</Characters>
  <Lines>32</Lines>
  <Paragraphs>9</Paragraphs>
  <TotalTime>4</TotalTime>
  <ScaleCrop>false</ScaleCrop>
  <LinksUpToDate>false</LinksUpToDate>
  <CharactersWithSpaces>6604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2024-08-23T02:17:00Z</dcterms:created>
  <dc:creator>2410801559@qq.com</dc:creator>
  <cp:lastModifiedBy>邓婷</cp:lastModifiedBy>
  <dcterms:modified xsi:type="dcterms:W3CDTF">2025-11-11T08:14:19Z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C807B3690FFF4E5FB1D9323D1236AF6F_12</vt:lpwstr>
  </property>
  <property fmtid="{D5CDD505-2E9C-101B-9397-08002B2CF9AE}" pid="4" name="KSOTemplateDocerSaveRecord">
    <vt:lpwstr>eyJoZGlkIjoiZTY2MWM4MWY1Nzc3YTU2NWFiNzU3MWZmM2EwMGNkMjgiLCJ1c2VySWQiOiIxMDY5MjgzMDcxIn0=</vt:lpwstr>
  </property>
</Properties>
</file>